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03749B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03749B" w:rsidRDefault="00DD5923" w:rsidP="00286AB2">
            <w:pPr>
              <w:spacing w:line="360" w:lineRule="auto"/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3749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03749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03749B" w:rsidRDefault="00DD5923" w:rsidP="00286AB2">
            <w:pPr>
              <w:spacing w:line="36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03749B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03749B" w:rsidRDefault="00572B04" w:rsidP="00D87676">
            <w:pPr>
              <w:jc w:val="center"/>
              <w:rPr>
                <w:rFonts w:ascii="David" w:hAnsi="David" w:cs="David"/>
                <w:rtl/>
              </w:rPr>
            </w:pPr>
            <w:r w:rsidRPr="0003749B">
              <w:rPr>
                <w:rFonts w:ascii="David" w:hAnsi="David" w:cs="David"/>
                <w:noProof/>
                <w:lang w:eastAsia="en-US"/>
              </w:rPr>
              <w:drawing>
                <wp:inline distT="0" distB="0" distL="0" distR="0" wp14:anchorId="48213903" wp14:editId="3D95133D">
                  <wp:extent cx="1057275" cy="1057275"/>
                  <wp:effectExtent l="0" t="0" r="9525" b="9525"/>
                  <wp:docPr id="5" name="Picture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7" cy="106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03749B" w:rsidRDefault="0089040A" w:rsidP="00BB1E16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03749B">
              <w:rPr>
                <w:rFonts w:ascii="David" w:hAnsi="David" w:cs="David"/>
                <w:sz w:val="24"/>
                <w:szCs w:val="24"/>
                <w:rtl/>
              </w:rPr>
              <w:t>ירושלים,</w:t>
            </w:r>
            <w:r w:rsidR="003F728C" w:rsidRPr="0003749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B1E16" w:rsidRPr="0003749B">
              <w:rPr>
                <w:rFonts w:ascii="David" w:hAnsi="David" w:cs="David"/>
                <w:sz w:val="24"/>
                <w:szCs w:val="24"/>
                <w:rtl/>
              </w:rPr>
              <w:t>ד</w:t>
            </w:r>
            <w:r w:rsidR="0033491E" w:rsidRPr="0003749B">
              <w:rPr>
                <w:rFonts w:ascii="David" w:hAnsi="David" w:cs="David"/>
                <w:sz w:val="24"/>
                <w:szCs w:val="24"/>
                <w:rtl/>
              </w:rPr>
              <w:t>'</w:t>
            </w:r>
            <w:r w:rsidR="00F426C3" w:rsidRPr="0003749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D1B3F" w:rsidRPr="0003749B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="0033491E" w:rsidRPr="0003749B">
              <w:rPr>
                <w:rFonts w:ascii="David" w:hAnsi="David" w:cs="David"/>
                <w:sz w:val="24"/>
                <w:szCs w:val="24"/>
                <w:rtl/>
              </w:rPr>
              <w:t>ניסן</w:t>
            </w:r>
            <w:r w:rsidR="00A06D00" w:rsidRPr="0003749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105A31" w:rsidRPr="0003749B">
              <w:rPr>
                <w:rFonts w:ascii="David" w:hAnsi="David" w:cs="David"/>
                <w:sz w:val="24"/>
                <w:szCs w:val="24"/>
                <w:rtl/>
              </w:rPr>
              <w:t>תש</w:t>
            </w:r>
            <w:r w:rsidR="00D80AE9" w:rsidRPr="0003749B">
              <w:rPr>
                <w:rFonts w:ascii="David" w:hAnsi="David" w:cs="David"/>
                <w:sz w:val="24"/>
                <w:szCs w:val="24"/>
                <w:rtl/>
              </w:rPr>
              <w:t>פ</w:t>
            </w:r>
            <w:r w:rsidR="00105A31" w:rsidRPr="0003749B">
              <w:rPr>
                <w:rFonts w:ascii="David" w:hAnsi="David" w:cs="David"/>
                <w:sz w:val="24"/>
                <w:szCs w:val="24"/>
                <w:rtl/>
              </w:rPr>
              <w:t>"א</w:t>
            </w:r>
          </w:p>
          <w:p w:rsidR="00DD5923" w:rsidRPr="0003749B" w:rsidRDefault="0089040A" w:rsidP="006D455E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03749B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‏‏</w:t>
            </w:r>
            <w:r w:rsidR="00BB1E16" w:rsidRPr="0003749B">
              <w:rPr>
                <w:rFonts w:ascii="David" w:hAnsi="David" w:cs="David"/>
                <w:sz w:val="24"/>
                <w:szCs w:val="24"/>
                <w:rtl/>
              </w:rPr>
              <w:t>17</w:t>
            </w:r>
            <w:r w:rsidR="003A2FA2" w:rsidRPr="0003749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F426C3" w:rsidRPr="0003749B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="0033491E" w:rsidRPr="0003749B">
              <w:rPr>
                <w:rFonts w:ascii="David" w:hAnsi="David" w:cs="David"/>
                <w:sz w:val="24"/>
                <w:szCs w:val="24"/>
                <w:rtl/>
              </w:rPr>
              <w:t>מרץ</w:t>
            </w:r>
            <w:r w:rsidR="00631A91" w:rsidRPr="0003749B">
              <w:rPr>
                <w:rFonts w:ascii="David" w:hAnsi="David" w:cs="David"/>
                <w:sz w:val="24"/>
                <w:szCs w:val="24"/>
                <w:rtl/>
              </w:rPr>
              <w:t xml:space="preserve"> 20</w:t>
            </w:r>
            <w:r w:rsidR="00922F51" w:rsidRPr="0003749B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="0033491E" w:rsidRPr="0003749B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</w:tr>
    </w:tbl>
    <w:p w:rsidR="00FE034E" w:rsidRPr="0003749B" w:rsidRDefault="00FE034E" w:rsidP="007E18EE">
      <w:pPr>
        <w:bidi/>
        <w:rPr>
          <w:rFonts w:ascii="David" w:hAnsi="David" w:cs="David"/>
          <w:rtl/>
        </w:rPr>
      </w:pPr>
    </w:p>
    <w:p w:rsidR="00C9322A" w:rsidRPr="0003749B" w:rsidRDefault="00C9322A" w:rsidP="00C9322A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  <w:r w:rsidRPr="0003749B">
        <w:rPr>
          <w:rFonts w:ascii="David" w:hAnsi="David" w:cs="David"/>
          <w:sz w:val="24"/>
          <w:szCs w:val="24"/>
          <w:rtl/>
        </w:rPr>
        <w:t>הודעה לעיתונות:</w:t>
      </w:r>
    </w:p>
    <w:p w:rsidR="009E07BE" w:rsidRPr="0003749B" w:rsidRDefault="009E07BE" w:rsidP="009E07BE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</w:p>
    <w:p w:rsidR="00C9322A" w:rsidRPr="0003749B" w:rsidRDefault="00C9322A" w:rsidP="0033491E">
      <w:pPr>
        <w:pStyle w:val="af4"/>
        <w:rPr>
          <w:rFonts w:ascii="David" w:hAnsi="David" w:cs="David"/>
          <w:rtl/>
        </w:rPr>
      </w:pPr>
      <w:r w:rsidRPr="0003749B">
        <w:rPr>
          <w:rFonts w:ascii="David" w:hAnsi="David" w:cs="David"/>
          <w:rtl/>
        </w:rPr>
        <w:t xml:space="preserve">התפתחות החוב </w:t>
      </w:r>
      <w:r w:rsidR="00802DF3" w:rsidRPr="0003749B">
        <w:rPr>
          <w:rFonts w:ascii="David" w:hAnsi="David" w:cs="David"/>
          <w:rtl/>
        </w:rPr>
        <w:t xml:space="preserve">של המגזר הפרטי </w:t>
      </w:r>
      <w:r w:rsidR="0077544B" w:rsidRPr="0003749B">
        <w:rPr>
          <w:rFonts w:ascii="David" w:hAnsi="David" w:cs="David"/>
          <w:rtl/>
        </w:rPr>
        <w:t>הלא</w:t>
      </w:r>
      <w:r w:rsidR="00E44E3D" w:rsidRPr="0003749B">
        <w:rPr>
          <w:rFonts w:ascii="David" w:hAnsi="David" w:cs="David"/>
          <w:rtl/>
        </w:rPr>
        <w:t>-</w:t>
      </w:r>
      <w:r w:rsidR="0077544B" w:rsidRPr="0003749B">
        <w:rPr>
          <w:rFonts w:ascii="David" w:hAnsi="David" w:cs="David"/>
          <w:rtl/>
        </w:rPr>
        <w:t xml:space="preserve">פיננסי </w:t>
      </w:r>
      <w:r w:rsidR="00FC2095" w:rsidRPr="0003749B">
        <w:rPr>
          <w:rFonts w:ascii="David" w:hAnsi="David" w:cs="David"/>
          <w:rtl/>
        </w:rPr>
        <w:t xml:space="preserve">ברביע </w:t>
      </w:r>
      <w:r w:rsidR="00E44E3D" w:rsidRPr="0003749B">
        <w:rPr>
          <w:rFonts w:ascii="David" w:hAnsi="David" w:cs="David"/>
          <w:rtl/>
        </w:rPr>
        <w:t>ה</w:t>
      </w:r>
      <w:r w:rsidR="0033491E" w:rsidRPr="0003749B">
        <w:rPr>
          <w:rFonts w:ascii="David" w:hAnsi="David" w:cs="David"/>
          <w:rtl/>
        </w:rPr>
        <w:t>רביעי</w:t>
      </w:r>
      <w:r w:rsidR="003F728C" w:rsidRPr="0003749B">
        <w:rPr>
          <w:rFonts w:ascii="David" w:hAnsi="David" w:cs="David"/>
          <w:rtl/>
        </w:rPr>
        <w:t xml:space="preserve"> </w:t>
      </w:r>
      <w:r w:rsidR="00802DF3" w:rsidRPr="0003749B">
        <w:rPr>
          <w:rFonts w:ascii="David" w:hAnsi="David" w:cs="David"/>
          <w:rtl/>
        </w:rPr>
        <w:t>של</w:t>
      </w:r>
      <w:r w:rsidRPr="0003749B">
        <w:rPr>
          <w:rFonts w:ascii="David" w:hAnsi="David" w:cs="David"/>
          <w:rtl/>
        </w:rPr>
        <w:t xml:space="preserve"> </w:t>
      </w:r>
      <w:r w:rsidR="000C02AD" w:rsidRPr="0003749B">
        <w:rPr>
          <w:rFonts w:ascii="David" w:hAnsi="David" w:cs="David"/>
          <w:rtl/>
        </w:rPr>
        <w:t>2020</w:t>
      </w:r>
    </w:p>
    <w:p w:rsidR="0033491E" w:rsidRPr="0003749B" w:rsidRDefault="0033491E" w:rsidP="0033491E">
      <w:pPr>
        <w:rPr>
          <w:rFonts w:ascii="David" w:hAnsi="David" w:cs="David"/>
          <w:rtl/>
        </w:rPr>
      </w:pPr>
    </w:p>
    <w:p w:rsidR="0033491E" w:rsidRPr="0003749B" w:rsidRDefault="0033491E" w:rsidP="0033491E">
      <w:pPr>
        <w:bidi/>
        <w:spacing w:line="360" w:lineRule="auto"/>
        <w:ind w:right="-101"/>
        <w:jc w:val="both"/>
        <w:rPr>
          <w:rFonts w:ascii="David" w:hAnsi="David" w:cs="David"/>
          <w:i/>
          <w:iCs/>
          <w:sz w:val="24"/>
          <w:szCs w:val="24"/>
          <w:rtl/>
        </w:rPr>
      </w:pPr>
      <w:r w:rsidRPr="0003749B">
        <w:rPr>
          <w:rFonts w:ascii="David" w:hAnsi="David" w:cs="David"/>
          <w:i/>
          <w:iCs/>
          <w:sz w:val="24"/>
          <w:szCs w:val="24"/>
          <w:rtl/>
        </w:rPr>
        <w:t xml:space="preserve">לניתוח התפתחויות החוב בשנת 2020 כולה ראו </w:t>
      </w:r>
      <w:hyperlink r:id="rId9" w:history="1">
        <w:r w:rsidRPr="0003749B">
          <w:rPr>
            <w:rStyle w:val="Hyperlink"/>
            <w:rFonts w:ascii="David" w:hAnsi="David" w:cs="David"/>
            <w:i/>
            <w:iCs/>
            <w:sz w:val="24"/>
            <w:szCs w:val="24"/>
            <w:rtl/>
          </w:rPr>
          <w:t>'החוב של המגזר הפרטי הלא-פיננסי'</w:t>
        </w:r>
      </w:hyperlink>
      <w:r w:rsidRPr="0003749B">
        <w:rPr>
          <w:rFonts w:ascii="David" w:hAnsi="David" w:cs="David"/>
          <w:i/>
          <w:iCs/>
          <w:sz w:val="24"/>
          <w:szCs w:val="24"/>
          <w:rtl/>
        </w:rPr>
        <w:t xml:space="preserve"> בחלק א' של פרסום 'מבט סטטיסטי 2020'. </w:t>
      </w:r>
    </w:p>
    <w:p w:rsidR="0033491E" w:rsidRPr="0003749B" w:rsidRDefault="0033491E" w:rsidP="0033491E">
      <w:pPr>
        <w:rPr>
          <w:rFonts w:ascii="David" w:hAnsi="David" w:cs="David"/>
          <w:rtl/>
        </w:rPr>
      </w:pPr>
    </w:p>
    <w:p w:rsidR="0033491E" w:rsidRPr="0003749B" w:rsidRDefault="0033491E" w:rsidP="00105A3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D05B15" w:rsidRPr="0003749B" w:rsidRDefault="00D05B15" w:rsidP="0033491E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3749B">
        <w:rPr>
          <w:rFonts w:ascii="David" w:hAnsi="David" w:cs="David"/>
          <w:sz w:val="24"/>
          <w:szCs w:val="24"/>
          <w:rtl/>
        </w:rPr>
        <w:t>להלן תמצית ההתפתחויות בנתוני החוב של</w:t>
      </w:r>
      <w:r w:rsidR="00E44C3B" w:rsidRPr="0003749B">
        <w:rPr>
          <w:rFonts w:ascii="David" w:hAnsi="David" w:cs="David"/>
          <w:sz w:val="24"/>
          <w:szCs w:val="24"/>
          <w:rtl/>
        </w:rPr>
        <w:t xml:space="preserve"> המגזר הפרטי הלא-פיננסי</w:t>
      </w:r>
      <w:r w:rsidR="002D5D55" w:rsidRPr="0003749B">
        <w:rPr>
          <w:rStyle w:val="af1"/>
          <w:rFonts w:ascii="David" w:hAnsi="David" w:cs="David"/>
          <w:sz w:val="24"/>
          <w:szCs w:val="24"/>
          <w:rtl/>
        </w:rPr>
        <w:footnoteReference w:id="1"/>
      </w:r>
      <w:r w:rsidR="0070161A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E44C3B" w:rsidRPr="0003749B">
        <w:rPr>
          <w:rFonts w:ascii="David" w:hAnsi="David" w:cs="David"/>
          <w:sz w:val="24"/>
          <w:szCs w:val="24"/>
          <w:rtl/>
        </w:rPr>
        <w:t>ברביע הרביעי</w:t>
      </w:r>
      <w:r w:rsidRPr="0003749B">
        <w:rPr>
          <w:rFonts w:ascii="David" w:hAnsi="David" w:cs="David"/>
          <w:sz w:val="24"/>
          <w:szCs w:val="24"/>
          <w:rtl/>
        </w:rPr>
        <w:t xml:space="preserve"> של השנה:</w:t>
      </w:r>
    </w:p>
    <w:p w:rsidR="000A4B97" w:rsidRPr="0003749B" w:rsidRDefault="002D5D55" w:rsidP="00C274AB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3749B">
        <w:rPr>
          <w:rFonts w:ascii="David" w:hAnsi="David" w:cs="David"/>
          <w:sz w:val="24"/>
          <w:szCs w:val="24"/>
          <w:rtl/>
        </w:rPr>
        <w:t>ברביע הרביעי</w:t>
      </w:r>
      <w:r w:rsidR="00D05B15" w:rsidRPr="0003749B">
        <w:rPr>
          <w:rFonts w:ascii="David" w:hAnsi="David" w:cs="David"/>
          <w:sz w:val="24"/>
          <w:szCs w:val="24"/>
          <w:rtl/>
        </w:rPr>
        <w:t xml:space="preserve"> נרשמה </w:t>
      </w:r>
      <w:r w:rsidR="003938AB" w:rsidRPr="0003749B">
        <w:rPr>
          <w:rFonts w:ascii="David" w:hAnsi="David" w:cs="David"/>
          <w:sz w:val="24"/>
          <w:szCs w:val="24"/>
          <w:rtl/>
        </w:rPr>
        <w:t xml:space="preserve">עלייה </w:t>
      </w:r>
      <w:r w:rsidRPr="0003749B">
        <w:rPr>
          <w:rFonts w:ascii="David" w:hAnsi="David" w:cs="David"/>
          <w:sz w:val="24"/>
          <w:szCs w:val="24"/>
          <w:rtl/>
        </w:rPr>
        <w:t xml:space="preserve">משמעותית </w:t>
      </w:r>
      <w:r w:rsidR="00D05B15" w:rsidRPr="0003749B">
        <w:rPr>
          <w:rFonts w:ascii="David" w:hAnsi="David" w:cs="David"/>
          <w:sz w:val="24"/>
          <w:szCs w:val="24"/>
          <w:rtl/>
        </w:rPr>
        <w:t xml:space="preserve">ביתרת החוב של </w:t>
      </w:r>
      <w:r w:rsidR="00D05B15" w:rsidRPr="0003749B">
        <w:rPr>
          <w:rFonts w:ascii="David" w:hAnsi="David" w:cs="David"/>
          <w:b/>
          <w:bCs/>
          <w:sz w:val="24"/>
          <w:szCs w:val="24"/>
          <w:rtl/>
        </w:rPr>
        <w:t>המגזר העסקי</w:t>
      </w:r>
      <w:r w:rsidR="00924FF5" w:rsidRPr="0003749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749B">
        <w:rPr>
          <w:rFonts w:ascii="David" w:hAnsi="David" w:cs="David"/>
          <w:sz w:val="24"/>
          <w:szCs w:val="24"/>
          <w:rtl/>
        </w:rPr>
        <w:t xml:space="preserve">של </w:t>
      </w:r>
      <w:r w:rsidR="00924FF5" w:rsidRPr="0003749B">
        <w:rPr>
          <w:rFonts w:ascii="David" w:hAnsi="David" w:cs="David"/>
          <w:sz w:val="24"/>
          <w:szCs w:val="24"/>
          <w:rtl/>
        </w:rPr>
        <w:t>כ-</w:t>
      </w:r>
      <w:r w:rsidRPr="0003749B">
        <w:rPr>
          <w:rFonts w:ascii="David" w:hAnsi="David" w:cs="David"/>
          <w:sz w:val="24"/>
          <w:szCs w:val="24"/>
          <w:rtl/>
        </w:rPr>
        <w:t>23</w:t>
      </w:r>
      <w:r w:rsidR="00924FF5" w:rsidRPr="0003749B">
        <w:rPr>
          <w:rFonts w:ascii="David" w:hAnsi="David" w:cs="David"/>
          <w:sz w:val="24"/>
          <w:szCs w:val="24"/>
          <w:rtl/>
        </w:rPr>
        <w:t xml:space="preserve"> מיליארד</w:t>
      </w:r>
      <w:r w:rsidR="00F608D8" w:rsidRPr="0003749B">
        <w:rPr>
          <w:rFonts w:ascii="David" w:hAnsi="David" w:cs="David"/>
          <w:sz w:val="24"/>
          <w:szCs w:val="24"/>
          <w:rtl/>
        </w:rPr>
        <w:t>י</w:t>
      </w:r>
      <w:r w:rsidR="00924FF5" w:rsidRPr="0003749B">
        <w:rPr>
          <w:rFonts w:ascii="David" w:hAnsi="David" w:cs="David"/>
          <w:sz w:val="24"/>
          <w:szCs w:val="24"/>
          <w:rtl/>
        </w:rPr>
        <w:t xml:space="preserve"> ש"ח (</w:t>
      </w:r>
      <w:r w:rsidRPr="0003749B">
        <w:rPr>
          <w:rFonts w:ascii="David" w:hAnsi="David" w:cs="David"/>
          <w:sz w:val="24"/>
          <w:szCs w:val="24"/>
          <w:rtl/>
        </w:rPr>
        <w:t>2.4</w:t>
      </w:r>
      <w:r w:rsidR="003938AB" w:rsidRPr="0003749B">
        <w:rPr>
          <w:rFonts w:ascii="David" w:hAnsi="David" w:cs="David"/>
          <w:sz w:val="24"/>
          <w:szCs w:val="24"/>
          <w:rtl/>
        </w:rPr>
        <w:t xml:space="preserve">%) </w:t>
      </w:r>
      <w:r w:rsidR="00EA0460" w:rsidRPr="0003749B">
        <w:rPr>
          <w:rFonts w:ascii="David" w:hAnsi="David" w:cs="David"/>
          <w:sz w:val="24"/>
          <w:szCs w:val="24"/>
          <w:rtl/>
        </w:rPr>
        <w:t xml:space="preserve">שמקורה </w:t>
      </w:r>
      <w:r w:rsidR="007B3B40" w:rsidRPr="0003749B">
        <w:rPr>
          <w:rFonts w:ascii="David" w:hAnsi="David" w:cs="David"/>
          <w:sz w:val="24"/>
          <w:szCs w:val="24"/>
          <w:rtl/>
        </w:rPr>
        <w:t xml:space="preserve">בעלייה </w:t>
      </w:r>
      <w:r w:rsidRPr="0003749B">
        <w:rPr>
          <w:rFonts w:ascii="David" w:hAnsi="David" w:cs="David"/>
          <w:sz w:val="24"/>
          <w:szCs w:val="24"/>
          <w:rtl/>
        </w:rPr>
        <w:t xml:space="preserve">ביתרת </w:t>
      </w:r>
      <w:r w:rsidR="00C274AB" w:rsidRPr="0003749B">
        <w:rPr>
          <w:rFonts w:ascii="David" w:hAnsi="David" w:cs="David"/>
          <w:sz w:val="24"/>
          <w:szCs w:val="24"/>
          <w:rtl/>
        </w:rPr>
        <w:t>החוב לבנקים</w:t>
      </w:r>
      <w:r w:rsidRPr="0003749B">
        <w:rPr>
          <w:rFonts w:ascii="David" w:hAnsi="David" w:cs="David"/>
          <w:sz w:val="24"/>
          <w:szCs w:val="24"/>
          <w:rtl/>
        </w:rPr>
        <w:t xml:space="preserve">. </w:t>
      </w:r>
    </w:p>
    <w:p w:rsidR="00F31176" w:rsidRPr="0003749B" w:rsidRDefault="00F31176" w:rsidP="00C274AB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3749B">
        <w:rPr>
          <w:rFonts w:ascii="David" w:hAnsi="David" w:cs="David"/>
          <w:sz w:val="24"/>
          <w:szCs w:val="24"/>
          <w:rtl/>
        </w:rPr>
        <w:t xml:space="preserve">יתרת </w:t>
      </w:r>
      <w:r w:rsidRPr="0003749B">
        <w:rPr>
          <w:rFonts w:ascii="David" w:hAnsi="David" w:cs="David"/>
          <w:b/>
          <w:bCs/>
          <w:sz w:val="24"/>
          <w:szCs w:val="24"/>
          <w:rtl/>
        </w:rPr>
        <w:t>החוב לדיור של משקי הבית</w:t>
      </w:r>
      <w:r w:rsidRPr="0003749B">
        <w:rPr>
          <w:rFonts w:ascii="David" w:hAnsi="David" w:cs="David"/>
          <w:sz w:val="24"/>
          <w:szCs w:val="24"/>
          <w:rtl/>
        </w:rPr>
        <w:t xml:space="preserve"> </w:t>
      </w:r>
      <w:r w:rsidR="00270769" w:rsidRPr="0003749B">
        <w:rPr>
          <w:rFonts w:ascii="David" w:hAnsi="David" w:cs="David"/>
          <w:sz w:val="24"/>
          <w:szCs w:val="24"/>
          <w:rtl/>
        </w:rPr>
        <w:t>המשיכה לגדול ברביע זה</w:t>
      </w:r>
      <w:r w:rsidR="00AC6CE3" w:rsidRPr="0003749B">
        <w:rPr>
          <w:rFonts w:ascii="David" w:hAnsi="David" w:cs="David"/>
          <w:sz w:val="24"/>
          <w:szCs w:val="24"/>
          <w:rtl/>
        </w:rPr>
        <w:t xml:space="preserve"> </w:t>
      </w:r>
      <w:r w:rsidRPr="0003749B">
        <w:rPr>
          <w:rFonts w:ascii="David" w:hAnsi="David" w:cs="David"/>
          <w:sz w:val="24"/>
          <w:szCs w:val="24"/>
          <w:rtl/>
        </w:rPr>
        <w:t>בכ-</w:t>
      </w:r>
      <w:r w:rsidR="00C274AB" w:rsidRPr="0003749B">
        <w:rPr>
          <w:rFonts w:ascii="David" w:hAnsi="David" w:cs="David"/>
          <w:sz w:val="24"/>
          <w:szCs w:val="24"/>
          <w:rtl/>
        </w:rPr>
        <w:t>9</w:t>
      </w:r>
      <w:r w:rsidRPr="0003749B">
        <w:rPr>
          <w:rFonts w:ascii="David" w:hAnsi="David" w:cs="David"/>
          <w:sz w:val="24"/>
          <w:szCs w:val="24"/>
          <w:rtl/>
        </w:rPr>
        <w:t xml:space="preserve"> מיליארדים (</w:t>
      </w:r>
      <w:r w:rsidR="00C274AB" w:rsidRPr="0003749B">
        <w:rPr>
          <w:rFonts w:ascii="David" w:hAnsi="David" w:cs="David"/>
          <w:sz w:val="24"/>
          <w:szCs w:val="24"/>
          <w:rtl/>
        </w:rPr>
        <w:t>2.2</w:t>
      </w:r>
      <w:r w:rsidR="00943CD4" w:rsidRPr="0003749B">
        <w:rPr>
          <w:rFonts w:ascii="David" w:hAnsi="David" w:cs="David"/>
          <w:sz w:val="24"/>
          <w:szCs w:val="24"/>
          <w:rtl/>
        </w:rPr>
        <w:t>%)</w:t>
      </w:r>
      <w:r w:rsidR="0018611E" w:rsidRPr="0003749B">
        <w:rPr>
          <w:rFonts w:ascii="David" w:hAnsi="David" w:cs="David"/>
          <w:sz w:val="24"/>
          <w:szCs w:val="24"/>
          <w:rtl/>
        </w:rPr>
        <w:t>;</w:t>
      </w:r>
      <w:r w:rsidR="00BA0AA5" w:rsidRPr="0003749B">
        <w:rPr>
          <w:rFonts w:ascii="David" w:hAnsi="David" w:cs="David"/>
          <w:sz w:val="24"/>
          <w:szCs w:val="24"/>
          <w:rtl/>
        </w:rPr>
        <w:t xml:space="preserve"> </w:t>
      </w:r>
    </w:p>
    <w:p w:rsidR="00D05B15" w:rsidRPr="0003749B" w:rsidRDefault="00943CD4" w:rsidP="00C274AB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3749B">
        <w:rPr>
          <w:rFonts w:ascii="David" w:hAnsi="David" w:cs="David"/>
          <w:sz w:val="24"/>
          <w:szCs w:val="24"/>
          <w:rtl/>
        </w:rPr>
        <w:t>ב</w:t>
      </w:r>
      <w:r w:rsidR="00D05B15" w:rsidRPr="0003749B">
        <w:rPr>
          <w:rFonts w:ascii="David" w:hAnsi="David" w:cs="David"/>
          <w:sz w:val="24"/>
          <w:szCs w:val="24"/>
          <w:rtl/>
        </w:rPr>
        <w:t xml:space="preserve">יתרת </w:t>
      </w:r>
      <w:r w:rsidR="00C274AB" w:rsidRPr="0003749B">
        <w:rPr>
          <w:rFonts w:ascii="David" w:hAnsi="David" w:cs="David"/>
          <w:b/>
          <w:bCs/>
          <w:sz w:val="24"/>
          <w:szCs w:val="24"/>
          <w:rtl/>
        </w:rPr>
        <w:t>החוב לא-</w:t>
      </w:r>
      <w:r w:rsidR="00D05B15" w:rsidRPr="0003749B">
        <w:rPr>
          <w:rFonts w:ascii="David" w:hAnsi="David" w:cs="David"/>
          <w:b/>
          <w:bCs/>
          <w:sz w:val="24"/>
          <w:szCs w:val="24"/>
          <w:rtl/>
        </w:rPr>
        <w:t>לדיור</w:t>
      </w:r>
      <w:r w:rsidR="00D05B15" w:rsidRPr="0003749B">
        <w:rPr>
          <w:rFonts w:ascii="David" w:hAnsi="David" w:cs="David"/>
          <w:sz w:val="24"/>
          <w:szCs w:val="24"/>
          <w:rtl/>
        </w:rPr>
        <w:t xml:space="preserve"> </w:t>
      </w:r>
      <w:r w:rsidRPr="0003749B">
        <w:rPr>
          <w:rFonts w:ascii="David" w:hAnsi="David" w:cs="David"/>
          <w:sz w:val="24"/>
          <w:szCs w:val="24"/>
          <w:rtl/>
        </w:rPr>
        <w:t>נרשמה</w:t>
      </w:r>
      <w:r w:rsidR="00C274AB" w:rsidRPr="0003749B">
        <w:rPr>
          <w:rFonts w:ascii="David" w:hAnsi="David" w:cs="David"/>
          <w:sz w:val="24"/>
          <w:szCs w:val="24"/>
          <w:rtl/>
        </w:rPr>
        <w:t xml:space="preserve"> ברביע הרביעי עלייה </w:t>
      </w:r>
      <w:r w:rsidRPr="0003749B">
        <w:rPr>
          <w:rFonts w:ascii="David" w:hAnsi="David" w:cs="David"/>
          <w:sz w:val="24"/>
          <w:szCs w:val="24"/>
          <w:rtl/>
        </w:rPr>
        <w:t>בהיקף של</w:t>
      </w:r>
      <w:r w:rsidR="0018611E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D05B15" w:rsidRPr="0003749B">
        <w:rPr>
          <w:rFonts w:ascii="David" w:hAnsi="David" w:cs="David"/>
          <w:sz w:val="24"/>
          <w:szCs w:val="24"/>
          <w:rtl/>
        </w:rPr>
        <w:t>כ-</w:t>
      </w:r>
      <w:r w:rsidR="00BA0AA5" w:rsidRPr="0003749B">
        <w:rPr>
          <w:rFonts w:ascii="David" w:hAnsi="David" w:cs="David"/>
          <w:sz w:val="24"/>
          <w:szCs w:val="24"/>
          <w:rtl/>
        </w:rPr>
        <w:t>1</w:t>
      </w:r>
      <w:r w:rsidR="00D05B15" w:rsidRPr="0003749B">
        <w:rPr>
          <w:rFonts w:ascii="David" w:hAnsi="David" w:cs="David"/>
          <w:sz w:val="24"/>
          <w:szCs w:val="24"/>
          <w:rtl/>
        </w:rPr>
        <w:t xml:space="preserve"> מיליארדים (</w:t>
      </w:r>
      <w:r w:rsidR="00BA0AA5" w:rsidRPr="0003749B">
        <w:rPr>
          <w:rFonts w:ascii="David" w:hAnsi="David" w:cs="David"/>
          <w:sz w:val="24"/>
          <w:szCs w:val="24"/>
          <w:rtl/>
        </w:rPr>
        <w:t>0.4</w:t>
      </w:r>
      <w:r w:rsidR="0018611E" w:rsidRPr="0003749B">
        <w:rPr>
          <w:rFonts w:ascii="David" w:hAnsi="David" w:cs="David"/>
          <w:sz w:val="24"/>
          <w:szCs w:val="24"/>
          <w:rtl/>
        </w:rPr>
        <w:t>%</w:t>
      </w:r>
      <w:r w:rsidRPr="0003749B">
        <w:rPr>
          <w:rFonts w:ascii="David" w:hAnsi="David" w:cs="David"/>
          <w:sz w:val="24"/>
          <w:szCs w:val="24"/>
          <w:rtl/>
        </w:rPr>
        <w:t>)</w:t>
      </w:r>
      <w:r w:rsidR="007B3B40" w:rsidRPr="0003749B">
        <w:rPr>
          <w:rFonts w:ascii="David" w:hAnsi="David" w:cs="David"/>
          <w:sz w:val="24"/>
          <w:szCs w:val="24"/>
          <w:rtl/>
        </w:rPr>
        <w:t>.</w:t>
      </w:r>
      <w:r w:rsidR="00BA0AA5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C274AB" w:rsidRPr="0003749B">
        <w:rPr>
          <w:rFonts w:ascii="David" w:hAnsi="David" w:cs="David"/>
          <w:sz w:val="24"/>
          <w:szCs w:val="24"/>
          <w:rtl/>
        </w:rPr>
        <w:t>ובכ</w:t>
      </w:r>
      <w:r w:rsidR="0003749B">
        <w:rPr>
          <w:rFonts w:ascii="David" w:hAnsi="David" w:cs="David"/>
          <w:sz w:val="24"/>
          <w:szCs w:val="24"/>
          <w:rtl/>
        </w:rPr>
        <w:t>ך לראשונה השנה נרשמה עלייה ביתר</w:t>
      </w:r>
      <w:r w:rsidR="0003749B">
        <w:rPr>
          <w:rFonts w:ascii="David" w:hAnsi="David" w:cs="David" w:hint="cs"/>
          <w:sz w:val="24"/>
          <w:szCs w:val="24"/>
          <w:rtl/>
        </w:rPr>
        <w:t>ה</w:t>
      </w:r>
      <w:r w:rsidR="00C274AB" w:rsidRPr="0003749B">
        <w:rPr>
          <w:rFonts w:ascii="David" w:hAnsi="David" w:cs="David"/>
          <w:sz w:val="24"/>
          <w:szCs w:val="24"/>
          <w:rtl/>
        </w:rPr>
        <w:t xml:space="preserve"> זו לאחר ירידה שהחלה מהרביע הראשון של השנה, על רקע משבר הקורונה.</w:t>
      </w:r>
    </w:p>
    <w:p w:rsidR="003A2FA2" w:rsidRPr="0003749B" w:rsidRDefault="003A2FA2" w:rsidP="00105A31">
      <w:pPr>
        <w:pStyle w:val="a9"/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F574F" w:rsidRPr="0003749B" w:rsidRDefault="009F574F" w:rsidP="00105A31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3749B">
        <w:rPr>
          <w:rStyle w:val="10"/>
          <w:rFonts w:ascii="David" w:hAnsi="David" w:cs="David"/>
          <w:rtl/>
        </w:rPr>
        <w:t>החוב של המגזר העסקי</w:t>
      </w:r>
      <w:r w:rsidR="001E78A9" w:rsidRPr="0003749B">
        <w:rPr>
          <w:rStyle w:val="10"/>
          <w:rFonts w:ascii="David" w:hAnsi="David" w:cs="David"/>
          <w:rtl/>
        </w:rPr>
        <w:t xml:space="preserve"> הלא-פיננסי</w:t>
      </w:r>
      <w:r w:rsidR="00474B96" w:rsidRPr="0003749B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2"/>
      </w:r>
      <w:r w:rsidR="0028327B" w:rsidRPr="0003749B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A4B97" w:rsidRPr="0003749B" w:rsidRDefault="00EA0460" w:rsidP="001F0454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3749B">
        <w:rPr>
          <w:rFonts w:ascii="David" w:hAnsi="David" w:cs="David"/>
          <w:sz w:val="24"/>
          <w:szCs w:val="24"/>
          <w:rtl/>
        </w:rPr>
        <w:t>מהחטיבה למידע ולסטטיסטיקה נמסר, כי ברביע ה</w:t>
      </w:r>
      <w:r w:rsidR="001F0454" w:rsidRPr="0003749B">
        <w:rPr>
          <w:rFonts w:ascii="David" w:hAnsi="David" w:cs="David"/>
          <w:sz w:val="24"/>
          <w:szCs w:val="24"/>
          <w:rtl/>
        </w:rPr>
        <w:t>רביעי</w:t>
      </w:r>
      <w:r w:rsidRPr="0003749B">
        <w:rPr>
          <w:rFonts w:ascii="David" w:hAnsi="David" w:cs="David"/>
          <w:sz w:val="24"/>
          <w:szCs w:val="24"/>
          <w:rtl/>
        </w:rPr>
        <w:t xml:space="preserve"> של שנת 2020 גדלה יתרת החוב</w:t>
      </w:r>
      <w:r w:rsidR="001F0454" w:rsidRPr="0003749B">
        <w:rPr>
          <w:rFonts w:ascii="David" w:hAnsi="David" w:cs="David"/>
          <w:sz w:val="24"/>
          <w:szCs w:val="24"/>
          <w:rtl/>
        </w:rPr>
        <w:t xml:space="preserve"> של המגזר העסקי בכ-23</w:t>
      </w:r>
      <w:r w:rsidRPr="0003749B">
        <w:rPr>
          <w:rFonts w:ascii="David" w:hAnsi="David" w:cs="David"/>
          <w:sz w:val="24"/>
          <w:szCs w:val="24"/>
          <w:rtl/>
        </w:rPr>
        <w:t xml:space="preserve"> מיליארדי</w:t>
      </w:r>
      <w:r w:rsidR="00417CF1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3A2FA2" w:rsidRPr="0003749B">
        <w:rPr>
          <w:rFonts w:ascii="David" w:hAnsi="David" w:cs="David"/>
          <w:sz w:val="24"/>
          <w:szCs w:val="24"/>
          <w:rtl/>
        </w:rPr>
        <w:t>ש"ח</w:t>
      </w:r>
      <w:r w:rsidR="00417CF1" w:rsidRPr="0003749B">
        <w:rPr>
          <w:rFonts w:ascii="David" w:hAnsi="David" w:cs="David"/>
          <w:sz w:val="24"/>
          <w:szCs w:val="24"/>
          <w:rtl/>
        </w:rPr>
        <w:t xml:space="preserve"> (</w:t>
      </w:r>
      <w:r w:rsidR="001F0454" w:rsidRPr="0003749B">
        <w:rPr>
          <w:rFonts w:ascii="David" w:hAnsi="David" w:cs="David"/>
          <w:sz w:val="24"/>
          <w:szCs w:val="24"/>
          <w:rtl/>
        </w:rPr>
        <w:t>2.4</w:t>
      </w:r>
      <w:r w:rsidR="00417CF1" w:rsidRPr="0003749B">
        <w:rPr>
          <w:rFonts w:ascii="David" w:hAnsi="David" w:cs="David"/>
          <w:sz w:val="24"/>
          <w:szCs w:val="24"/>
          <w:rtl/>
        </w:rPr>
        <w:t>%)</w:t>
      </w:r>
      <w:r w:rsidRPr="0003749B">
        <w:rPr>
          <w:rFonts w:ascii="David" w:hAnsi="David" w:cs="David"/>
          <w:sz w:val="24"/>
          <w:szCs w:val="24"/>
          <w:rtl/>
        </w:rPr>
        <w:t xml:space="preserve"> לרמה של כ-9</w:t>
      </w:r>
      <w:r w:rsidR="001F0454" w:rsidRPr="0003749B">
        <w:rPr>
          <w:rFonts w:ascii="David" w:hAnsi="David" w:cs="David"/>
          <w:sz w:val="24"/>
          <w:szCs w:val="24"/>
          <w:rtl/>
        </w:rPr>
        <w:t>86</w:t>
      </w:r>
      <w:r w:rsidRPr="0003749B">
        <w:rPr>
          <w:rFonts w:ascii="David" w:hAnsi="David" w:cs="David"/>
          <w:sz w:val="24"/>
          <w:szCs w:val="24"/>
          <w:rtl/>
        </w:rPr>
        <w:t xml:space="preserve"> מיליארדים.</w:t>
      </w:r>
      <w:r w:rsidRPr="0003749B">
        <w:rPr>
          <w:rFonts w:ascii="David" w:hAnsi="David" w:cs="David"/>
          <w:rtl/>
        </w:rPr>
        <w:t xml:space="preserve"> </w:t>
      </w:r>
      <w:r w:rsidR="002B4634" w:rsidRPr="0003749B">
        <w:rPr>
          <w:rFonts w:ascii="David" w:hAnsi="David" w:cs="David"/>
          <w:sz w:val="24"/>
          <w:szCs w:val="24"/>
          <w:rtl/>
        </w:rPr>
        <w:t xml:space="preserve">העלייה ביתרת החוב נבעה מגיוסי חוב נטו </w:t>
      </w:r>
      <w:r w:rsidR="001F0454" w:rsidRPr="0003749B">
        <w:rPr>
          <w:rFonts w:ascii="David" w:hAnsi="David" w:cs="David"/>
          <w:sz w:val="24"/>
          <w:szCs w:val="24"/>
          <w:rtl/>
        </w:rPr>
        <w:t>משמעותיים בכלל אפיקי הגיוס שהסתכמו בכ-37 מיליארדי ש"ח והורכבו בעיקרם מהלוואות בנקאיות. העלייה ביתרת החוב קוזזה בחלקה כתוצאה מ</w:t>
      </w:r>
      <w:r w:rsidR="002B4634" w:rsidRPr="0003749B">
        <w:rPr>
          <w:rFonts w:ascii="David" w:hAnsi="David" w:cs="David"/>
          <w:sz w:val="24"/>
          <w:szCs w:val="24"/>
          <w:rtl/>
        </w:rPr>
        <w:t>ייסוף של כ-</w:t>
      </w:r>
      <w:r w:rsidR="001F0454" w:rsidRPr="0003749B">
        <w:rPr>
          <w:rFonts w:ascii="David" w:hAnsi="David" w:cs="David"/>
          <w:sz w:val="24"/>
          <w:szCs w:val="24"/>
          <w:rtl/>
        </w:rPr>
        <w:t>6.6</w:t>
      </w:r>
      <w:r w:rsidR="002B4634" w:rsidRPr="0003749B">
        <w:rPr>
          <w:rFonts w:ascii="David" w:hAnsi="David" w:cs="David"/>
          <w:sz w:val="24"/>
          <w:szCs w:val="24"/>
          <w:rtl/>
        </w:rPr>
        <w:t>% בשער החליפין של השקל מול הדולר שהקטין את השווי של החוב הנקוב במט"ח והצמוד לו.</w:t>
      </w:r>
      <w:r w:rsidR="0071464F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1F0454" w:rsidRPr="0003749B">
        <w:rPr>
          <w:rFonts w:ascii="David" w:hAnsi="David" w:cs="David"/>
          <w:sz w:val="24"/>
          <w:szCs w:val="24"/>
          <w:rtl/>
        </w:rPr>
        <w:t>כתוצאה מכך, ברביע זה נרשם שיעור גידול חיובי ביתרת החוב לבנקים לאח</w:t>
      </w:r>
      <w:r w:rsidR="00F608D8" w:rsidRPr="0003749B">
        <w:rPr>
          <w:rFonts w:ascii="David" w:hAnsi="David" w:cs="David"/>
          <w:sz w:val="24"/>
          <w:szCs w:val="24"/>
          <w:rtl/>
        </w:rPr>
        <w:t xml:space="preserve">ר ירידה בשיעורי הגידול </w:t>
      </w:r>
      <w:r w:rsidR="00BA363C" w:rsidRPr="0003749B">
        <w:rPr>
          <w:rFonts w:ascii="David" w:hAnsi="David" w:cs="David"/>
          <w:sz w:val="24"/>
          <w:szCs w:val="24"/>
          <w:rtl/>
        </w:rPr>
        <w:t>ב</w:t>
      </w:r>
      <w:r w:rsidR="00F608D8" w:rsidRPr="0003749B">
        <w:rPr>
          <w:rFonts w:ascii="David" w:hAnsi="David" w:cs="David"/>
          <w:sz w:val="24"/>
          <w:szCs w:val="24"/>
          <w:rtl/>
        </w:rPr>
        <w:t>רביע</w:t>
      </w:r>
      <w:r w:rsidR="00602952" w:rsidRPr="0003749B">
        <w:rPr>
          <w:rFonts w:ascii="David" w:hAnsi="David" w:cs="David"/>
          <w:sz w:val="24"/>
          <w:szCs w:val="24"/>
          <w:rtl/>
        </w:rPr>
        <w:t>ים</w:t>
      </w:r>
      <w:r w:rsidR="001F0454" w:rsidRPr="0003749B">
        <w:rPr>
          <w:rFonts w:ascii="David" w:hAnsi="David" w:cs="David"/>
          <w:sz w:val="24"/>
          <w:szCs w:val="24"/>
          <w:rtl/>
        </w:rPr>
        <w:t xml:space="preserve"> השני והשלישי של השנה. </w:t>
      </w:r>
      <w:r w:rsidR="0071464F" w:rsidRPr="0003749B">
        <w:rPr>
          <w:rFonts w:ascii="David" w:hAnsi="David" w:cs="David"/>
          <w:sz w:val="24"/>
          <w:szCs w:val="24"/>
          <w:rtl/>
        </w:rPr>
        <w:t>(איור</w:t>
      </w:r>
      <w:r w:rsidR="00042F59" w:rsidRPr="0003749B">
        <w:rPr>
          <w:rFonts w:ascii="David" w:hAnsi="David" w:cs="David"/>
          <w:sz w:val="24"/>
          <w:szCs w:val="24"/>
          <w:rtl/>
        </w:rPr>
        <w:t>ים</w:t>
      </w:r>
      <w:r w:rsidRPr="0003749B">
        <w:rPr>
          <w:rFonts w:ascii="David" w:hAnsi="David" w:cs="David"/>
          <w:sz w:val="24"/>
          <w:szCs w:val="24"/>
          <w:rtl/>
        </w:rPr>
        <w:t xml:space="preserve"> 1</w:t>
      </w:r>
      <w:r w:rsidR="00042F59" w:rsidRPr="0003749B">
        <w:rPr>
          <w:rFonts w:ascii="David" w:hAnsi="David" w:cs="David"/>
          <w:sz w:val="24"/>
          <w:szCs w:val="24"/>
          <w:rtl/>
        </w:rPr>
        <w:t>,2</w:t>
      </w:r>
      <w:r w:rsidRPr="0003749B">
        <w:rPr>
          <w:rFonts w:ascii="David" w:hAnsi="David" w:cs="David"/>
          <w:sz w:val="24"/>
          <w:szCs w:val="24"/>
          <w:rtl/>
        </w:rPr>
        <w:t>)</w:t>
      </w:r>
      <w:r w:rsidR="0071464F" w:rsidRPr="0003749B">
        <w:rPr>
          <w:rFonts w:ascii="David" w:hAnsi="David" w:cs="David"/>
          <w:sz w:val="24"/>
          <w:szCs w:val="24"/>
          <w:rtl/>
        </w:rPr>
        <w:t>.</w:t>
      </w:r>
      <w:r w:rsidR="00C90438" w:rsidRPr="0003749B">
        <w:rPr>
          <w:rFonts w:ascii="David" w:hAnsi="David" w:cs="David"/>
          <w:sz w:val="24"/>
          <w:szCs w:val="24"/>
          <w:rtl/>
        </w:rPr>
        <w:t xml:space="preserve"> </w:t>
      </w:r>
    </w:p>
    <w:p w:rsidR="0032510F" w:rsidRPr="0003749B" w:rsidRDefault="00C55E2C" w:rsidP="00C55E2C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3749B">
        <w:rPr>
          <w:rFonts w:ascii="David" w:hAnsi="David" w:cs="David"/>
          <w:sz w:val="24"/>
          <w:szCs w:val="24"/>
          <w:rtl/>
        </w:rPr>
        <w:t>ברביע הרביעי</w:t>
      </w:r>
      <w:r w:rsidR="00D11E8D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E335BB" w:rsidRPr="0003749B">
        <w:rPr>
          <w:rFonts w:ascii="David" w:hAnsi="David" w:cs="David"/>
          <w:sz w:val="24"/>
          <w:szCs w:val="24"/>
          <w:rtl/>
        </w:rPr>
        <w:t xml:space="preserve">של השנה </w:t>
      </w:r>
      <w:r w:rsidR="004C43DC" w:rsidRPr="0003749B">
        <w:rPr>
          <w:rFonts w:ascii="David" w:hAnsi="David" w:cs="David"/>
          <w:b/>
          <w:bCs/>
          <w:sz w:val="24"/>
          <w:szCs w:val="24"/>
          <w:rtl/>
        </w:rPr>
        <w:t>הנפיק המגזר העסקי</w:t>
      </w:r>
      <w:r w:rsidRPr="0003749B">
        <w:rPr>
          <w:rFonts w:ascii="David" w:hAnsi="David" w:cs="David"/>
          <w:sz w:val="24"/>
          <w:szCs w:val="24"/>
          <w:rtl/>
        </w:rPr>
        <w:t xml:space="preserve"> אג"ח בשווי של כ-10</w:t>
      </w:r>
      <w:r w:rsidR="00804AEF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2A51F1" w:rsidRPr="0003749B">
        <w:rPr>
          <w:rFonts w:ascii="David" w:hAnsi="David" w:cs="David"/>
          <w:sz w:val="24"/>
          <w:szCs w:val="24"/>
          <w:rtl/>
        </w:rPr>
        <w:t>מיליארדי ש"ח</w:t>
      </w:r>
      <w:r w:rsidR="00670D97" w:rsidRPr="0003749B">
        <w:rPr>
          <w:rFonts w:ascii="David" w:hAnsi="David" w:cs="David"/>
          <w:sz w:val="24"/>
          <w:szCs w:val="24"/>
          <w:rtl/>
        </w:rPr>
        <w:t>,</w:t>
      </w:r>
      <w:r w:rsidR="00804AEF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2B4634" w:rsidRPr="0003749B">
        <w:rPr>
          <w:rFonts w:ascii="David" w:hAnsi="David" w:cs="David"/>
          <w:sz w:val="24"/>
          <w:szCs w:val="24"/>
          <w:rtl/>
        </w:rPr>
        <w:t>נמוך</w:t>
      </w:r>
      <w:r w:rsidR="00996717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32510F" w:rsidRPr="0003749B">
        <w:rPr>
          <w:rFonts w:ascii="David" w:hAnsi="David" w:cs="David"/>
          <w:sz w:val="24"/>
          <w:szCs w:val="24"/>
          <w:rtl/>
        </w:rPr>
        <w:t>מ</w:t>
      </w:r>
      <w:r w:rsidR="00474B96" w:rsidRPr="0003749B">
        <w:rPr>
          <w:rFonts w:ascii="David" w:hAnsi="David" w:cs="David"/>
          <w:sz w:val="24"/>
          <w:szCs w:val="24"/>
          <w:rtl/>
        </w:rPr>
        <w:t>מ</w:t>
      </w:r>
      <w:r w:rsidR="00804AEF" w:rsidRPr="0003749B">
        <w:rPr>
          <w:rFonts w:ascii="David" w:hAnsi="David" w:cs="David"/>
          <w:sz w:val="24"/>
          <w:szCs w:val="24"/>
          <w:rtl/>
        </w:rPr>
        <w:t xml:space="preserve">מוצע הגיוסים </w:t>
      </w:r>
      <w:r w:rsidR="0032510F" w:rsidRPr="0003749B">
        <w:rPr>
          <w:rFonts w:ascii="David" w:hAnsi="David" w:cs="David"/>
          <w:sz w:val="24"/>
          <w:szCs w:val="24"/>
          <w:rtl/>
        </w:rPr>
        <w:t xml:space="preserve">של ארבעת הרביעים </w:t>
      </w:r>
      <w:r w:rsidR="0050090B" w:rsidRPr="0003749B">
        <w:rPr>
          <w:rFonts w:ascii="David" w:hAnsi="David" w:cs="David"/>
          <w:sz w:val="24"/>
          <w:szCs w:val="24"/>
          <w:rtl/>
        </w:rPr>
        <w:t xml:space="preserve">הקודמים </w:t>
      </w:r>
      <w:r w:rsidR="0032510F" w:rsidRPr="0003749B">
        <w:rPr>
          <w:rFonts w:ascii="David" w:hAnsi="David" w:cs="David"/>
          <w:sz w:val="24"/>
          <w:szCs w:val="24"/>
          <w:rtl/>
        </w:rPr>
        <w:t>(כ-</w:t>
      </w:r>
      <w:r w:rsidRPr="0003749B">
        <w:rPr>
          <w:rFonts w:ascii="David" w:hAnsi="David" w:cs="David"/>
          <w:sz w:val="24"/>
          <w:szCs w:val="24"/>
          <w:rtl/>
        </w:rPr>
        <w:t>12</w:t>
      </w:r>
      <w:r w:rsidR="0032510F" w:rsidRPr="0003749B">
        <w:rPr>
          <w:rFonts w:ascii="David" w:hAnsi="David" w:cs="David"/>
          <w:sz w:val="24"/>
          <w:szCs w:val="24"/>
          <w:rtl/>
        </w:rPr>
        <w:t xml:space="preserve"> מיליארדים בממוצע לרביע). </w:t>
      </w:r>
      <w:r w:rsidRPr="0003749B">
        <w:rPr>
          <w:rFonts w:ascii="David" w:hAnsi="David" w:cs="David"/>
          <w:sz w:val="24"/>
          <w:szCs w:val="24"/>
          <w:rtl/>
        </w:rPr>
        <w:t>חברות מ</w:t>
      </w:r>
      <w:r w:rsidR="0032510F" w:rsidRPr="0003749B">
        <w:rPr>
          <w:rFonts w:ascii="David" w:hAnsi="David" w:cs="David"/>
          <w:sz w:val="24"/>
          <w:szCs w:val="24"/>
          <w:rtl/>
        </w:rPr>
        <w:t>ענף הנדל"ן והבינוי</w:t>
      </w:r>
      <w:r w:rsidRPr="0003749B">
        <w:rPr>
          <w:rFonts w:ascii="David" w:hAnsi="David" w:cs="David"/>
          <w:sz w:val="24"/>
          <w:szCs w:val="24"/>
          <w:rtl/>
        </w:rPr>
        <w:t xml:space="preserve"> ממשיכות להוביל בגיוסים – כ-54% מההנפקות ברביע זה בוצעו על ידן</w:t>
      </w:r>
      <w:r w:rsidR="0032510F" w:rsidRPr="0003749B">
        <w:rPr>
          <w:rFonts w:ascii="David" w:hAnsi="David" w:cs="David"/>
          <w:sz w:val="24"/>
          <w:szCs w:val="24"/>
          <w:rtl/>
        </w:rPr>
        <w:t>.</w:t>
      </w:r>
    </w:p>
    <w:p w:rsidR="002A51F1" w:rsidRPr="0003749B" w:rsidRDefault="002B4634" w:rsidP="00C55E2C">
      <w:pPr>
        <w:pStyle w:val="a9"/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3749B">
        <w:rPr>
          <w:rFonts w:ascii="David" w:hAnsi="David" w:cs="David"/>
          <w:sz w:val="24"/>
          <w:szCs w:val="24"/>
          <w:rtl/>
        </w:rPr>
        <w:t>בחודש</w:t>
      </w:r>
      <w:r w:rsidR="0032510F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C55E2C" w:rsidRPr="0003749B">
        <w:rPr>
          <w:rFonts w:ascii="David" w:hAnsi="David" w:cs="David"/>
          <w:sz w:val="24"/>
          <w:szCs w:val="24"/>
          <w:rtl/>
        </w:rPr>
        <w:t xml:space="preserve">ינואר 2021 </w:t>
      </w:r>
      <w:r w:rsidR="0032510F" w:rsidRPr="0003749B">
        <w:rPr>
          <w:rFonts w:ascii="David" w:hAnsi="David" w:cs="David"/>
          <w:sz w:val="24"/>
          <w:szCs w:val="24"/>
          <w:rtl/>
        </w:rPr>
        <w:t>הנפיק המגזר העסקי אג"ח בשווי של כ-</w:t>
      </w:r>
      <w:r w:rsidRPr="0003749B">
        <w:rPr>
          <w:rFonts w:ascii="David" w:hAnsi="David" w:cs="David"/>
          <w:sz w:val="24"/>
          <w:szCs w:val="24"/>
          <w:rtl/>
        </w:rPr>
        <w:t xml:space="preserve">4 </w:t>
      </w:r>
      <w:r w:rsidR="0032510F" w:rsidRPr="0003749B">
        <w:rPr>
          <w:rFonts w:ascii="David" w:hAnsi="David" w:cs="David"/>
          <w:sz w:val="24"/>
          <w:szCs w:val="24"/>
          <w:rtl/>
        </w:rPr>
        <w:t xml:space="preserve">מיליארדי ש"ח, </w:t>
      </w:r>
      <w:r w:rsidRPr="0003749B">
        <w:rPr>
          <w:rFonts w:ascii="David" w:hAnsi="David" w:cs="David"/>
          <w:sz w:val="24"/>
          <w:szCs w:val="24"/>
          <w:rtl/>
        </w:rPr>
        <w:t>רובן באג"ח סחירות</w:t>
      </w:r>
      <w:r w:rsidR="0032510F" w:rsidRPr="0003749B">
        <w:rPr>
          <w:rFonts w:ascii="David" w:hAnsi="David" w:cs="David"/>
          <w:sz w:val="24"/>
          <w:szCs w:val="24"/>
          <w:rtl/>
        </w:rPr>
        <w:t xml:space="preserve">. </w:t>
      </w:r>
      <w:r w:rsidR="00070391" w:rsidRPr="0003749B">
        <w:rPr>
          <w:rFonts w:ascii="David" w:hAnsi="David" w:cs="David"/>
          <w:sz w:val="24"/>
          <w:szCs w:val="24"/>
          <w:rtl/>
        </w:rPr>
        <w:t>(איור 3)</w:t>
      </w:r>
      <w:r w:rsidR="008E0911" w:rsidRPr="0003749B">
        <w:rPr>
          <w:rFonts w:ascii="David" w:hAnsi="David" w:cs="David"/>
          <w:sz w:val="24"/>
          <w:szCs w:val="24"/>
          <w:rtl/>
        </w:rPr>
        <w:t>.</w:t>
      </w:r>
    </w:p>
    <w:p w:rsidR="00E44E3D" w:rsidRPr="0003749B" w:rsidRDefault="00B17282" w:rsidP="00CB0D32">
      <w:pPr>
        <w:pStyle w:val="a9"/>
        <w:numPr>
          <w:ilvl w:val="0"/>
          <w:numId w:val="8"/>
        </w:numPr>
        <w:bidi/>
        <w:spacing w:before="240" w:after="120" w:line="360" w:lineRule="auto"/>
        <w:jc w:val="both"/>
        <w:rPr>
          <w:rFonts w:ascii="David" w:hAnsi="David" w:cs="David"/>
          <w:sz w:val="24"/>
          <w:szCs w:val="24"/>
        </w:rPr>
      </w:pPr>
      <w:r w:rsidRPr="0003749B">
        <w:rPr>
          <w:rFonts w:ascii="David" w:hAnsi="David" w:cs="David"/>
          <w:sz w:val="24"/>
          <w:szCs w:val="24"/>
          <w:rtl/>
        </w:rPr>
        <w:lastRenderedPageBreak/>
        <w:t>ברביע ה</w:t>
      </w:r>
      <w:r w:rsidR="00417C8B" w:rsidRPr="0003749B">
        <w:rPr>
          <w:rFonts w:ascii="David" w:hAnsi="David" w:cs="David"/>
          <w:sz w:val="24"/>
          <w:szCs w:val="24"/>
          <w:rtl/>
        </w:rPr>
        <w:t>רביעי</w:t>
      </w:r>
      <w:r w:rsidRPr="0003749B">
        <w:rPr>
          <w:rFonts w:ascii="David" w:hAnsi="David" w:cs="David"/>
          <w:sz w:val="24"/>
          <w:szCs w:val="24"/>
          <w:rtl/>
        </w:rPr>
        <w:t xml:space="preserve"> של השנה </w:t>
      </w:r>
      <w:r w:rsidR="00985B74" w:rsidRPr="0003749B">
        <w:rPr>
          <w:rFonts w:ascii="David" w:hAnsi="David" w:cs="David"/>
          <w:b/>
          <w:bCs/>
          <w:sz w:val="24"/>
          <w:szCs w:val="24"/>
          <w:rtl/>
        </w:rPr>
        <w:t>ה</w:t>
      </w:r>
      <w:r w:rsidR="00416818" w:rsidRPr="0003749B">
        <w:rPr>
          <w:rFonts w:ascii="David" w:hAnsi="David" w:cs="David"/>
          <w:b/>
          <w:bCs/>
          <w:sz w:val="24"/>
          <w:szCs w:val="24"/>
          <w:rtl/>
        </w:rPr>
        <w:t>מרווח</w:t>
      </w:r>
      <w:r w:rsidR="00884ED4" w:rsidRPr="0003749B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3"/>
      </w:r>
      <w:r w:rsidR="00884ED4" w:rsidRPr="0003749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16818" w:rsidRPr="0003749B">
        <w:rPr>
          <w:rFonts w:ascii="David" w:hAnsi="David" w:cs="David"/>
          <w:b/>
          <w:bCs/>
          <w:sz w:val="24"/>
          <w:szCs w:val="24"/>
          <w:rtl/>
        </w:rPr>
        <w:t xml:space="preserve">בין תשואת </w:t>
      </w:r>
      <w:proofErr w:type="spellStart"/>
      <w:r w:rsidR="00BD4578" w:rsidRPr="0003749B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="00BD4578" w:rsidRPr="0003749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="00BD4578" w:rsidRPr="0003749B">
        <w:rPr>
          <w:rFonts w:ascii="David" w:hAnsi="David" w:cs="David"/>
          <w:b/>
          <w:bCs/>
          <w:sz w:val="24"/>
          <w:szCs w:val="24"/>
          <w:rtl/>
        </w:rPr>
        <w:t>הקונצרניות</w:t>
      </w:r>
      <w:proofErr w:type="spellEnd"/>
      <w:r w:rsidR="00BD4578" w:rsidRPr="0003749B">
        <w:rPr>
          <w:rFonts w:ascii="David" w:hAnsi="David" w:cs="David"/>
          <w:b/>
          <w:bCs/>
          <w:sz w:val="24"/>
          <w:szCs w:val="24"/>
          <w:rtl/>
        </w:rPr>
        <w:t xml:space="preserve"> הכלולות במדד</w:t>
      </w:r>
      <w:r w:rsidR="00985B74" w:rsidRPr="0003749B">
        <w:rPr>
          <w:rFonts w:ascii="David" w:hAnsi="David" w:cs="David"/>
          <w:b/>
          <w:bCs/>
          <w:sz w:val="24"/>
          <w:szCs w:val="24"/>
          <w:rtl/>
        </w:rPr>
        <w:t xml:space="preserve"> תל בונד 60, לבין תשואת </w:t>
      </w:r>
      <w:proofErr w:type="spellStart"/>
      <w:r w:rsidR="00985B74" w:rsidRPr="0003749B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="00985B74" w:rsidRPr="0003749B">
        <w:rPr>
          <w:rFonts w:ascii="David" w:hAnsi="David" w:cs="David"/>
          <w:b/>
          <w:bCs/>
          <w:sz w:val="24"/>
          <w:szCs w:val="24"/>
          <w:rtl/>
        </w:rPr>
        <w:t xml:space="preserve"> הממשלתיות </w:t>
      </w:r>
      <w:r w:rsidR="00DA4279" w:rsidRPr="0003749B">
        <w:rPr>
          <w:rFonts w:ascii="David" w:hAnsi="David" w:cs="David"/>
          <w:b/>
          <w:bCs/>
          <w:sz w:val="24"/>
          <w:szCs w:val="24"/>
          <w:rtl/>
        </w:rPr>
        <w:t>הצמודות</w:t>
      </w:r>
      <w:r w:rsidR="00DA4279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7B314B" w:rsidRPr="0003749B">
        <w:rPr>
          <w:rFonts w:ascii="David" w:hAnsi="David" w:cs="David"/>
          <w:sz w:val="24"/>
          <w:szCs w:val="24"/>
          <w:rtl/>
        </w:rPr>
        <w:t>המשיך להצטמצם</w:t>
      </w:r>
      <w:r w:rsidR="003A0AEC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9B7097" w:rsidRPr="0003749B">
        <w:rPr>
          <w:rFonts w:ascii="David" w:hAnsi="David" w:cs="David"/>
          <w:sz w:val="24"/>
          <w:szCs w:val="24"/>
          <w:rtl/>
        </w:rPr>
        <w:t>בכ-</w:t>
      </w:r>
      <w:r w:rsidR="009A247B" w:rsidRPr="0003749B">
        <w:rPr>
          <w:rFonts w:ascii="David" w:hAnsi="David" w:cs="David"/>
          <w:sz w:val="24"/>
          <w:szCs w:val="24"/>
          <w:rtl/>
        </w:rPr>
        <w:t>0.</w:t>
      </w:r>
      <w:r w:rsidR="002618F7" w:rsidRPr="0003749B">
        <w:rPr>
          <w:rFonts w:ascii="David" w:hAnsi="David" w:cs="David"/>
          <w:sz w:val="24"/>
          <w:szCs w:val="24"/>
          <w:rtl/>
        </w:rPr>
        <w:t>2</w:t>
      </w:r>
      <w:r w:rsidR="009A247B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9B7097" w:rsidRPr="0003749B">
        <w:rPr>
          <w:rFonts w:ascii="David" w:hAnsi="David" w:cs="David"/>
          <w:sz w:val="24"/>
          <w:szCs w:val="24"/>
          <w:rtl/>
        </w:rPr>
        <w:t>נק' האחוז</w:t>
      </w:r>
      <w:r w:rsidR="00884ED4" w:rsidRPr="0003749B">
        <w:rPr>
          <w:rFonts w:ascii="David" w:hAnsi="David" w:cs="David"/>
          <w:sz w:val="24"/>
          <w:szCs w:val="24"/>
          <w:rtl/>
        </w:rPr>
        <w:t>,</w:t>
      </w:r>
      <w:r w:rsidR="00DA4279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416818" w:rsidRPr="0003749B">
        <w:rPr>
          <w:rFonts w:ascii="David" w:hAnsi="David" w:cs="David"/>
          <w:sz w:val="24"/>
          <w:szCs w:val="24"/>
          <w:rtl/>
        </w:rPr>
        <w:t>ל</w:t>
      </w:r>
      <w:r w:rsidR="002C2286" w:rsidRPr="0003749B">
        <w:rPr>
          <w:rFonts w:ascii="David" w:hAnsi="David" w:cs="David"/>
          <w:sz w:val="24"/>
          <w:szCs w:val="24"/>
          <w:rtl/>
        </w:rPr>
        <w:t>כ-</w:t>
      </w:r>
      <w:r w:rsidR="009A247B" w:rsidRPr="0003749B">
        <w:rPr>
          <w:rFonts w:ascii="David" w:hAnsi="David" w:cs="David"/>
          <w:sz w:val="24"/>
          <w:szCs w:val="24"/>
          <w:rtl/>
        </w:rPr>
        <w:t>1.</w:t>
      </w:r>
      <w:r w:rsidR="002618F7" w:rsidRPr="0003749B">
        <w:rPr>
          <w:rFonts w:ascii="David" w:hAnsi="David" w:cs="David"/>
          <w:sz w:val="24"/>
          <w:szCs w:val="24"/>
          <w:rtl/>
        </w:rPr>
        <w:t>2</w:t>
      </w:r>
      <w:r w:rsidRPr="0003749B">
        <w:rPr>
          <w:rFonts w:ascii="David" w:hAnsi="David" w:cs="David"/>
          <w:sz w:val="24"/>
          <w:szCs w:val="24"/>
          <w:rtl/>
        </w:rPr>
        <w:t xml:space="preserve"> נק' האחוז</w:t>
      </w:r>
      <w:r w:rsidR="009A247B" w:rsidRPr="0003749B">
        <w:rPr>
          <w:rFonts w:ascii="David" w:hAnsi="David" w:cs="David"/>
          <w:sz w:val="24"/>
          <w:szCs w:val="24"/>
          <w:rtl/>
        </w:rPr>
        <w:t>, זאת לאחר ההתרחבות המשמעותית שנרשמה ברביע ה</w:t>
      </w:r>
      <w:r w:rsidR="007B314B" w:rsidRPr="0003749B">
        <w:rPr>
          <w:rFonts w:ascii="David" w:hAnsi="David" w:cs="David"/>
          <w:sz w:val="24"/>
          <w:szCs w:val="24"/>
          <w:rtl/>
        </w:rPr>
        <w:t>ראשון של השנה</w:t>
      </w:r>
      <w:r w:rsidR="009A247B" w:rsidRPr="0003749B">
        <w:rPr>
          <w:rFonts w:ascii="David" w:hAnsi="David" w:cs="David"/>
          <w:sz w:val="24"/>
          <w:szCs w:val="24"/>
          <w:rtl/>
        </w:rPr>
        <w:t>, בעיקר בחודש מרץ, על רקע משבר הקורונה</w:t>
      </w:r>
      <w:r w:rsidR="00884ED4" w:rsidRPr="0003749B">
        <w:rPr>
          <w:rFonts w:ascii="David" w:hAnsi="David" w:cs="David"/>
          <w:sz w:val="24"/>
          <w:szCs w:val="24"/>
          <w:rtl/>
        </w:rPr>
        <w:t xml:space="preserve">. </w:t>
      </w:r>
      <w:r w:rsidR="008E7A02" w:rsidRPr="0003749B">
        <w:rPr>
          <w:rFonts w:ascii="David" w:hAnsi="David" w:cs="David"/>
          <w:sz w:val="24"/>
          <w:szCs w:val="24"/>
          <w:rtl/>
        </w:rPr>
        <w:t>ב</w:t>
      </w:r>
      <w:r w:rsidR="00DA277E" w:rsidRPr="0003749B">
        <w:rPr>
          <w:rFonts w:ascii="David" w:hAnsi="David" w:cs="David"/>
          <w:sz w:val="24"/>
          <w:szCs w:val="24"/>
          <w:rtl/>
        </w:rPr>
        <w:t xml:space="preserve">חודשים </w:t>
      </w:r>
      <w:r w:rsidR="002618F7" w:rsidRPr="0003749B">
        <w:rPr>
          <w:rFonts w:ascii="David" w:hAnsi="David" w:cs="David"/>
          <w:sz w:val="24"/>
          <w:szCs w:val="24"/>
          <w:rtl/>
        </w:rPr>
        <w:t>ינואר</w:t>
      </w:r>
      <w:r w:rsidR="00CB0D32" w:rsidRPr="0003749B">
        <w:rPr>
          <w:rFonts w:ascii="David" w:hAnsi="David" w:cs="David"/>
          <w:sz w:val="24"/>
          <w:szCs w:val="24"/>
          <w:rtl/>
        </w:rPr>
        <w:t xml:space="preserve"> ופברואר</w:t>
      </w:r>
      <w:r w:rsidR="002618F7" w:rsidRPr="0003749B">
        <w:rPr>
          <w:rFonts w:ascii="David" w:hAnsi="David" w:cs="David"/>
          <w:sz w:val="24"/>
          <w:szCs w:val="24"/>
          <w:rtl/>
        </w:rPr>
        <w:t xml:space="preserve"> 2021</w:t>
      </w:r>
      <w:r w:rsidR="008E7A02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9A247B" w:rsidRPr="0003749B">
        <w:rPr>
          <w:rFonts w:ascii="David" w:hAnsi="David" w:cs="David"/>
          <w:sz w:val="24"/>
          <w:szCs w:val="24"/>
          <w:rtl/>
        </w:rPr>
        <w:t>מרווח זה המשיך להצטמצם עד לרמה של כ-</w:t>
      </w:r>
      <w:r w:rsidR="002618F7" w:rsidRPr="0003749B">
        <w:rPr>
          <w:rFonts w:ascii="David" w:hAnsi="David" w:cs="David"/>
          <w:sz w:val="24"/>
          <w:szCs w:val="24"/>
          <w:rtl/>
        </w:rPr>
        <w:t>1.1</w:t>
      </w:r>
      <w:r w:rsidR="009A247B" w:rsidRPr="0003749B">
        <w:rPr>
          <w:rFonts w:ascii="David" w:hAnsi="David" w:cs="David"/>
          <w:sz w:val="24"/>
          <w:szCs w:val="24"/>
          <w:rtl/>
        </w:rPr>
        <w:t xml:space="preserve"> נק' האחוז. </w:t>
      </w:r>
      <w:r w:rsidR="00070391" w:rsidRPr="0003749B">
        <w:rPr>
          <w:rFonts w:ascii="David" w:hAnsi="David" w:cs="David"/>
          <w:sz w:val="24"/>
          <w:szCs w:val="24"/>
          <w:rtl/>
        </w:rPr>
        <w:t>(איור 4)</w:t>
      </w:r>
      <w:r w:rsidR="008E0911" w:rsidRPr="0003749B">
        <w:rPr>
          <w:rFonts w:ascii="David" w:hAnsi="David" w:cs="David"/>
          <w:sz w:val="24"/>
          <w:szCs w:val="24"/>
          <w:rtl/>
        </w:rPr>
        <w:t>.</w:t>
      </w:r>
    </w:p>
    <w:p w:rsidR="00E33B1C" w:rsidRPr="0003749B" w:rsidRDefault="00E33B1C" w:rsidP="00E33B1C">
      <w:pPr>
        <w:pStyle w:val="a9"/>
        <w:bidi/>
        <w:spacing w:before="240" w:after="120" w:line="360" w:lineRule="auto"/>
        <w:jc w:val="both"/>
        <w:rPr>
          <w:rFonts w:ascii="David" w:hAnsi="David" w:cs="David"/>
          <w:sz w:val="24"/>
          <w:szCs w:val="24"/>
        </w:rPr>
      </w:pPr>
    </w:p>
    <w:p w:rsidR="00F21AEA" w:rsidRPr="0003749B" w:rsidRDefault="00AC3E61" w:rsidP="00F21AEA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rtl/>
        </w:rPr>
      </w:pPr>
      <w:r w:rsidRPr="0003749B">
        <w:rPr>
          <w:rFonts w:ascii="David" w:hAnsi="David" w:cs="David"/>
          <w:b/>
          <w:bCs/>
          <w:rtl/>
        </w:rPr>
        <w:t>לוח 1: התפלגות החוב של המגזר העסקי</w:t>
      </w:r>
      <w:r w:rsidR="001E78A9" w:rsidRPr="0003749B">
        <w:rPr>
          <w:rFonts w:ascii="David" w:hAnsi="David" w:cs="David"/>
          <w:b/>
          <w:bCs/>
          <w:rtl/>
        </w:rPr>
        <w:t xml:space="preserve"> הלא-פיננסי</w:t>
      </w:r>
      <w:r w:rsidR="0012175B" w:rsidRPr="0003749B">
        <w:rPr>
          <w:rFonts w:ascii="David" w:hAnsi="David" w:cs="David"/>
          <w:sz w:val="22"/>
          <w:szCs w:val="22"/>
          <w:vertAlign w:val="superscript"/>
          <w:rtl/>
        </w:rPr>
        <w:t>1</w:t>
      </w:r>
      <w:r w:rsidR="00303DA6" w:rsidRPr="0003749B">
        <w:rPr>
          <w:rFonts w:ascii="David" w:hAnsi="David" w:cs="David"/>
          <w:sz w:val="22"/>
          <w:szCs w:val="22"/>
          <w:vertAlign w:val="superscript"/>
          <w:rtl/>
        </w:rPr>
        <w:t xml:space="preserve"> </w:t>
      </w:r>
    </w:p>
    <w:p w:rsidR="002A60C4" w:rsidRPr="0003749B" w:rsidRDefault="00E33B1C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  <w:r w:rsidRPr="0003749B">
        <w:rPr>
          <w:rFonts w:ascii="David" w:hAnsi="David" w:cs="David"/>
          <w:noProof/>
          <w:rtl/>
        </w:rPr>
        <w:drawing>
          <wp:inline distT="0" distB="0" distL="0" distR="0">
            <wp:extent cx="5278120" cy="2502709"/>
            <wp:effectExtent l="0" t="0" r="0" b="0"/>
            <wp:docPr id="1" name="תמונה 1" descr="לוח 1: התפלגות החוב של המגזר העסקי הלא-פיננסי" title="לוח 1: התפלגות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0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B1C" w:rsidRPr="0003749B" w:rsidRDefault="00E33B1C" w:rsidP="00E33B1C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</w:p>
    <w:p w:rsidR="00E33B1C" w:rsidRPr="0003749B" w:rsidRDefault="00E33B1C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  <w:lang w:eastAsia="en-US"/>
        </w:rPr>
      </w:pPr>
      <w:bookmarkStart w:id="0" w:name="_GoBack"/>
      <w:r w:rsidRPr="0003749B">
        <w:rPr>
          <w:rFonts w:ascii="David" w:hAnsi="David" w:cs="David"/>
          <w:b/>
          <w:bCs/>
          <w:rtl/>
        </w:rPr>
        <w:br w:type="page"/>
      </w:r>
    </w:p>
    <w:bookmarkEnd w:id="0"/>
    <w:p w:rsidR="00AC3E61" w:rsidRPr="0003749B" w:rsidRDefault="00AC3E61" w:rsidP="00E33B1C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</w:rPr>
      </w:pPr>
      <w:r w:rsidRPr="0003749B">
        <w:rPr>
          <w:rFonts w:ascii="David" w:hAnsi="David" w:cs="David"/>
          <w:b/>
          <w:bCs/>
          <w:rtl/>
        </w:rPr>
        <w:lastRenderedPageBreak/>
        <w:t xml:space="preserve">איור 1: </w:t>
      </w:r>
      <w:r w:rsidR="00AD3F98" w:rsidRPr="0003749B">
        <w:rPr>
          <w:rFonts w:ascii="David" w:hAnsi="David" w:cs="David"/>
          <w:b/>
          <w:bCs/>
          <w:rtl/>
        </w:rPr>
        <w:t xml:space="preserve">אומדן </w:t>
      </w:r>
      <w:r w:rsidR="00374BF3" w:rsidRPr="0003749B">
        <w:rPr>
          <w:rFonts w:ascii="David" w:hAnsi="David" w:cs="David"/>
          <w:b/>
          <w:bCs/>
          <w:rtl/>
        </w:rPr>
        <w:t>לתנועות של סך ה</w:t>
      </w:r>
      <w:r w:rsidR="00AD3F98" w:rsidRPr="0003749B">
        <w:rPr>
          <w:rFonts w:ascii="David" w:hAnsi="David" w:cs="David"/>
          <w:b/>
          <w:bCs/>
          <w:rtl/>
        </w:rPr>
        <w:t>חוב של</w:t>
      </w:r>
      <w:r w:rsidRPr="0003749B">
        <w:rPr>
          <w:rFonts w:ascii="David" w:hAnsi="David" w:cs="David"/>
          <w:b/>
          <w:bCs/>
          <w:rtl/>
        </w:rPr>
        <w:t xml:space="preserve"> </w:t>
      </w:r>
      <w:r w:rsidR="0004490E" w:rsidRPr="0003749B">
        <w:rPr>
          <w:rFonts w:ascii="David" w:hAnsi="David" w:cs="David"/>
          <w:b/>
          <w:bCs/>
          <w:rtl/>
        </w:rPr>
        <w:t>המגזר</w:t>
      </w:r>
      <w:r w:rsidR="00AD3F98" w:rsidRPr="0003749B">
        <w:rPr>
          <w:rFonts w:ascii="David" w:hAnsi="David" w:cs="David"/>
          <w:b/>
          <w:bCs/>
          <w:rtl/>
        </w:rPr>
        <w:t xml:space="preserve"> העסקי </w:t>
      </w:r>
      <w:r w:rsidR="001E78A9" w:rsidRPr="0003749B">
        <w:rPr>
          <w:rFonts w:ascii="David" w:hAnsi="David" w:cs="David"/>
          <w:b/>
          <w:bCs/>
          <w:rtl/>
        </w:rPr>
        <w:t>הלא-פיננסי</w:t>
      </w:r>
    </w:p>
    <w:p w:rsidR="002A60C4" w:rsidRPr="0003749B" w:rsidRDefault="00F608D8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3749B">
        <w:rPr>
          <w:rFonts w:ascii="David" w:hAnsi="David" w:cs="David"/>
          <w:noProof/>
          <w:lang w:eastAsia="en-US"/>
        </w:rPr>
        <w:drawing>
          <wp:inline distT="0" distB="0" distL="0" distR="0">
            <wp:extent cx="5262880" cy="2722245"/>
            <wp:effectExtent l="0" t="0" r="0" b="1905"/>
            <wp:docPr id="18" name="תמונה 18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E8" w:rsidRPr="0003749B" w:rsidRDefault="00AC3E61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</w:rPr>
      </w:pPr>
      <w:r w:rsidRPr="0003749B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75551" w:rsidRPr="0003749B" w:rsidRDefault="00675551" w:rsidP="00105A3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3749B">
        <w:rPr>
          <w:rFonts w:ascii="David" w:hAnsi="David" w:cs="David"/>
          <w:b/>
          <w:bCs/>
          <w:sz w:val="24"/>
          <w:szCs w:val="24"/>
          <w:rtl/>
        </w:rPr>
        <w:t>איור 2: שיעורי השינוי לעומת הרביע המקביל בשנה הקודמת בחוב הבנקאי והחוץ-בנקאי של המגזר העסקי</w:t>
      </w:r>
      <w:r w:rsidR="001E78A9" w:rsidRPr="0003749B">
        <w:rPr>
          <w:rFonts w:ascii="David" w:hAnsi="David" w:cs="David"/>
          <w:b/>
          <w:bCs/>
          <w:sz w:val="24"/>
          <w:szCs w:val="24"/>
          <w:rtl/>
        </w:rPr>
        <w:t xml:space="preserve"> הלא-פיננסי</w:t>
      </w:r>
    </w:p>
    <w:p w:rsidR="00675551" w:rsidRPr="0003749B" w:rsidRDefault="00E33B1C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3749B">
        <w:rPr>
          <w:rFonts w:ascii="David" w:hAnsi="David" w:cs="David"/>
          <w:noProof/>
          <w:rtl/>
          <w:lang w:eastAsia="en-US"/>
        </w:rPr>
        <w:drawing>
          <wp:inline distT="0" distB="0" distL="0" distR="0">
            <wp:extent cx="5257800" cy="2543175"/>
            <wp:effectExtent l="0" t="0" r="0" b="9525"/>
            <wp:docPr id="3" name="תמונה 3" descr="שיעורי השינוי לעומת הרביע המקביל בשנה הקודמת בחוב הבנקאי והחוץ-בנקאי של המגזר העסקי הלא-פיננסי" title="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B1C" w:rsidRPr="0003749B" w:rsidRDefault="00E33B1C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03749B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AC3E61" w:rsidRPr="0003749B" w:rsidRDefault="00AC3E61" w:rsidP="00C9450A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03749B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03749B">
        <w:rPr>
          <w:rFonts w:ascii="David" w:hAnsi="David" w:cs="David"/>
          <w:b/>
          <w:bCs/>
          <w:sz w:val="24"/>
          <w:szCs w:val="24"/>
        </w:rPr>
        <w:t>3</w:t>
      </w:r>
      <w:r w:rsidRPr="0003749B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D602E8" w:rsidRPr="0003749B">
        <w:rPr>
          <w:rFonts w:ascii="David" w:hAnsi="David" w:cs="David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03749B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83505" w:rsidRPr="0003749B" w:rsidRDefault="00E33B1C" w:rsidP="001F1E1B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3749B">
        <w:rPr>
          <w:rFonts w:ascii="David" w:hAnsi="David" w:cs="David"/>
          <w:noProof/>
          <w:lang w:eastAsia="en-US"/>
        </w:rPr>
        <w:drawing>
          <wp:inline distT="0" distB="0" distL="0" distR="0">
            <wp:extent cx="5210175" cy="2962275"/>
            <wp:effectExtent l="0" t="0" r="9525" b="9525"/>
            <wp:docPr id="4" name="תמונה 4" descr="הנפקות אג&quot;ח של המגזר העסקי הלא-פיננסי במהלך הרביע, לפי ענפים " title="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67" w:rsidRPr="0003749B" w:rsidRDefault="00402A67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522BB0" w:rsidRPr="0003749B" w:rsidRDefault="00522BB0" w:rsidP="00070391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3749B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03749B">
        <w:rPr>
          <w:rFonts w:ascii="David" w:hAnsi="David" w:cs="David"/>
          <w:b/>
          <w:bCs/>
          <w:sz w:val="24"/>
          <w:szCs w:val="24"/>
        </w:rPr>
        <w:t>4</w:t>
      </w:r>
      <w:r w:rsidRPr="0003749B">
        <w:rPr>
          <w:rFonts w:ascii="David" w:hAnsi="David" w:cs="David"/>
          <w:b/>
          <w:bCs/>
          <w:sz w:val="24"/>
          <w:szCs w:val="24"/>
          <w:rtl/>
        </w:rPr>
        <w:t>: המרווח בין אג"ח חברות צמוד</w:t>
      </w:r>
      <w:r w:rsidR="00416818" w:rsidRPr="0003749B">
        <w:rPr>
          <w:rFonts w:ascii="David" w:hAnsi="David" w:cs="David"/>
          <w:b/>
          <w:bCs/>
          <w:sz w:val="24"/>
          <w:szCs w:val="24"/>
          <w:rtl/>
        </w:rPr>
        <w:t>ות</w:t>
      </w:r>
      <w:r w:rsidRPr="0003749B">
        <w:rPr>
          <w:rFonts w:ascii="David" w:hAnsi="David" w:cs="David"/>
          <w:b/>
          <w:bCs/>
          <w:sz w:val="24"/>
          <w:szCs w:val="24"/>
          <w:rtl/>
        </w:rPr>
        <w:t xml:space="preserve"> (תל בונד 60) לאג"ח ממשלתי</w:t>
      </w:r>
      <w:r w:rsidR="00416818" w:rsidRPr="0003749B">
        <w:rPr>
          <w:rFonts w:ascii="David" w:hAnsi="David" w:cs="David"/>
          <w:b/>
          <w:bCs/>
          <w:sz w:val="24"/>
          <w:szCs w:val="24"/>
          <w:rtl/>
        </w:rPr>
        <w:t>ות</w:t>
      </w:r>
      <w:r w:rsidRPr="0003749B">
        <w:rPr>
          <w:rFonts w:ascii="David" w:hAnsi="David" w:cs="David"/>
          <w:b/>
          <w:bCs/>
          <w:sz w:val="24"/>
          <w:szCs w:val="24"/>
          <w:rtl/>
        </w:rPr>
        <w:t xml:space="preserve"> צמוד</w:t>
      </w:r>
      <w:r w:rsidR="00416818" w:rsidRPr="0003749B">
        <w:rPr>
          <w:rFonts w:ascii="David" w:hAnsi="David" w:cs="David"/>
          <w:b/>
          <w:bCs/>
          <w:sz w:val="24"/>
          <w:szCs w:val="24"/>
          <w:rtl/>
        </w:rPr>
        <w:t>ות</w:t>
      </w:r>
      <w:r w:rsidRPr="0003749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749B">
        <w:rPr>
          <w:rFonts w:ascii="David" w:hAnsi="David" w:cs="David"/>
          <w:b/>
          <w:bCs/>
          <w:sz w:val="24"/>
          <w:szCs w:val="24"/>
          <w:rtl/>
        </w:rPr>
        <w:br/>
        <w:t>(ממוצע חודשי)</w:t>
      </w:r>
    </w:p>
    <w:p w:rsidR="00522BB0" w:rsidRPr="0003749B" w:rsidRDefault="00CB0D32" w:rsidP="00522BB0">
      <w:pPr>
        <w:pStyle w:val="a9"/>
        <w:bidi/>
        <w:spacing w:line="360" w:lineRule="auto"/>
        <w:ind w:left="-52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3749B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0EDF849D">
            <wp:extent cx="5316220" cy="2743200"/>
            <wp:effectExtent l="0" t="0" r="0" b="0"/>
            <wp:docPr id="2" name="תמונה 2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03749B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:rsidR="009F574F" w:rsidRPr="0003749B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ascii="David" w:hAnsi="David" w:cs="David"/>
        </w:rPr>
      </w:pPr>
      <w:r w:rsidRPr="0003749B">
        <w:rPr>
          <w:rStyle w:val="10"/>
          <w:rFonts w:ascii="David" w:hAnsi="David" w:cs="David"/>
          <w:rtl/>
        </w:rPr>
        <w:t>החוב של משקי הבית</w:t>
      </w:r>
    </w:p>
    <w:p w:rsidR="002E4976" w:rsidRPr="0003749B" w:rsidRDefault="007D218D" w:rsidP="007D218D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03749B">
        <w:rPr>
          <w:rFonts w:ascii="David" w:hAnsi="David" w:cs="David"/>
          <w:b/>
          <w:bCs/>
          <w:sz w:val="24"/>
          <w:szCs w:val="24"/>
          <w:rtl/>
        </w:rPr>
        <w:t>יתרת החוב של משקי הבית</w:t>
      </w:r>
      <w:r w:rsidRPr="0003749B">
        <w:rPr>
          <w:rFonts w:ascii="David" w:hAnsi="David" w:cs="David"/>
          <w:sz w:val="24"/>
          <w:szCs w:val="24"/>
          <w:rtl/>
        </w:rPr>
        <w:t xml:space="preserve"> גדלה ברביע הרביעי של שנת 2020 לרמה של כ-612 מיליארדי ש"ח - עלייה של כ-10 מיליארדים (1.6%) שמרביתה (כ-9 מיליארדים) ביתרת </w:t>
      </w:r>
      <w:r w:rsidRPr="0003749B">
        <w:rPr>
          <w:rFonts w:ascii="David" w:hAnsi="David" w:cs="David"/>
          <w:b/>
          <w:bCs/>
          <w:sz w:val="24"/>
          <w:szCs w:val="24"/>
          <w:rtl/>
        </w:rPr>
        <w:t>החוב לדיור</w:t>
      </w:r>
      <w:r w:rsidRPr="0003749B">
        <w:rPr>
          <w:rFonts w:ascii="David" w:hAnsi="David" w:cs="David"/>
          <w:sz w:val="24"/>
          <w:szCs w:val="24"/>
          <w:rtl/>
        </w:rPr>
        <w:t>;</w:t>
      </w:r>
      <w:r w:rsidRPr="0003749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749B">
        <w:rPr>
          <w:rFonts w:ascii="David" w:hAnsi="David" w:cs="David"/>
          <w:sz w:val="24"/>
          <w:szCs w:val="24"/>
          <w:rtl/>
        </w:rPr>
        <w:t>יתרת</w:t>
      </w:r>
      <w:r w:rsidRPr="0003749B">
        <w:rPr>
          <w:rFonts w:ascii="David" w:hAnsi="David" w:cs="David"/>
          <w:b/>
          <w:bCs/>
          <w:sz w:val="24"/>
          <w:szCs w:val="24"/>
          <w:rtl/>
        </w:rPr>
        <w:t xml:space="preserve"> החוב לא-לדיור</w:t>
      </w:r>
      <w:r w:rsidRPr="0003749B">
        <w:rPr>
          <w:rFonts w:ascii="David" w:hAnsi="David" w:cs="David"/>
          <w:sz w:val="24"/>
          <w:szCs w:val="24"/>
          <w:rtl/>
        </w:rPr>
        <w:t xml:space="preserve"> גדלה בשיעור מתון של כ-0.4% לרמה של כ-195 מיליארדי ש"ח, ובכך לראשונה השנה נרשמה עלייה ביתרת זו לאחר ירידה שהחלה מהרביע הראשון של השנה, על רקע משבר הקורונה </w:t>
      </w:r>
      <w:r w:rsidR="002E4976" w:rsidRPr="0003749B">
        <w:rPr>
          <w:rFonts w:ascii="David" w:hAnsi="David" w:cs="David"/>
          <w:sz w:val="24"/>
          <w:szCs w:val="24"/>
          <w:rtl/>
        </w:rPr>
        <w:t xml:space="preserve">(איור 5). </w:t>
      </w:r>
    </w:p>
    <w:p w:rsidR="006B0BAE" w:rsidRPr="0003749B" w:rsidRDefault="007D218D" w:rsidP="00BD5E1E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03749B">
        <w:rPr>
          <w:rFonts w:ascii="David" w:hAnsi="David" w:cs="David"/>
          <w:sz w:val="24"/>
          <w:szCs w:val="24"/>
          <w:rtl/>
        </w:rPr>
        <w:t>ברביע הרביעי</w:t>
      </w:r>
      <w:r w:rsidR="00F444FD" w:rsidRPr="0003749B">
        <w:rPr>
          <w:rFonts w:ascii="David" w:hAnsi="David" w:cs="David"/>
          <w:sz w:val="24"/>
          <w:szCs w:val="24"/>
          <w:rtl/>
        </w:rPr>
        <w:t xml:space="preserve"> של שנת 2020 נטילת משכנתאות חדשות הסתכמה בכ-</w:t>
      </w:r>
      <w:r w:rsidRPr="0003749B">
        <w:rPr>
          <w:rFonts w:ascii="David" w:hAnsi="David" w:cs="David"/>
          <w:sz w:val="24"/>
          <w:szCs w:val="24"/>
          <w:rtl/>
        </w:rPr>
        <w:t>22</w:t>
      </w:r>
      <w:r w:rsidR="00F444FD" w:rsidRPr="0003749B">
        <w:rPr>
          <w:rFonts w:ascii="David" w:hAnsi="David" w:cs="David"/>
          <w:sz w:val="24"/>
          <w:szCs w:val="24"/>
          <w:rtl/>
        </w:rPr>
        <w:t xml:space="preserve"> מיליארדי ש"ח, גבוה מהתקופה המקבילה אשתקד (כ-</w:t>
      </w:r>
      <w:r w:rsidR="00BD5E1E" w:rsidRPr="0003749B">
        <w:rPr>
          <w:rFonts w:ascii="David" w:hAnsi="David" w:cs="David"/>
          <w:sz w:val="24"/>
          <w:szCs w:val="24"/>
          <w:rtl/>
        </w:rPr>
        <w:t>17</w:t>
      </w:r>
      <w:r w:rsidR="00F444FD" w:rsidRPr="0003749B">
        <w:rPr>
          <w:rFonts w:ascii="David" w:hAnsi="David" w:cs="David"/>
          <w:sz w:val="24"/>
          <w:szCs w:val="24"/>
          <w:rtl/>
        </w:rPr>
        <w:t xml:space="preserve"> מיליארדים). עם זאת, ב</w:t>
      </w:r>
      <w:r w:rsidR="00BD5E1E" w:rsidRPr="0003749B">
        <w:rPr>
          <w:rFonts w:ascii="David" w:hAnsi="David" w:cs="David"/>
          <w:sz w:val="24"/>
          <w:szCs w:val="24"/>
          <w:rtl/>
        </w:rPr>
        <w:t>ינואר 2021</w:t>
      </w:r>
      <w:r w:rsidR="00F444FD" w:rsidRPr="0003749B">
        <w:rPr>
          <w:rFonts w:ascii="David" w:hAnsi="David" w:cs="David"/>
          <w:sz w:val="24"/>
          <w:szCs w:val="24"/>
          <w:rtl/>
        </w:rPr>
        <w:t xml:space="preserve"> נרשמה ירידה, עונתית ברובה, בנטילת משכנתאות חדשות והן הסתכמו בכ-</w:t>
      </w:r>
      <w:r w:rsidR="00BD5E1E" w:rsidRPr="0003749B">
        <w:rPr>
          <w:rFonts w:ascii="David" w:hAnsi="David" w:cs="David"/>
          <w:sz w:val="24"/>
          <w:szCs w:val="24"/>
          <w:rtl/>
        </w:rPr>
        <w:t>6</w:t>
      </w:r>
      <w:r w:rsidR="0085472F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F444FD" w:rsidRPr="0003749B">
        <w:rPr>
          <w:rFonts w:ascii="David" w:hAnsi="David" w:cs="David"/>
          <w:sz w:val="24"/>
          <w:szCs w:val="24"/>
          <w:rtl/>
        </w:rPr>
        <w:t xml:space="preserve">מיליארדי ש"ח. </w:t>
      </w:r>
      <w:r w:rsidR="00F444FD" w:rsidRPr="0003749B">
        <w:rPr>
          <w:rFonts w:ascii="David" w:hAnsi="David" w:cs="David"/>
          <w:sz w:val="24"/>
          <w:szCs w:val="24"/>
          <w:rtl/>
        </w:rPr>
        <w:lastRenderedPageBreak/>
        <w:t xml:space="preserve">בניכוי השפעות עונתיות, נטילת משכנתאות חדשות בחודש </w:t>
      </w:r>
      <w:r w:rsidR="00BD5E1E" w:rsidRPr="0003749B">
        <w:rPr>
          <w:rFonts w:ascii="David" w:hAnsi="David" w:cs="David"/>
          <w:sz w:val="24"/>
          <w:szCs w:val="24"/>
          <w:rtl/>
        </w:rPr>
        <w:t>ינואר</w:t>
      </w:r>
      <w:r w:rsidR="00F444FD" w:rsidRPr="0003749B">
        <w:rPr>
          <w:rFonts w:ascii="David" w:hAnsi="David" w:cs="David"/>
          <w:sz w:val="24"/>
          <w:szCs w:val="24"/>
          <w:rtl/>
        </w:rPr>
        <w:t xml:space="preserve"> עמדה על כ-</w:t>
      </w:r>
      <w:r w:rsidR="00BD5E1E" w:rsidRPr="0003749B">
        <w:rPr>
          <w:rFonts w:ascii="David" w:hAnsi="David" w:cs="David"/>
          <w:sz w:val="24"/>
          <w:szCs w:val="24"/>
          <w:rtl/>
        </w:rPr>
        <w:t xml:space="preserve">7 </w:t>
      </w:r>
      <w:r w:rsidR="00F444FD" w:rsidRPr="0003749B">
        <w:rPr>
          <w:rFonts w:ascii="David" w:hAnsi="David" w:cs="David"/>
          <w:sz w:val="24"/>
          <w:szCs w:val="24"/>
          <w:rtl/>
        </w:rPr>
        <w:t>מיליארדי ש"ח</w:t>
      </w:r>
      <w:r w:rsidR="004D5F4D" w:rsidRPr="0003749B">
        <w:rPr>
          <w:rFonts w:ascii="David" w:hAnsi="David" w:cs="David"/>
          <w:sz w:val="24"/>
          <w:szCs w:val="24"/>
          <w:rtl/>
        </w:rPr>
        <w:t>.</w:t>
      </w:r>
      <w:r w:rsidR="007C30EE" w:rsidRPr="0003749B">
        <w:rPr>
          <w:rFonts w:ascii="David" w:hAnsi="David" w:cs="David"/>
          <w:sz w:val="24"/>
          <w:szCs w:val="24"/>
          <w:rtl/>
        </w:rPr>
        <w:t xml:space="preserve"> </w:t>
      </w:r>
      <w:r w:rsidR="00664600" w:rsidRPr="0003749B">
        <w:rPr>
          <w:rFonts w:ascii="David" w:hAnsi="David" w:cs="David"/>
          <w:sz w:val="24"/>
          <w:szCs w:val="24"/>
          <w:rtl/>
        </w:rPr>
        <w:t xml:space="preserve">(איור </w:t>
      </w:r>
      <w:r w:rsidR="00DA4977" w:rsidRPr="0003749B">
        <w:rPr>
          <w:rFonts w:ascii="David" w:hAnsi="David" w:cs="David"/>
          <w:sz w:val="24"/>
          <w:szCs w:val="24"/>
          <w:rtl/>
        </w:rPr>
        <w:t>6</w:t>
      </w:r>
      <w:r w:rsidR="00060D8E" w:rsidRPr="0003749B">
        <w:rPr>
          <w:rFonts w:ascii="David" w:hAnsi="David" w:cs="David"/>
          <w:sz w:val="24"/>
          <w:szCs w:val="24"/>
          <w:rtl/>
        </w:rPr>
        <w:t>)</w:t>
      </w:r>
      <w:r w:rsidR="00161CB7" w:rsidRPr="0003749B">
        <w:rPr>
          <w:rFonts w:ascii="David" w:hAnsi="David" w:cs="David"/>
          <w:sz w:val="24"/>
          <w:szCs w:val="24"/>
          <w:rtl/>
        </w:rPr>
        <w:t>.</w:t>
      </w:r>
    </w:p>
    <w:p w:rsidR="00E149DD" w:rsidRPr="0003749B" w:rsidRDefault="00AC3E61" w:rsidP="006B6CFA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03749B">
        <w:rPr>
          <w:rFonts w:ascii="David" w:hAnsi="David" w:cs="David"/>
          <w:b/>
          <w:bCs/>
          <w:sz w:val="24"/>
          <w:szCs w:val="24"/>
          <w:rtl/>
        </w:rPr>
        <w:t xml:space="preserve">לוח </w:t>
      </w:r>
      <w:r w:rsidR="00416818" w:rsidRPr="0003749B">
        <w:rPr>
          <w:rFonts w:ascii="David" w:hAnsi="David" w:cs="David"/>
          <w:b/>
          <w:bCs/>
          <w:sz w:val="24"/>
          <w:szCs w:val="24"/>
        </w:rPr>
        <w:t>2</w:t>
      </w:r>
      <w:r w:rsidRPr="0003749B">
        <w:rPr>
          <w:rFonts w:ascii="David" w:hAnsi="David" w:cs="David"/>
          <w:b/>
          <w:bCs/>
          <w:sz w:val="24"/>
          <w:szCs w:val="24"/>
          <w:rtl/>
        </w:rPr>
        <w:t>: יתרות החוב של משקי הבית</w:t>
      </w:r>
      <w:r w:rsidRPr="0003749B">
        <w:rPr>
          <w:rFonts w:ascii="David" w:hAnsi="David" w:cs="David"/>
          <w:b/>
          <w:bCs/>
          <w:sz w:val="24"/>
          <w:szCs w:val="24"/>
          <w:vertAlign w:val="superscript"/>
          <w:rtl/>
        </w:rPr>
        <w:t>1</w:t>
      </w:r>
      <w:r w:rsidR="009653F5" w:rsidRPr="0003749B">
        <w:rPr>
          <w:rFonts w:ascii="David" w:hAnsi="David" w:cs="David"/>
          <w:sz w:val="24"/>
          <w:szCs w:val="24"/>
        </w:rPr>
        <w:t xml:space="preserve"> </w:t>
      </w:r>
    </w:p>
    <w:p w:rsidR="006D3752" w:rsidRPr="0003749B" w:rsidRDefault="0085472F" w:rsidP="00E149DD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3749B">
        <w:rPr>
          <w:rFonts w:ascii="David" w:hAnsi="David" w:cs="David"/>
          <w:noProof/>
          <w:rtl/>
          <w:lang w:eastAsia="en-US"/>
        </w:rPr>
        <w:drawing>
          <wp:inline distT="0" distB="0" distL="0" distR="0">
            <wp:extent cx="5278120" cy="5166610"/>
            <wp:effectExtent l="0" t="0" r="0" b="0"/>
            <wp:docPr id="15" name="תמונה 15" descr="לוח 2: יתרות החוב של משקי הבית" title="לוח 2: 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1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03749B" w:rsidRDefault="00D46A28" w:rsidP="00DC51E3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46A28" w:rsidRPr="0003749B" w:rsidRDefault="00D46A28" w:rsidP="00D46A28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03749B" w:rsidRDefault="00941A49" w:rsidP="00D46A28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03749B" w:rsidRDefault="00941A49" w:rsidP="00941A49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03749B" w:rsidRDefault="00D251F2" w:rsidP="00E149DD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03749B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D47FBF" w:rsidRPr="0003749B" w:rsidRDefault="00D47FBF" w:rsidP="00070391">
      <w:pPr>
        <w:bidi/>
        <w:jc w:val="center"/>
        <w:rPr>
          <w:rFonts w:ascii="David" w:hAnsi="David" w:cs="David"/>
          <w:b/>
          <w:bCs/>
          <w:sz w:val="24"/>
          <w:szCs w:val="24"/>
        </w:rPr>
      </w:pPr>
      <w:r w:rsidRPr="0003749B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03749B">
        <w:rPr>
          <w:rFonts w:ascii="David" w:hAnsi="David" w:cs="David"/>
          <w:b/>
          <w:bCs/>
          <w:sz w:val="24"/>
          <w:szCs w:val="24"/>
        </w:rPr>
        <w:t>5</w:t>
      </w:r>
      <w:r w:rsidR="00DC51E3" w:rsidRPr="0003749B">
        <w:rPr>
          <w:rFonts w:ascii="David" w:hAnsi="David" w:cs="David"/>
          <w:b/>
          <w:bCs/>
          <w:sz w:val="24"/>
          <w:szCs w:val="24"/>
          <w:rtl/>
        </w:rPr>
        <w:t>:</w:t>
      </w:r>
      <w:r w:rsidRPr="0003749B">
        <w:rPr>
          <w:rFonts w:ascii="David" w:hAnsi="David" w:cs="David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6D3752" w:rsidRPr="0003749B" w:rsidRDefault="006D3752" w:rsidP="006D3752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10811" w:rsidRPr="0003749B" w:rsidRDefault="0085472F" w:rsidP="00B33FA0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3749B">
        <w:rPr>
          <w:rFonts w:ascii="David" w:hAnsi="David" w:cs="David"/>
          <w:noProof/>
          <w:rtl/>
          <w:lang w:eastAsia="en-US"/>
        </w:rPr>
        <w:drawing>
          <wp:inline distT="0" distB="0" distL="0" distR="0">
            <wp:extent cx="5257800" cy="2724150"/>
            <wp:effectExtent l="0" t="0" r="0" b="0"/>
            <wp:docPr id="16" name="תמונה 16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11" w:rsidRPr="0003749B" w:rsidRDefault="00C10811" w:rsidP="00C1081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80F81" w:rsidRPr="0003749B" w:rsidRDefault="00BF4C2E" w:rsidP="00DA4977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3749B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DA4977" w:rsidRPr="0003749B">
        <w:rPr>
          <w:rFonts w:ascii="David" w:hAnsi="David" w:cs="David"/>
          <w:b/>
          <w:bCs/>
          <w:sz w:val="24"/>
          <w:szCs w:val="24"/>
          <w:rtl/>
        </w:rPr>
        <w:t>6</w:t>
      </w:r>
      <w:r w:rsidRPr="0003749B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280F81" w:rsidRPr="0003749B">
        <w:rPr>
          <w:rFonts w:ascii="David" w:hAnsi="David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03749B">
        <w:rPr>
          <w:rFonts w:ascii="David" w:hAnsi="David" w:cs="David"/>
          <w:b/>
          <w:bCs/>
          <w:sz w:val="24"/>
          <w:szCs w:val="24"/>
          <w:rtl/>
        </w:rPr>
        <w:t xml:space="preserve"> (משכנתאות)</w:t>
      </w:r>
    </w:p>
    <w:p w:rsidR="00005C41" w:rsidRPr="0003749B" w:rsidRDefault="00005C41" w:rsidP="00005C4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324EF2" w:rsidRPr="0003749B" w:rsidRDefault="0085472F" w:rsidP="00280F81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03749B">
        <w:rPr>
          <w:rFonts w:ascii="David" w:hAnsi="David" w:cs="David"/>
          <w:noProof/>
          <w:rtl/>
          <w:lang w:eastAsia="en-US"/>
        </w:rPr>
        <w:drawing>
          <wp:inline distT="0" distB="0" distL="0" distR="0">
            <wp:extent cx="5248275" cy="2714625"/>
            <wp:effectExtent l="0" t="0" r="9525" b="9525"/>
            <wp:docPr id="17" name="תמונה 17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D41" w:rsidRPr="0003749B" w:rsidRDefault="006B0BAE" w:rsidP="00AD6881">
      <w:pPr>
        <w:pStyle w:val="a9"/>
        <w:bidi/>
        <w:spacing w:before="480" w:line="360" w:lineRule="auto"/>
        <w:ind w:left="0"/>
        <w:rPr>
          <w:rFonts w:ascii="David" w:hAnsi="David" w:cs="David"/>
          <w:sz w:val="24"/>
          <w:szCs w:val="24"/>
          <w:rtl/>
        </w:rPr>
      </w:pPr>
      <w:r w:rsidRPr="0003749B">
        <w:rPr>
          <w:rFonts w:ascii="David" w:hAnsi="David" w:cs="David"/>
          <w:sz w:val="24"/>
          <w:szCs w:val="24"/>
          <w:rtl/>
        </w:rPr>
        <w:t xml:space="preserve">ראה קישור למידע נוסף בנושא המופיע באתר הבנק בדף </w:t>
      </w:r>
      <w:hyperlink r:id="rId18" w:history="1">
        <w:r w:rsidRPr="0003749B">
          <w:rPr>
            <w:rStyle w:val="Hyperlink"/>
            <w:rFonts w:ascii="David" w:hAnsi="David" w:cs="David"/>
            <w:sz w:val="24"/>
            <w:szCs w:val="24"/>
            <w:rtl/>
          </w:rPr>
          <w:t>יתרות האשראי במשק</w:t>
        </w:r>
      </w:hyperlink>
      <w:r w:rsidRPr="0003749B">
        <w:rPr>
          <w:rFonts w:ascii="David" w:hAnsi="David" w:cs="David"/>
          <w:sz w:val="24"/>
          <w:szCs w:val="24"/>
          <w:rtl/>
        </w:rPr>
        <w:t xml:space="preserve">, קישור </w:t>
      </w:r>
      <w:hyperlink r:id="rId19" w:history="1">
        <w:r w:rsidRPr="0003749B">
          <w:rPr>
            <w:rStyle w:val="Hyperlink"/>
            <w:rFonts w:ascii="David" w:hAnsi="David" w:cs="David"/>
            <w:sz w:val="24"/>
            <w:szCs w:val="24"/>
            <w:rtl/>
          </w:rPr>
          <w:t>לנתוני משכנתאות</w:t>
        </w:r>
      </w:hyperlink>
      <w:r w:rsidR="00F97D41" w:rsidRPr="0003749B">
        <w:rPr>
          <w:rFonts w:ascii="David" w:hAnsi="David" w:cs="David"/>
          <w:sz w:val="24"/>
          <w:szCs w:val="24"/>
          <w:rtl/>
        </w:rPr>
        <w:t xml:space="preserve">, קישור לנתוני </w:t>
      </w:r>
      <w:hyperlink r:id="rId20" w:history="1">
        <w:r w:rsidR="00F97D41" w:rsidRPr="0003749B">
          <w:rPr>
            <w:rStyle w:val="Hyperlink"/>
            <w:rFonts w:ascii="David" w:hAnsi="David" w:cs="David"/>
            <w:sz w:val="24"/>
            <w:szCs w:val="24"/>
            <w:rtl/>
          </w:rPr>
          <w:t>מחירים בבנקים</w:t>
        </w:r>
      </w:hyperlink>
      <w:r w:rsidR="00F97D41" w:rsidRPr="0003749B">
        <w:rPr>
          <w:rFonts w:ascii="David" w:hAnsi="David" w:cs="David"/>
          <w:sz w:val="24"/>
          <w:szCs w:val="24"/>
          <w:rtl/>
        </w:rPr>
        <w:t>.</w:t>
      </w:r>
      <w:r w:rsidR="002559B7" w:rsidRPr="0003749B">
        <w:rPr>
          <w:rFonts w:ascii="David" w:hAnsi="David" w:cs="David"/>
          <w:sz w:val="24"/>
          <w:szCs w:val="24"/>
          <w:rtl/>
        </w:rPr>
        <w:t xml:space="preserve"> </w:t>
      </w:r>
    </w:p>
    <w:sectPr w:rsidR="00F97D41" w:rsidRPr="0003749B" w:rsidSect="007A3CCD">
      <w:footerReference w:type="default" r:id="rId21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C7" w:rsidRDefault="001E59C7" w:rsidP="00C04A6B">
      <w:r>
        <w:separator/>
      </w:r>
    </w:p>
  </w:endnote>
  <w:endnote w:type="continuationSeparator" w:id="0">
    <w:p w:rsidR="001E59C7" w:rsidRDefault="001E59C7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Arial" w:hAnsi="Arial" w:cs="Arial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7A3CCD" w:rsidRDefault="00507193" w:rsidP="002B4634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Arial"/>
                <w:sz w:val="24"/>
                <w:szCs w:val="24"/>
                <w:rtl/>
                <w:cs/>
              </w:rPr>
            </w:pPr>
            <w:r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0C02A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ה</w:t>
            </w:r>
            <w:r w:rsidR="002D5D55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רביעי</w:t>
            </w:r>
            <w:r w:rsidR="002B4634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של שנת </w:t>
            </w:r>
            <w:r w:rsidR="000C02AD">
              <w:rPr>
                <w:rFonts w:ascii="Arial" w:hAnsi="Arial" w:cs="Arial" w:hint="cs"/>
                <w:sz w:val="24"/>
                <w:szCs w:val="24"/>
                <w:rtl/>
                <w:lang w:val="he-IL"/>
              </w:rPr>
              <w:t>2020</w:t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</w:rPr>
              <w:instrText>PAGE</w:instrTex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31C36">
              <w:rPr>
                <w:rFonts w:ascii="Arial" w:hAnsi="Arial" w:cs="Arial"/>
                <w:noProof/>
                <w:sz w:val="24"/>
                <w:szCs w:val="24"/>
                <w:rtl/>
              </w:rPr>
              <w:t>6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</w:rPr>
              <w:instrText>NUMPAGES</w:instrTex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31C36">
              <w:rPr>
                <w:rFonts w:ascii="Arial" w:hAnsi="Arial" w:cs="Arial"/>
                <w:noProof/>
                <w:sz w:val="24"/>
                <w:szCs w:val="24"/>
                <w:rtl/>
              </w:rPr>
              <w:t>6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C7" w:rsidRDefault="001E59C7" w:rsidP="00C04A6B">
      <w:r>
        <w:separator/>
      </w:r>
    </w:p>
  </w:footnote>
  <w:footnote w:type="continuationSeparator" w:id="0">
    <w:p w:rsidR="001E59C7" w:rsidRDefault="001E59C7" w:rsidP="00C04A6B">
      <w:r>
        <w:continuationSeparator/>
      </w:r>
    </w:p>
  </w:footnote>
  <w:footnote w:id="1">
    <w:p w:rsidR="002D5D55" w:rsidRPr="00FA32E2" w:rsidRDefault="002D5D55" w:rsidP="002D5D55">
      <w:pPr>
        <w:pStyle w:val="af"/>
        <w:bidi/>
        <w:rPr>
          <w:rtl/>
        </w:rPr>
      </w:pPr>
      <w:r>
        <w:rPr>
          <w:rStyle w:val="af1"/>
        </w:rPr>
        <w:footnoteRef/>
      </w:r>
      <w:r>
        <w:t xml:space="preserve"> </w:t>
      </w:r>
      <w:r>
        <w:rPr>
          <w:rFonts w:asciiTheme="minorBidi" w:hAnsiTheme="minorBidi" w:cstheme="minorBidi" w:hint="cs"/>
          <w:rtl/>
        </w:rPr>
        <w:t xml:space="preserve">נתוני החוב לבנקים מבוססים על נתוני המאזניים החודשיים ולא על נתוני הדוחות הכספיים השנתיים, שכן הדוחות ל-2020 טרם פורסמו לציבור.  </w:t>
      </w:r>
      <w:r>
        <w:rPr>
          <w:rFonts w:hint="cs"/>
          <w:rtl/>
        </w:rPr>
        <w:t xml:space="preserve"> </w:t>
      </w:r>
    </w:p>
  </w:footnote>
  <w:footnote w:id="2">
    <w:p w:rsidR="00474B96" w:rsidRPr="00105A31" w:rsidRDefault="00474B96" w:rsidP="00474B96">
      <w:pPr>
        <w:pStyle w:val="af"/>
        <w:bidi/>
        <w:rPr>
          <w:rFonts w:ascii="David" w:hAnsi="David" w:cs="David"/>
          <w:sz w:val="22"/>
          <w:szCs w:val="22"/>
          <w:rtl/>
        </w:rPr>
      </w:pPr>
      <w:r w:rsidRPr="00105A31">
        <w:rPr>
          <w:rStyle w:val="af1"/>
          <w:rFonts w:ascii="David" w:hAnsi="David" w:cs="David"/>
          <w:sz w:val="22"/>
          <w:szCs w:val="22"/>
        </w:rPr>
        <w:footnoteRef/>
      </w:r>
      <w:r w:rsidRPr="00105A31">
        <w:rPr>
          <w:rFonts w:ascii="David" w:hAnsi="David" w:cs="David"/>
          <w:sz w:val="22"/>
          <w:szCs w:val="22"/>
        </w:rPr>
        <w:t xml:space="preserve"> </w:t>
      </w:r>
      <w:r w:rsidR="00DC263E" w:rsidRPr="002D5D55">
        <w:rPr>
          <w:rFonts w:asciiTheme="minorBidi" w:hAnsiTheme="minorBidi" w:cstheme="minorBidi"/>
          <w:rtl/>
        </w:rPr>
        <w:t xml:space="preserve">חברות עסקיות ישראליות, </w:t>
      </w:r>
      <w:r w:rsidRPr="002D5D55">
        <w:rPr>
          <w:rFonts w:asciiTheme="minorBidi" w:hAnsiTheme="minorBidi" w:cstheme="minorBidi"/>
          <w:rtl/>
        </w:rPr>
        <w:t>ללא בנקים, חברות כרטיסי אשראי וחברות ביטוח.</w:t>
      </w:r>
    </w:p>
  </w:footnote>
  <w:footnote w:id="3">
    <w:p w:rsidR="00884ED4" w:rsidRPr="00884ED4" w:rsidRDefault="00884ED4" w:rsidP="00886C7A">
      <w:pPr>
        <w:pStyle w:val="af"/>
        <w:bidi/>
        <w:rPr>
          <w:rFonts w:asciiTheme="minorBidi" w:hAnsiTheme="minorBidi" w:cstheme="minorBidi"/>
        </w:rPr>
      </w:pPr>
      <w:r w:rsidRPr="00105A31">
        <w:rPr>
          <w:rStyle w:val="af1"/>
          <w:rFonts w:ascii="David" w:hAnsi="David" w:cs="David"/>
          <w:sz w:val="22"/>
          <w:szCs w:val="22"/>
        </w:rPr>
        <w:footnoteRef/>
      </w:r>
      <w:r w:rsidRPr="00105A31">
        <w:rPr>
          <w:rFonts w:ascii="David" w:hAnsi="David" w:cs="David"/>
          <w:sz w:val="22"/>
          <w:szCs w:val="22"/>
        </w:rPr>
        <w:t xml:space="preserve"> </w:t>
      </w:r>
      <w:r w:rsidR="00886C7A" w:rsidRPr="00B31C36">
        <w:rPr>
          <w:rFonts w:ascii="David" w:hAnsi="David" w:cs="David"/>
          <w:sz w:val="22"/>
          <w:szCs w:val="22"/>
          <w:rtl/>
        </w:rPr>
        <w:t>השינוי במרווח בין רביע לרביע מחושב כהפרש בין המרווח הממוצע בחודש האחרון של הרביע הנסקר לבין המרווח הממוצע בחודש האחרון של הרביע הקודם.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19A"/>
    <w:multiLevelType w:val="hybridMultilevel"/>
    <w:tmpl w:val="4738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B6B"/>
    <w:rsid w:val="00005682"/>
    <w:rsid w:val="00005C41"/>
    <w:rsid w:val="00007BB3"/>
    <w:rsid w:val="00011D14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49B"/>
    <w:rsid w:val="00037E47"/>
    <w:rsid w:val="00040066"/>
    <w:rsid w:val="0004029A"/>
    <w:rsid w:val="000418F2"/>
    <w:rsid w:val="00041E30"/>
    <w:rsid w:val="00042F59"/>
    <w:rsid w:val="0004490E"/>
    <w:rsid w:val="00045455"/>
    <w:rsid w:val="00045838"/>
    <w:rsid w:val="000471CF"/>
    <w:rsid w:val="0004723C"/>
    <w:rsid w:val="00051063"/>
    <w:rsid w:val="0005169A"/>
    <w:rsid w:val="000533F4"/>
    <w:rsid w:val="00053684"/>
    <w:rsid w:val="0005562A"/>
    <w:rsid w:val="00060D8E"/>
    <w:rsid w:val="0006247F"/>
    <w:rsid w:val="000624C1"/>
    <w:rsid w:val="000630AB"/>
    <w:rsid w:val="00063601"/>
    <w:rsid w:val="00063E86"/>
    <w:rsid w:val="00064830"/>
    <w:rsid w:val="00065320"/>
    <w:rsid w:val="00065C62"/>
    <w:rsid w:val="00070391"/>
    <w:rsid w:val="000713E4"/>
    <w:rsid w:val="00075FC4"/>
    <w:rsid w:val="0007712F"/>
    <w:rsid w:val="00077991"/>
    <w:rsid w:val="000812AB"/>
    <w:rsid w:val="00081313"/>
    <w:rsid w:val="000822C2"/>
    <w:rsid w:val="00085BE0"/>
    <w:rsid w:val="000874C1"/>
    <w:rsid w:val="000911D7"/>
    <w:rsid w:val="000915A6"/>
    <w:rsid w:val="0009315D"/>
    <w:rsid w:val="00097E8B"/>
    <w:rsid w:val="000A4B97"/>
    <w:rsid w:val="000A4C37"/>
    <w:rsid w:val="000A588A"/>
    <w:rsid w:val="000B083E"/>
    <w:rsid w:val="000B190F"/>
    <w:rsid w:val="000B2F20"/>
    <w:rsid w:val="000B6B82"/>
    <w:rsid w:val="000B7AE3"/>
    <w:rsid w:val="000B7D5E"/>
    <w:rsid w:val="000C02AD"/>
    <w:rsid w:val="000C62F4"/>
    <w:rsid w:val="000D2923"/>
    <w:rsid w:val="000D756E"/>
    <w:rsid w:val="000E3992"/>
    <w:rsid w:val="000E3B3B"/>
    <w:rsid w:val="000E3F1A"/>
    <w:rsid w:val="000E45F2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106E"/>
    <w:rsid w:val="00102BB4"/>
    <w:rsid w:val="00105A31"/>
    <w:rsid w:val="00105B59"/>
    <w:rsid w:val="0010731B"/>
    <w:rsid w:val="00107D10"/>
    <w:rsid w:val="00113992"/>
    <w:rsid w:val="00115A6D"/>
    <w:rsid w:val="00115A82"/>
    <w:rsid w:val="00115F7A"/>
    <w:rsid w:val="0011712D"/>
    <w:rsid w:val="001178ED"/>
    <w:rsid w:val="00117C7B"/>
    <w:rsid w:val="00121197"/>
    <w:rsid w:val="0012175B"/>
    <w:rsid w:val="00121FF7"/>
    <w:rsid w:val="00125E7E"/>
    <w:rsid w:val="00127335"/>
    <w:rsid w:val="00127CE7"/>
    <w:rsid w:val="00130EF4"/>
    <w:rsid w:val="001316A1"/>
    <w:rsid w:val="001329B0"/>
    <w:rsid w:val="00132A42"/>
    <w:rsid w:val="00137006"/>
    <w:rsid w:val="0013752D"/>
    <w:rsid w:val="001400D2"/>
    <w:rsid w:val="001431B5"/>
    <w:rsid w:val="00143BC9"/>
    <w:rsid w:val="00144AA6"/>
    <w:rsid w:val="00146694"/>
    <w:rsid w:val="001503F7"/>
    <w:rsid w:val="001510D4"/>
    <w:rsid w:val="0015398D"/>
    <w:rsid w:val="001543AD"/>
    <w:rsid w:val="0015588B"/>
    <w:rsid w:val="00161CB7"/>
    <w:rsid w:val="00162787"/>
    <w:rsid w:val="00164C8D"/>
    <w:rsid w:val="00166C6B"/>
    <w:rsid w:val="0017002C"/>
    <w:rsid w:val="00177686"/>
    <w:rsid w:val="00180E8A"/>
    <w:rsid w:val="00182968"/>
    <w:rsid w:val="0018611E"/>
    <w:rsid w:val="00186495"/>
    <w:rsid w:val="0018670E"/>
    <w:rsid w:val="0019015A"/>
    <w:rsid w:val="001909E1"/>
    <w:rsid w:val="00193A25"/>
    <w:rsid w:val="001943E3"/>
    <w:rsid w:val="00194480"/>
    <w:rsid w:val="001945CE"/>
    <w:rsid w:val="00195BBF"/>
    <w:rsid w:val="0019703C"/>
    <w:rsid w:val="001B15F7"/>
    <w:rsid w:val="001B3C3C"/>
    <w:rsid w:val="001B449D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9C7"/>
    <w:rsid w:val="001E5A00"/>
    <w:rsid w:val="001E6A4B"/>
    <w:rsid w:val="001E7722"/>
    <w:rsid w:val="001E78A9"/>
    <w:rsid w:val="001E7B40"/>
    <w:rsid w:val="001F0454"/>
    <w:rsid w:val="001F1E1B"/>
    <w:rsid w:val="001F436F"/>
    <w:rsid w:val="001F50C9"/>
    <w:rsid w:val="001F529C"/>
    <w:rsid w:val="00207836"/>
    <w:rsid w:val="002078CD"/>
    <w:rsid w:val="00207EF6"/>
    <w:rsid w:val="00210333"/>
    <w:rsid w:val="00210E2D"/>
    <w:rsid w:val="0021293F"/>
    <w:rsid w:val="00214D6B"/>
    <w:rsid w:val="00215E7F"/>
    <w:rsid w:val="0022046E"/>
    <w:rsid w:val="00221420"/>
    <w:rsid w:val="002232D2"/>
    <w:rsid w:val="002237E5"/>
    <w:rsid w:val="0022486C"/>
    <w:rsid w:val="00224F08"/>
    <w:rsid w:val="00225651"/>
    <w:rsid w:val="00225A4F"/>
    <w:rsid w:val="00227BB9"/>
    <w:rsid w:val="0023142A"/>
    <w:rsid w:val="002318C9"/>
    <w:rsid w:val="002319C1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18F7"/>
    <w:rsid w:val="00263083"/>
    <w:rsid w:val="00264230"/>
    <w:rsid w:val="00265361"/>
    <w:rsid w:val="00266DC3"/>
    <w:rsid w:val="00270769"/>
    <w:rsid w:val="0027192B"/>
    <w:rsid w:val="00274A6A"/>
    <w:rsid w:val="002777F9"/>
    <w:rsid w:val="00280F81"/>
    <w:rsid w:val="00281247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A2E"/>
    <w:rsid w:val="002972B4"/>
    <w:rsid w:val="0029790E"/>
    <w:rsid w:val="002A0469"/>
    <w:rsid w:val="002A2B75"/>
    <w:rsid w:val="002A3CD7"/>
    <w:rsid w:val="002A51F1"/>
    <w:rsid w:val="002A5C23"/>
    <w:rsid w:val="002A60C4"/>
    <w:rsid w:val="002A6176"/>
    <w:rsid w:val="002B0F7F"/>
    <w:rsid w:val="002B39A4"/>
    <w:rsid w:val="002B3FB0"/>
    <w:rsid w:val="002B447B"/>
    <w:rsid w:val="002B4634"/>
    <w:rsid w:val="002B51C5"/>
    <w:rsid w:val="002B74E5"/>
    <w:rsid w:val="002C2286"/>
    <w:rsid w:val="002C29DA"/>
    <w:rsid w:val="002C3A77"/>
    <w:rsid w:val="002C515A"/>
    <w:rsid w:val="002C7213"/>
    <w:rsid w:val="002C73B0"/>
    <w:rsid w:val="002C756B"/>
    <w:rsid w:val="002D0FD7"/>
    <w:rsid w:val="002D1779"/>
    <w:rsid w:val="002D3C1F"/>
    <w:rsid w:val="002D5D55"/>
    <w:rsid w:val="002E016D"/>
    <w:rsid w:val="002E1283"/>
    <w:rsid w:val="002E20F7"/>
    <w:rsid w:val="002E2CC4"/>
    <w:rsid w:val="002E4976"/>
    <w:rsid w:val="002E5ADF"/>
    <w:rsid w:val="002E6CC3"/>
    <w:rsid w:val="002E7A87"/>
    <w:rsid w:val="002F0816"/>
    <w:rsid w:val="002F2629"/>
    <w:rsid w:val="002F2BC6"/>
    <w:rsid w:val="002F6C4C"/>
    <w:rsid w:val="00300E82"/>
    <w:rsid w:val="003018A7"/>
    <w:rsid w:val="003030A9"/>
    <w:rsid w:val="00303DA6"/>
    <w:rsid w:val="003054F9"/>
    <w:rsid w:val="003055E7"/>
    <w:rsid w:val="00310281"/>
    <w:rsid w:val="003138AF"/>
    <w:rsid w:val="00315DCB"/>
    <w:rsid w:val="00317948"/>
    <w:rsid w:val="00320FD1"/>
    <w:rsid w:val="0032217A"/>
    <w:rsid w:val="00322FC0"/>
    <w:rsid w:val="00323164"/>
    <w:rsid w:val="003240D3"/>
    <w:rsid w:val="00324EF2"/>
    <w:rsid w:val="0032510F"/>
    <w:rsid w:val="0033214F"/>
    <w:rsid w:val="0033261D"/>
    <w:rsid w:val="00333F8E"/>
    <w:rsid w:val="0033491E"/>
    <w:rsid w:val="00340B38"/>
    <w:rsid w:val="0034285A"/>
    <w:rsid w:val="003439F5"/>
    <w:rsid w:val="0035070F"/>
    <w:rsid w:val="003509EF"/>
    <w:rsid w:val="00351EF0"/>
    <w:rsid w:val="00352E42"/>
    <w:rsid w:val="003537B9"/>
    <w:rsid w:val="003576B2"/>
    <w:rsid w:val="00357818"/>
    <w:rsid w:val="00363D6A"/>
    <w:rsid w:val="003641D5"/>
    <w:rsid w:val="003645A9"/>
    <w:rsid w:val="00364AB7"/>
    <w:rsid w:val="003657E7"/>
    <w:rsid w:val="003700E8"/>
    <w:rsid w:val="00370901"/>
    <w:rsid w:val="003713E8"/>
    <w:rsid w:val="00374BF3"/>
    <w:rsid w:val="0037614E"/>
    <w:rsid w:val="003766F9"/>
    <w:rsid w:val="00377C33"/>
    <w:rsid w:val="00377EEF"/>
    <w:rsid w:val="0038353E"/>
    <w:rsid w:val="0038394F"/>
    <w:rsid w:val="00383F02"/>
    <w:rsid w:val="00385301"/>
    <w:rsid w:val="003901E0"/>
    <w:rsid w:val="00390EEB"/>
    <w:rsid w:val="003928D7"/>
    <w:rsid w:val="003938AB"/>
    <w:rsid w:val="00395C57"/>
    <w:rsid w:val="003A0AEC"/>
    <w:rsid w:val="003A0C66"/>
    <w:rsid w:val="003A0F9B"/>
    <w:rsid w:val="003A242C"/>
    <w:rsid w:val="003A2FA2"/>
    <w:rsid w:val="003A2FA9"/>
    <w:rsid w:val="003A315C"/>
    <w:rsid w:val="003A43C0"/>
    <w:rsid w:val="003A48D2"/>
    <w:rsid w:val="003A490D"/>
    <w:rsid w:val="003A4966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63C"/>
    <w:rsid w:val="003B6ADF"/>
    <w:rsid w:val="003C751F"/>
    <w:rsid w:val="003D04A2"/>
    <w:rsid w:val="003D06D2"/>
    <w:rsid w:val="003D54D0"/>
    <w:rsid w:val="003E05CD"/>
    <w:rsid w:val="003E2965"/>
    <w:rsid w:val="003E3AEF"/>
    <w:rsid w:val="003E4002"/>
    <w:rsid w:val="003E57B2"/>
    <w:rsid w:val="003E68CF"/>
    <w:rsid w:val="003F12AD"/>
    <w:rsid w:val="003F1CD9"/>
    <w:rsid w:val="003F240A"/>
    <w:rsid w:val="003F39B8"/>
    <w:rsid w:val="003F4002"/>
    <w:rsid w:val="003F454D"/>
    <w:rsid w:val="003F728C"/>
    <w:rsid w:val="00400630"/>
    <w:rsid w:val="004024AB"/>
    <w:rsid w:val="00402A67"/>
    <w:rsid w:val="00406F28"/>
    <w:rsid w:val="00410DE0"/>
    <w:rsid w:val="0041358A"/>
    <w:rsid w:val="00416818"/>
    <w:rsid w:val="004169F7"/>
    <w:rsid w:val="004175C9"/>
    <w:rsid w:val="00417C8B"/>
    <w:rsid w:val="00417CF1"/>
    <w:rsid w:val="00420F93"/>
    <w:rsid w:val="00424BF3"/>
    <w:rsid w:val="00426001"/>
    <w:rsid w:val="004268D2"/>
    <w:rsid w:val="00426A9C"/>
    <w:rsid w:val="00430C72"/>
    <w:rsid w:val="0043226F"/>
    <w:rsid w:val="00434DF5"/>
    <w:rsid w:val="0044713E"/>
    <w:rsid w:val="004474C7"/>
    <w:rsid w:val="0045197C"/>
    <w:rsid w:val="00453DD1"/>
    <w:rsid w:val="0045413E"/>
    <w:rsid w:val="004606C0"/>
    <w:rsid w:val="00460712"/>
    <w:rsid w:val="004625EB"/>
    <w:rsid w:val="0046354A"/>
    <w:rsid w:val="00463AE6"/>
    <w:rsid w:val="004644F9"/>
    <w:rsid w:val="00464A9A"/>
    <w:rsid w:val="00466F96"/>
    <w:rsid w:val="00470630"/>
    <w:rsid w:val="00470996"/>
    <w:rsid w:val="004717A3"/>
    <w:rsid w:val="00472EDE"/>
    <w:rsid w:val="00474B96"/>
    <w:rsid w:val="004800EA"/>
    <w:rsid w:val="004806BA"/>
    <w:rsid w:val="00480FFC"/>
    <w:rsid w:val="00482D0E"/>
    <w:rsid w:val="00484208"/>
    <w:rsid w:val="00493882"/>
    <w:rsid w:val="00497BD0"/>
    <w:rsid w:val="004A56B9"/>
    <w:rsid w:val="004A5B22"/>
    <w:rsid w:val="004A6D8C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33E7"/>
    <w:rsid w:val="004D5F4D"/>
    <w:rsid w:val="004D63EE"/>
    <w:rsid w:val="004D746B"/>
    <w:rsid w:val="004D763E"/>
    <w:rsid w:val="004D79EB"/>
    <w:rsid w:val="004E2566"/>
    <w:rsid w:val="004F06E0"/>
    <w:rsid w:val="004F16EA"/>
    <w:rsid w:val="004F1EB9"/>
    <w:rsid w:val="004F3279"/>
    <w:rsid w:val="004F3600"/>
    <w:rsid w:val="004F426F"/>
    <w:rsid w:val="004F4E43"/>
    <w:rsid w:val="004F75E3"/>
    <w:rsid w:val="0050090B"/>
    <w:rsid w:val="00502068"/>
    <w:rsid w:val="00502294"/>
    <w:rsid w:val="00503CF8"/>
    <w:rsid w:val="005042A9"/>
    <w:rsid w:val="0050443A"/>
    <w:rsid w:val="00507193"/>
    <w:rsid w:val="00507235"/>
    <w:rsid w:val="00510ABA"/>
    <w:rsid w:val="00513C0C"/>
    <w:rsid w:val="00516A2C"/>
    <w:rsid w:val="00520122"/>
    <w:rsid w:val="00521DE3"/>
    <w:rsid w:val="00522BB0"/>
    <w:rsid w:val="00525983"/>
    <w:rsid w:val="00525A49"/>
    <w:rsid w:val="00525B9D"/>
    <w:rsid w:val="00526641"/>
    <w:rsid w:val="00532713"/>
    <w:rsid w:val="00534C99"/>
    <w:rsid w:val="0054311D"/>
    <w:rsid w:val="0054512E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065E"/>
    <w:rsid w:val="005816B4"/>
    <w:rsid w:val="00584275"/>
    <w:rsid w:val="0058468A"/>
    <w:rsid w:val="00585612"/>
    <w:rsid w:val="005861E2"/>
    <w:rsid w:val="005913CE"/>
    <w:rsid w:val="00591B6A"/>
    <w:rsid w:val="005921D5"/>
    <w:rsid w:val="005951B2"/>
    <w:rsid w:val="005958D0"/>
    <w:rsid w:val="00596389"/>
    <w:rsid w:val="005972B0"/>
    <w:rsid w:val="005A199D"/>
    <w:rsid w:val="005A3573"/>
    <w:rsid w:val="005A4B9C"/>
    <w:rsid w:val="005A5B31"/>
    <w:rsid w:val="005A6311"/>
    <w:rsid w:val="005A6536"/>
    <w:rsid w:val="005A7029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40CD"/>
    <w:rsid w:val="005E6AF0"/>
    <w:rsid w:val="005E77A7"/>
    <w:rsid w:val="005E7841"/>
    <w:rsid w:val="005F2819"/>
    <w:rsid w:val="005F482A"/>
    <w:rsid w:val="005F663A"/>
    <w:rsid w:val="00600591"/>
    <w:rsid w:val="006028EA"/>
    <w:rsid w:val="00602952"/>
    <w:rsid w:val="00602DED"/>
    <w:rsid w:val="006038EA"/>
    <w:rsid w:val="006042F7"/>
    <w:rsid w:val="0060434F"/>
    <w:rsid w:val="006043D4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1A91"/>
    <w:rsid w:val="00632F81"/>
    <w:rsid w:val="006345E5"/>
    <w:rsid w:val="00635BDC"/>
    <w:rsid w:val="00636483"/>
    <w:rsid w:val="00636A4D"/>
    <w:rsid w:val="006373FB"/>
    <w:rsid w:val="006407DF"/>
    <w:rsid w:val="0064196B"/>
    <w:rsid w:val="00641D43"/>
    <w:rsid w:val="00641E05"/>
    <w:rsid w:val="00643343"/>
    <w:rsid w:val="006453AB"/>
    <w:rsid w:val="0064551B"/>
    <w:rsid w:val="00645D90"/>
    <w:rsid w:val="00650A9D"/>
    <w:rsid w:val="00652294"/>
    <w:rsid w:val="00656E22"/>
    <w:rsid w:val="00664600"/>
    <w:rsid w:val="00664A0B"/>
    <w:rsid w:val="00665A1C"/>
    <w:rsid w:val="0066628A"/>
    <w:rsid w:val="006677B2"/>
    <w:rsid w:val="00670D97"/>
    <w:rsid w:val="00674FDA"/>
    <w:rsid w:val="00675551"/>
    <w:rsid w:val="00675FDA"/>
    <w:rsid w:val="00676F2C"/>
    <w:rsid w:val="006816CE"/>
    <w:rsid w:val="006819E9"/>
    <w:rsid w:val="00682B0D"/>
    <w:rsid w:val="0069062B"/>
    <w:rsid w:val="00691556"/>
    <w:rsid w:val="00695778"/>
    <w:rsid w:val="006957E0"/>
    <w:rsid w:val="00695929"/>
    <w:rsid w:val="006961B2"/>
    <w:rsid w:val="00697C2E"/>
    <w:rsid w:val="006A160B"/>
    <w:rsid w:val="006A16E5"/>
    <w:rsid w:val="006A3C62"/>
    <w:rsid w:val="006A4A2C"/>
    <w:rsid w:val="006A66B4"/>
    <w:rsid w:val="006A7088"/>
    <w:rsid w:val="006B0BAE"/>
    <w:rsid w:val="006B2887"/>
    <w:rsid w:val="006B2FAC"/>
    <w:rsid w:val="006B454E"/>
    <w:rsid w:val="006B58A2"/>
    <w:rsid w:val="006B624E"/>
    <w:rsid w:val="006B6ACF"/>
    <w:rsid w:val="006B6CFA"/>
    <w:rsid w:val="006C01FB"/>
    <w:rsid w:val="006C165A"/>
    <w:rsid w:val="006C27C7"/>
    <w:rsid w:val="006C76C4"/>
    <w:rsid w:val="006D0C16"/>
    <w:rsid w:val="006D326D"/>
    <w:rsid w:val="006D3752"/>
    <w:rsid w:val="006D455E"/>
    <w:rsid w:val="006D526D"/>
    <w:rsid w:val="006D6EEC"/>
    <w:rsid w:val="006D7644"/>
    <w:rsid w:val="006E0537"/>
    <w:rsid w:val="006E4F10"/>
    <w:rsid w:val="006E56BA"/>
    <w:rsid w:val="006E7116"/>
    <w:rsid w:val="006E7BF6"/>
    <w:rsid w:val="006F0620"/>
    <w:rsid w:val="006F3512"/>
    <w:rsid w:val="006F5E34"/>
    <w:rsid w:val="0070161A"/>
    <w:rsid w:val="007037CB"/>
    <w:rsid w:val="007102C4"/>
    <w:rsid w:val="0071464F"/>
    <w:rsid w:val="0071466B"/>
    <w:rsid w:val="0071581F"/>
    <w:rsid w:val="0071617D"/>
    <w:rsid w:val="00716EF2"/>
    <w:rsid w:val="00717F4B"/>
    <w:rsid w:val="00720923"/>
    <w:rsid w:val="00725208"/>
    <w:rsid w:val="00725739"/>
    <w:rsid w:val="00727054"/>
    <w:rsid w:val="00737106"/>
    <w:rsid w:val="00737755"/>
    <w:rsid w:val="00742DCE"/>
    <w:rsid w:val="00744938"/>
    <w:rsid w:val="00745236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09C8"/>
    <w:rsid w:val="0076231E"/>
    <w:rsid w:val="00762D5A"/>
    <w:rsid w:val="007632BD"/>
    <w:rsid w:val="00763347"/>
    <w:rsid w:val="007714BD"/>
    <w:rsid w:val="007743BA"/>
    <w:rsid w:val="0077544B"/>
    <w:rsid w:val="0077670A"/>
    <w:rsid w:val="00777113"/>
    <w:rsid w:val="0077779F"/>
    <w:rsid w:val="00781240"/>
    <w:rsid w:val="0078308C"/>
    <w:rsid w:val="0078308F"/>
    <w:rsid w:val="00784528"/>
    <w:rsid w:val="0078453F"/>
    <w:rsid w:val="00784F91"/>
    <w:rsid w:val="0078511C"/>
    <w:rsid w:val="00787DD9"/>
    <w:rsid w:val="00790911"/>
    <w:rsid w:val="0079278E"/>
    <w:rsid w:val="0079675B"/>
    <w:rsid w:val="007A2DDB"/>
    <w:rsid w:val="007A39D0"/>
    <w:rsid w:val="007A3CCD"/>
    <w:rsid w:val="007B1313"/>
    <w:rsid w:val="007B174B"/>
    <w:rsid w:val="007B314B"/>
    <w:rsid w:val="007B3B40"/>
    <w:rsid w:val="007B3BC5"/>
    <w:rsid w:val="007B45DE"/>
    <w:rsid w:val="007B6206"/>
    <w:rsid w:val="007C0A47"/>
    <w:rsid w:val="007C2446"/>
    <w:rsid w:val="007C26CE"/>
    <w:rsid w:val="007C30EE"/>
    <w:rsid w:val="007C3769"/>
    <w:rsid w:val="007C4233"/>
    <w:rsid w:val="007C639F"/>
    <w:rsid w:val="007D0D18"/>
    <w:rsid w:val="007D0EF4"/>
    <w:rsid w:val="007D218D"/>
    <w:rsid w:val="007D32BF"/>
    <w:rsid w:val="007D7D86"/>
    <w:rsid w:val="007E0E80"/>
    <w:rsid w:val="007E13A9"/>
    <w:rsid w:val="007E14D9"/>
    <w:rsid w:val="007E18EE"/>
    <w:rsid w:val="007E3786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4AEF"/>
    <w:rsid w:val="008065E2"/>
    <w:rsid w:val="00806850"/>
    <w:rsid w:val="00807054"/>
    <w:rsid w:val="00811358"/>
    <w:rsid w:val="008121D7"/>
    <w:rsid w:val="00814206"/>
    <w:rsid w:val="008158A5"/>
    <w:rsid w:val="008215C3"/>
    <w:rsid w:val="00821B78"/>
    <w:rsid w:val="00825878"/>
    <w:rsid w:val="008259B7"/>
    <w:rsid w:val="00825D9B"/>
    <w:rsid w:val="00825F21"/>
    <w:rsid w:val="00826337"/>
    <w:rsid w:val="00826810"/>
    <w:rsid w:val="00835FC5"/>
    <w:rsid w:val="00843E29"/>
    <w:rsid w:val="0084730C"/>
    <w:rsid w:val="008478AE"/>
    <w:rsid w:val="00847B21"/>
    <w:rsid w:val="0085187D"/>
    <w:rsid w:val="00852D44"/>
    <w:rsid w:val="0085472F"/>
    <w:rsid w:val="00860503"/>
    <w:rsid w:val="008608B4"/>
    <w:rsid w:val="0086154C"/>
    <w:rsid w:val="0086330B"/>
    <w:rsid w:val="00864546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4ED4"/>
    <w:rsid w:val="008868F8"/>
    <w:rsid w:val="0088690D"/>
    <w:rsid w:val="00886C7A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6326"/>
    <w:rsid w:val="008B771A"/>
    <w:rsid w:val="008C197C"/>
    <w:rsid w:val="008C335C"/>
    <w:rsid w:val="008C5990"/>
    <w:rsid w:val="008C6760"/>
    <w:rsid w:val="008C6E36"/>
    <w:rsid w:val="008D098C"/>
    <w:rsid w:val="008D204A"/>
    <w:rsid w:val="008D2EA6"/>
    <w:rsid w:val="008D5AD7"/>
    <w:rsid w:val="008D68DB"/>
    <w:rsid w:val="008E0911"/>
    <w:rsid w:val="008E2AE6"/>
    <w:rsid w:val="008E4D5D"/>
    <w:rsid w:val="008E50B1"/>
    <w:rsid w:val="008E7A02"/>
    <w:rsid w:val="008F47C4"/>
    <w:rsid w:val="0090225A"/>
    <w:rsid w:val="00902402"/>
    <w:rsid w:val="0090346B"/>
    <w:rsid w:val="009048BA"/>
    <w:rsid w:val="009050FC"/>
    <w:rsid w:val="009065F1"/>
    <w:rsid w:val="00911151"/>
    <w:rsid w:val="009118DB"/>
    <w:rsid w:val="00912494"/>
    <w:rsid w:val="00915424"/>
    <w:rsid w:val="00915CE8"/>
    <w:rsid w:val="00916B4B"/>
    <w:rsid w:val="00917C1C"/>
    <w:rsid w:val="0092021B"/>
    <w:rsid w:val="00922F51"/>
    <w:rsid w:val="00923125"/>
    <w:rsid w:val="009231C3"/>
    <w:rsid w:val="00924FF5"/>
    <w:rsid w:val="00925F5D"/>
    <w:rsid w:val="009303F4"/>
    <w:rsid w:val="00930697"/>
    <w:rsid w:val="009311DE"/>
    <w:rsid w:val="00933604"/>
    <w:rsid w:val="00941A49"/>
    <w:rsid w:val="00943887"/>
    <w:rsid w:val="00943CA7"/>
    <w:rsid w:val="00943CD4"/>
    <w:rsid w:val="009444D9"/>
    <w:rsid w:val="009467BA"/>
    <w:rsid w:val="009516D8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674C"/>
    <w:rsid w:val="00977BED"/>
    <w:rsid w:val="009818C2"/>
    <w:rsid w:val="00981FA3"/>
    <w:rsid w:val="00985045"/>
    <w:rsid w:val="00985B74"/>
    <w:rsid w:val="0099010D"/>
    <w:rsid w:val="00990157"/>
    <w:rsid w:val="00990A9F"/>
    <w:rsid w:val="00992E1E"/>
    <w:rsid w:val="0099500B"/>
    <w:rsid w:val="00995039"/>
    <w:rsid w:val="00996693"/>
    <w:rsid w:val="00996717"/>
    <w:rsid w:val="009974D0"/>
    <w:rsid w:val="00997EFE"/>
    <w:rsid w:val="009A1877"/>
    <w:rsid w:val="009A247B"/>
    <w:rsid w:val="009A2755"/>
    <w:rsid w:val="009A3808"/>
    <w:rsid w:val="009A54F7"/>
    <w:rsid w:val="009A7195"/>
    <w:rsid w:val="009A773E"/>
    <w:rsid w:val="009B0128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06D00"/>
    <w:rsid w:val="00A17283"/>
    <w:rsid w:val="00A20385"/>
    <w:rsid w:val="00A23183"/>
    <w:rsid w:val="00A2499F"/>
    <w:rsid w:val="00A24CC8"/>
    <w:rsid w:val="00A30DCC"/>
    <w:rsid w:val="00A315D7"/>
    <w:rsid w:val="00A322B9"/>
    <w:rsid w:val="00A32A72"/>
    <w:rsid w:val="00A333C5"/>
    <w:rsid w:val="00A334F6"/>
    <w:rsid w:val="00A34179"/>
    <w:rsid w:val="00A41E8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3792"/>
    <w:rsid w:val="00A7630F"/>
    <w:rsid w:val="00A80AE3"/>
    <w:rsid w:val="00A81A07"/>
    <w:rsid w:val="00A84B3D"/>
    <w:rsid w:val="00A85E92"/>
    <w:rsid w:val="00A878A6"/>
    <w:rsid w:val="00A933C6"/>
    <w:rsid w:val="00A94B36"/>
    <w:rsid w:val="00A95DD8"/>
    <w:rsid w:val="00A96870"/>
    <w:rsid w:val="00A96AE0"/>
    <w:rsid w:val="00A96BDC"/>
    <w:rsid w:val="00A979CF"/>
    <w:rsid w:val="00AA0702"/>
    <w:rsid w:val="00AA0AFF"/>
    <w:rsid w:val="00AA0C2F"/>
    <w:rsid w:val="00AA22D1"/>
    <w:rsid w:val="00AA3E80"/>
    <w:rsid w:val="00AA51B0"/>
    <w:rsid w:val="00AA5733"/>
    <w:rsid w:val="00AA6DC6"/>
    <w:rsid w:val="00AA70E3"/>
    <w:rsid w:val="00AB316B"/>
    <w:rsid w:val="00AB31EF"/>
    <w:rsid w:val="00AB409F"/>
    <w:rsid w:val="00AB44C3"/>
    <w:rsid w:val="00AB5B06"/>
    <w:rsid w:val="00AC3E61"/>
    <w:rsid w:val="00AC47DE"/>
    <w:rsid w:val="00AC5163"/>
    <w:rsid w:val="00AC535F"/>
    <w:rsid w:val="00AC5CD3"/>
    <w:rsid w:val="00AC69C7"/>
    <w:rsid w:val="00AC6CE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C0D"/>
    <w:rsid w:val="00B02B55"/>
    <w:rsid w:val="00B03DCA"/>
    <w:rsid w:val="00B049ED"/>
    <w:rsid w:val="00B055B5"/>
    <w:rsid w:val="00B058F3"/>
    <w:rsid w:val="00B072ED"/>
    <w:rsid w:val="00B07BAF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4F7C"/>
    <w:rsid w:val="00B24FBE"/>
    <w:rsid w:val="00B2503D"/>
    <w:rsid w:val="00B25AA5"/>
    <w:rsid w:val="00B266BE"/>
    <w:rsid w:val="00B27269"/>
    <w:rsid w:val="00B2798D"/>
    <w:rsid w:val="00B27A62"/>
    <w:rsid w:val="00B31C36"/>
    <w:rsid w:val="00B31EFB"/>
    <w:rsid w:val="00B33FA0"/>
    <w:rsid w:val="00B34377"/>
    <w:rsid w:val="00B34583"/>
    <w:rsid w:val="00B37F02"/>
    <w:rsid w:val="00B42CE6"/>
    <w:rsid w:val="00B47332"/>
    <w:rsid w:val="00B474E8"/>
    <w:rsid w:val="00B478D2"/>
    <w:rsid w:val="00B511D3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5994"/>
    <w:rsid w:val="00B76814"/>
    <w:rsid w:val="00B801AB"/>
    <w:rsid w:val="00B80AE5"/>
    <w:rsid w:val="00B8401D"/>
    <w:rsid w:val="00B841F2"/>
    <w:rsid w:val="00B84782"/>
    <w:rsid w:val="00B84BD7"/>
    <w:rsid w:val="00B85AE6"/>
    <w:rsid w:val="00B85D55"/>
    <w:rsid w:val="00B86720"/>
    <w:rsid w:val="00B903A6"/>
    <w:rsid w:val="00B90D40"/>
    <w:rsid w:val="00B91326"/>
    <w:rsid w:val="00BA0AA5"/>
    <w:rsid w:val="00BA363C"/>
    <w:rsid w:val="00BA3AE7"/>
    <w:rsid w:val="00BA4CA3"/>
    <w:rsid w:val="00BA5BFF"/>
    <w:rsid w:val="00BA5E1F"/>
    <w:rsid w:val="00BB15EB"/>
    <w:rsid w:val="00BB1E16"/>
    <w:rsid w:val="00BB1F1B"/>
    <w:rsid w:val="00BB23C1"/>
    <w:rsid w:val="00BB4550"/>
    <w:rsid w:val="00BB4F5C"/>
    <w:rsid w:val="00BB7F49"/>
    <w:rsid w:val="00BC578A"/>
    <w:rsid w:val="00BD1037"/>
    <w:rsid w:val="00BD3A1C"/>
    <w:rsid w:val="00BD3CDD"/>
    <w:rsid w:val="00BD4578"/>
    <w:rsid w:val="00BD55EC"/>
    <w:rsid w:val="00BD5E1E"/>
    <w:rsid w:val="00BD69F9"/>
    <w:rsid w:val="00BD7804"/>
    <w:rsid w:val="00BE0F06"/>
    <w:rsid w:val="00BE235C"/>
    <w:rsid w:val="00BE3716"/>
    <w:rsid w:val="00BE49A2"/>
    <w:rsid w:val="00BE538D"/>
    <w:rsid w:val="00BE6F10"/>
    <w:rsid w:val="00BF054D"/>
    <w:rsid w:val="00BF0E66"/>
    <w:rsid w:val="00BF4C2E"/>
    <w:rsid w:val="00C014E7"/>
    <w:rsid w:val="00C016F6"/>
    <w:rsid w:val="00C01922"/>
    <w:rsid w:val="00C04179"/>
    <w:rsid w:val="00C04A6B"/>
    <w:rsid w:val="00C05088"/>
    <w:rsid w:val="00C06754"/>
    <w:rsid w:val="00C10057"/>
    <w:rsid w:val="00C10811"/>
    <w:rsid w:val="00C1139C"/>
    <w:rsid w:val="00C1276C"/>
    <w:rsid w:val="00C21539"/>
    <w:rsid w:val="00C22C1E"/>
    <w:rsid w:val="00C22E09"/>
    <w:rsid w:val="00C259B6"/>
    <w:rsid w:val="00C25C1C"/>
    <w:rsid w:val="00C274AB"/>
    <w:rsid w:val="00C3219B"/>
    <w:rsid w:val="00C411E7"/>
    <w:rsid w:val="00C4129A"/>
    <w:rsid w:val="00C43AE6"/>
    <w:rsid w:val="00C44E9B"/>
    <w:rsid w:val="00C45C9C"/>
    <w:rsid w:val="00C4703E"/>
    <w:rsid w:val="00C47A82"/>
    <w:rsid w:val="00C5174C"/>
    <w:rsid w:val="00C51835"/>
    <w:rsid w:val="00C55E2C"/>
    <w:rsid w:val="00C56B85"/>
    <w:rsid w:val="00C60849"/>
    <w:rsid w:val="00C6135C"/>
    <w:rsid w:val="00C63A60"/>
    <w:rsid w:val="00C656C3"/>
    <w:rsid w:val="00C7000A"/>
    <w:rsid w:val="00C71943"/>
    <w:rsid w:val="00C725A9"/>
    <w:rsid w:val="00C72743"/>
    <w:rsid w:val="00C73E91"/>
    <w:rsid w:val="00C75098"/>
    <w:rsid w:val="00C82853"/>
    <w:rsid w:val="00C843C1"/>
    <w:rsid w:val="00C84B20"/>
    <w:rsid w:val="00C87F91"/>
    <w:rsid w:val="00C90438"/>
    <w:rsid w:val="00C9110B"/>
    <w:rsid w:val="00C92892"/>
    <w:rsid w:val="00C9322A"/>
    <w:rsid w:val="00C939C1"/>
    <w:rsid w:val="00C9450A"/>
    <w:rsid w:val="00C94676"/>
    <w:rsid w:val="00C95582"/>
    <w:rsid w:val="00CA0895"/>
    <w:rsid w:val="00CA10CF"/>
    <w:rsid w:val="00CA6DAB"/>
    <w:rsid w:val="00CA70B4"/>
    <w:rsid w:val="00CB040E"/>
    <w:rsid w:val="00CB07FA"/>
    <w:rsid w:val="00CB0D32"/>
    <w:rsid w:val="00CB187C"/>
    <w:rsid w:val="00CB1B2B"/>
    <w:rsid w:val="00CB39D9"/>
    <w:rsid w:val="00CB450C"/>
    <w:rsid w:val="00CC1A24"/>
    <w:rsid w:val="00CC2676"/>
    <w:rsid w:val="00CC2B6E"/>
    <w:rsid w:val="00CC698B"/>
    <w:rsid w:val="00CC6D6D"/>
    <w:rsid w:val="00CD06A0"/>
    <w:rsid w:val="00CD4F97"/>
    <w:rsid w:val="00CD604C"/>
    <w:rsid w:val="00CD6F68"/>
    <w:rsid w:val="00CE0B3C"/>
    <w:rsid w:val="00CE2510"/>
    <w:rsid w:val="00CE3340"/>
    <w:rsid w:val="00CE36E7"/>
    <w:rsid w:val="00CE3D4D"/>
    <w:rsid w:val="00CE457B"/>
    <w:rsid w:val="00CE5DAC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4887"/>
    <w:rsid w:val="00D05B15"/>
    <w:rsid w:val="00D06C99"/>
    <w:rsid w:val="00D11E8D"/>
    <w:rsid w:val="00D13FC6"/>
    <w:rsid w:val="00D144E3"/>
    <w:rsid w:val="00D168B0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0F39"/>
    <w:rsid w:val="00D446DF"/>
    <w:rsid w:val="00D447B0"/>
    <w:rsid w:val="00D46A28"/>
    <w:rsid w:val="00D47FBF"/>
    <w:rsid w:val="00D50029"/>
    <w:rsid w:val="00D541E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0C4A"/>
    <w:rsid w:val="00D71E63"/>
    <w:rsid w:val="00D80AE9"/>
    <w:rsid w:val="00D80B77"/>
    <w:rsid w:val="00D81061"/>
    <w:rsid w:val="00D81660"/>
    <w:rsid w:val="00D81866"/>
    <w:rsid w:val="00D84C05"/>
    <w:rsid w:val="00D84C94"/>
    <w:rsid w:val="00D850AB"/>
    <w:rsid w:val="00D86BF0"/>
    <w:rsid w:val="00D87DC1"/>
    <w:rsid w:val="00D90190"/>
    <w:rsid w:val="00D95186"/>
    <w:rsid w:val="00D960E3"/>
    <w:rsid w:val="00DA01D8"/>
    <w:rsid w:val="00DA070E"/>
    <w:rsid w:val="00DA277E"/>
    <w:rsid w:val="00DA2C0B"/>
    <w:rsid w:val="00DA3BD9"/>
    <w:rsid w:val="00DA3CE5"/>
    <w:rsid w:val="00DA4279"/>
    <w:rsid w:val="00DA4977"/>
    <w:rsid w:val="00DA5162"/>
    <w:rsid w:val="00DB2E03"/>
    <w:rsid w:val="00DB5322"/>
    <w:rsid w:val="00DB630B"/>
    <w:rsid w:val="00DB6C55"/>
    <w:rsid w:val="00DB73B4"/>
    <w:rsid w:val="00DB7F65"/>
    <w:rsid w:val="00DC263E"/>
    <w:rsid w:val="00DC3899"/>
    <w:rsid w:val="00DC3BC8"/>
    <w:rsid w:val="00DC51E3"/>
    <w:rsid w:val="00DD0FB0"/>
    <w:rsid w:val="00DD100F"/>
    <w:rsid w:val="00DD1B3F"/>
    <w:rsid w:val="00DD5923"/>
    <w:rsid w:val="00DD599F"/>
    <w:rsid w:val="00DD6427"/>
    <w:rsid w:val="00DE3E4A"/>
    <w:rsid w:val="00DE4BB3"/>
    <w:rsid w:val="00DE6ABB"/>
    <w:rsid w:val="00DE75E2"/>
    <w:rsid w:val="00DF19B1"/>
    <w:rsid w:val="00DF4120"/>
    <w:rsid w:val="00DF56CB"/>
    <w:rsid w:val="00E01030"/>
    <w:rsid w:val="00E10836"/>
    <w:rsid w:val="00E108C6"/>
    <w:rsid w:val="00E11343"/>
    <w:rsid w:val="00E115E5"/>
    <w:rsid w:val="00E13412"/>
    <w:rsid w:val="00E149DD"/>
    <w:rsid w:val="00E15796"/>
    <w:rsid w:val="00E16719"/>
    <w:rsid w:val="00E20EC3"/>
    <w:rsid w:val="00E23336"/>
    <w:rsid w:val="00E3272D"/>
    <w:rsid w:val="00E335BB"/>
    <w:rsid w:val="00E33B1C"/>
    <w:rsid w:val="00E34121"/>
    <w:rsid w:val="00E35818"/>
    <w:rsid w:val="00E36930"/>
    <w:rsid w:val="00E4179F"/>
    <w:rsid w:val="00E42B88"/>
    <w:rsid w:val="00E44C3B"/>
    <w:rsid w:val="00E44E3D"/>
    <w:rsid w:val="00E45F0E"/>
    <w:rsid w:val="00E46A8F"/>
    <w:rsid w:val="00E46FD4"/>
    <w:rsid w:val="00E51F1E"/>
    <w:rsid w:val="00E577A9"/>
    <w:rsid w:val="00E6122C"/>
    <w:rsid w:val="00E65ACA"/>
    <w:rsid w:val="00E67ECB"/>
    <w:rsid w:val="00E73497"/>
    <w:rsid w:val="00E7456B"/>
    <w:rsid w:val="00E750DB"/>
    <w:rsid w:val="00E763BE"/>
    <w:rsid w:val="00E76580"/>
    <w:rsid w:val="00E76607"/>
    <w:rsid w:val="00E80E85"/>
    <w:rsid w:val="00E81FF6"/>
    <w:rsid w:val="00E85E11"/>
    <w:rsid w:val="00E870DD"/>
    <w:rsid w:val="00E9054A"/>
    <w:rsid w:val="00E91E57"/>
    <w:rsid w:val="00EA0460"/>
    <w:rsid w:val="00EA0C1C"/>
    <w:rsid w:val="00EA51C0"/>
    <w:rsid w:val="00EA6800"/>
    <w:rsid w:val="00EA7329"/>
    <w:rsid w:val="00EB5CD6"/>
    <w:rsid w:val="00EB61B0"/>
    <w:rsid w:val="00EC6205"/>
    <w:rsid w:val="00EC65F0"/>
    <w:rsid w:val="00EC70EF"/>
    <w:rsid w:val="00ED153D"/>
    <w:rsid w:val="00ED17CE"/>
    <w:rsid w:val="00ED58F5"/>
    <w:rsid w:val="00EE2A66"/>
    <w:rsid w:val="00EE4337"/>
    <w:rsid w:val="00EE57B2"/>
    <w:rsid w:val="00EE5F35"/>
    <w:rsid w:val="00EE6255"/>
    <w:rsid w:val="00EF13BA"/>
    <w:rsid w:val="00EF467E"/>
    <w:rsid w:val="00F0238C"/>
    <w:rsid w:val="00F05721"/>
    <w:rsid w:val="00F078CA"/>
    <w:rsid w:val="00F135CB"/>
    <w:rsid w:val="00F136A6"/>
    <w:rsid w:val="00F1596F"/>
    <w:rsid w:val="00F17A79"/>
    <w:rsid w:val="00F21AEA"/>
    <w:rsid w:val="00F2699B"/>
    <w:rsid w:val="00F269C2"/>
    <w:rsid w:val="00F30393"/>
    <w:rsid w:val="00F31176"/>
    <w:rsid w:val="00F35A1F"/>
    <w:rsid w:val="00F35B9D"/>
    <w:rsid w:val="00F36600"/>
    <w:rsid w:val="00F36EA0"/>
    <w:rsid w:val="00F40978"/>
    <w:rsid w:val="00F42346"/>
    <w:rsid w:val="00F426C3"/>
    <w:rsid w:val="00F42876"/>
    <w:rsid w:val="00F444FD"/>
    <w:rsid w:val="00F44567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4BD8"/>
    <w:rsid w:val="00F5509B"/>
    <w:rsid w:val="00F55D76"/>
    <w:rsid w:val="00F57830"/>
    <w:rsid w:val="00F57D67"/>
    <w:rsid w:val="00F608D8"/>
    <w:rsid w:val="00F61882"/>
    <w:rsid w:val="00F632C4"/>
    <w:rsid w:val="00F712F6"/>
    <w:rsid w:val="00F718FB"/>
    <w:rsid w:val="00F73B58"/>
    <w:rsid w:val="00F74172"/>
    <w:rsid w:val="00F74693"/>
    <w:rsid w:val="00F8033E"/>
    <w:rsid w:val="00F81C4A"/>
    <w:rsid w:val="00F8315C"/>
    <w:rsid w:val="00F83357"/>
    <w:rsid w:val="00F83505"/>
    <w:rsid w:val="00F852D0"/>
    <w:rsid w:val="00F902C8"/>
    <w:rsid w:val="00F9053D"/>
    <w:rsid w:val="00F90780"/>
    <w:rsid w:val="00F90BA8"/>
    <w:rsid w:val="00F91828"/>
    <w:rsid w:val="00F96916"/>
    <w:rsid w:val="00F96E5A"/>
    <w:rsid w:val="00F971F9"/>
    <w:rsid w:val="00F97D41"/>
    <w:rsid w:val="00FA0242"/>
    <w:rsid w:val="00FA02EF"/>
    <w:rsid w:val="00FA0665"/>
    <w:rsid w:val="00FA1F15"/>
    <w:rsid w:val="00FA314D"/>
    <w:rsid w:val="00FA32E2"/>
    <w:rsid w:val="00FA6355"/>
    <w:rsid w:val="00FA6451"/>
    <w:rsid w:val="00FA7EB2"/>
    <w:rsid w:val="00FB2367"/>
    <w:rsid w:val="00FB2A8C"/>
    <w:rsid w:val="00FB2BC1"/>
    <w:rsid w:val="00FB3D77"/>
    <w:rsid w:val="00FB6F8F"/>
    <w:rsid w:val="00FC0C52"/>
    <w:rsid w:val="00FC1281"/>
    <w:rsid w:val="00FC2095"/>
    <w:rsid w:val="00FC6CF7"/>
    <w:rsid w:val="00FD0096"/>
    <w:rsid w:val="00FD1B37"/>
    <w:rsid w:val="00FE034E"/>
    <w:rsid w:val="00FE1F75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E8B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hyperlink" Target="http://www.boi.org.il/he/DataAndStatistics/Pages/MainPage.aspx?Level=4&amp;Sid=53&amp;SubjectType=2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yperlink" Target="http://www.boi.org.il/he/BankingSupervision/Data/Pages/Tables.aspx?ChapterId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://www.boi.org.il/he/BankingSupervision/Data/Pages/Tables.aspx?ChapterId=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i.org.il/he/NewsAndPublications/RegularPublications/Pages/MabatStat2020.aspx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03DEA96-8665-4577-86EF-8E1B42CAC1E7}"/>
</file>

<file path=customXml/itemProps2.xml><?xml version="1.0" encoding="utf-8"?>
<ds:datastoreItem xmlns:ds="http://schemas.openxmlformats.org/officeDocument/2006/customXml" ds:itemID="{E4B6A049-7853-4C43-A40E-3689A6320BA9}"/>
</file>

<file path=customXml/itemProps3.xml><?xml version="1.0" encoding="utf-8"?>
<ds:datastoreItem xmlns:ds="http://schemas.openxmlformats.org/officeDocument/2006/customXml" ds:itemID="{D8B5FBDD-FD63-410E-B786-3967147246AE}"/>
</file>

<file path=customXml/itemProps4.xml><?xml version="1.0" encoding="utf-8"?>
<ds:datastoreItem xmlns:ds="http://schemas.openxmlformats.org/officeDocument/2006/customXml" ds:itemID="{88B54DB4-9880-4EA3-9BBE-F46336419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2021-03-15T13:10:00Z</dcterms:created>
  <dcterms:modified xsi:type="dcterms:W3CDTF">2021-03-17T12:02:00Z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