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5F399A">
              <w:rPr>
                <w:rFonts w:ascii="Calibri" w:hAnsi="Calibri" w:cs="Calibri"/>
                <w:noProof/>
                <w:rtl/>
              </w:rPr>
              <w:t>‏כ"ז אייר,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5F399A">
              <w:rPr>
                <w:rFonts w:ascii="Calibri" w:hAnsi="Calibri" w:cs="Calibri"/>
                <w:noProof/>
                <w:rtl/>
              </w:rPr>
              <w:t>‏25 מאי,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D66255" w:rsidRDefault="008E761A" w:rsidP="009005BA">
      <w:pPr>
        <w:tabs>
          <w:tab w:val="left" w:pos="2315"/>
        </w:tabs>
        <w:rPr>
          <w:rFonts w:ascii="Calibri" w:hAnsi="Calibri" w:cs="Calibri"/>
          <w:sz w:val="24"/>
          <w:szCs w:val="24"/>
          <w:rtl/>
        </w:rPr>
      </w:pPr>
      <w:r w:rsidRPr="00E3553D">
        <w:rPr>
          <w:rFonts w:ascii="Calibri" w:hAnsi="Calibri" w:cs="Calibri"/>
          <w:sz w:val="24"/>
          <w:szCs w:val="24"/>
          <w:rtl/>
        </w:rPr>
        <w:t>הודעה לעיתונות:</w:t>
      </w:r>
    </w:p>
    <w:p w:rsidR="005F399A" w:rsidRDefault="005F399A" w:rsidP="005F399A">
      <w:pPr>
        <w:shd w:val="clear" w:color="auto" w:fill="FFFFFF"/>
        <w:jc w:val="center"/>
        <w:rPr>
          <w:rFonts w:ascii="Arial" w:hAnsi="Arial" w:cs="Arial"/>
          <w:color w:val="2E3D50"/>
          <w:rtl/>
        </w:rPr>
      </w:pPr>
      <w:r w:rsidRPr="00F62903">
        <w:rPr>
          <w:rFonts w:eastAsiaTheme="majorEastAsia" w:cs="Calibri"/>
          <w:b/>
          <w:bCs/>
          <w:sz w:val="28"/>
          <w:szCs w:val="28"/>
          <w:rtl/>
        </w:rPr>
        <w:t xml:space="preserve">פרופ' </w:t>
      </w:r>
      <w:r>
        <w:rPr>
          <w:rFonts w:eastAsiaTheme="majorEastAsia" w:cs="Calibri" w:hint="cs"/>
          <w:b/>
          <w:bCs/>
          <w:sz w:val="28"/>
          <w:szCs w:val="28"/>
          <w:rtl/>
        </w:rPr>
        <w:t>אורי חפץ</w:t>
      </w:r>
      <w:r w:rsidRPr="00F62903">
        <w:rPr>
          <w:rFonts w:eastAsiaTheme="majorEastAsia" w:cs="Calibri"/>
          <w:b/>
          <w:bCs/>
          <w:sz w:val="28"/>
          <w:szCs w:val="28"/>
          <w:rtl/>
        </w:rPr>
        <w:t xml:space="preserve"> </w:t>
      </w:r>
      <w:r>
        <w:rPr>
          <w:rFonts w:eastAsiaTheme="majorEastAsia" w:cs="Calibri" w:hint="cs"/>
          <w:b/>
          <w:bCs/>
          <w:sz w:val="28"/>
          <w:szCs w:val="28"/>
          <w:rtl/>
        </w:rPr>
        <w:t>ימונה</w:t>
      </w:r>
      <w:r w:rsidRPr="00F62903">
        <w:rPr>
          <w:rFonts w:eastAsiaTheme="majorEastAsia" w:cs="Calibri"/>
          <w:b/>
          <w:bCs/>
          <w:sz w:val="28"/>
          <w:szCs w:val="28"/>
          <w:rtl/>
        </w:rPr>
        <w:t xml:space="preserve"> לחבר הוועדה המוניטרית של בנק ישראל</w:t>
      </w:r>
    </w:p>
    <w:p w:rsidR="005F399A" w:rsidRPr="00F62903" w:rsidRDefault="005F399A" w:rsidP="00CD7848">
      <w:pPr>
        <w:shd w:val="clear" w:color="auto" w:fill="FFFFFF"/>
        <w:spacing w:line="360" w:lineRule="auto"/>
        <w:jc w:val="both"/>
        <w:rPr>
          <w:rFonts w:eastAsia="David" w:cstheme="minorHAnsi"/>
          <w:sz w:val="24"/>
          <w:szCs w:val="24"/>
          <w:rtl/>
        </w:rPr>
      </w:pPr>
      <w:r w:rsidRPr="00F62903">
        <w:rPr>
          <w:rFonts w:eastAsia="David" w:cs="Calibri"/>
          <w:sz w:val="24"/>
          <w:szCs w:val="24"/>
          <w:rtl/>
        </w:rPr>
        <w:t xml:space="preserve">ממשלת ישראל אישרה את המלצת ועדת האיתור למנות את פרופ' </w:t>
      </w:r>
      <w:r>
        <w:rPr>
          <w:rFonts w:eastAsia="David" w:cs="Calibri" w:hint="cs"/>
          <w:sz w:val="24"/>
          <w:szCs w:val="24"/>
          <w:rtl/>
        </w:rPr>
        <w:t>אורי חפץ</w:t>
      </w:r>
      <w:r w:rsidRPr="00F62903">
        <w:rPr>
          <w:rFonts w:eastAsia="David" w:cs="Calibri"/>
          <w:sz w:val="24"/>
          <w:szCs w:val="24"/>
          <w:rtl/>
        </w:rPr>
        <w:t xml:space="preserve"> לחבר בוועדה המוניטרית של בנק ישראל. המינוי ייכנס לתוקפו בתאריך </w:t>
      </w:r>
      <w:r w:rsidRPr="008160D4">
        <w:rPr>
          <w:rFonts w:eastAsia="David" w:cs="Calibri" w:hint="cs"/>
          <w:sz w:val="24"/>
          <w:szCs w:val="24"/>
          <w:rtl/>
        </w:rPr>
        <w:t>2</w:t>
      </w:r>
      <w:r w:rsidR="00CD7848">
        <w:rPr>
          <w:rFonts w:eastAsia="David" w:cs="Calibri" w:hint="cs"/>
          <w:sz w:val="24"/>
          <w:szCs w:val="24"/>
          <w:rtl/>
        </w:rPr>
        <w:t>3</w:t>
      </w:r>
      <w:bookmarkStart w:id="0" w:name="_GoBack"/>
      <w:bookmarkEnd w:id="0"/>
      <w:r w:rsidRPr="008160D4">
        <w:rPr>
          <w:rFonts w:eastAsia="David" w:cs="Calibri" w:hint="cs"/>
          <w:sz w:val="24"/>
          <w:szCs w:val="24"/>
          <w:rtl/>
        </w:rPr>
        <w:t>.05.2025.</w:t>
      </w:r>
      <w:r>
        <w:rPr>
          <w:rFonts w:eastAsia="David" w:cs="Calibri" w:hint="cs"/>
          <w:sz w:val="24"/>
          <w:szCs w:val="24"/>
          <w:rtl/>
        </w:rPr>
        <w:t xml:space="preserve"> </w:t>
      </w:r>
    </w:p>
    <w:p w:rsidR="005F399A" w:rsidRPr="00F62903" w:rsidRDefault="005F399A" w:rsidP="005F399A">
      <w:pPr>
        <w:shd w:val="clear" w:color="auto" w:fill="FFFFFF"/>
        <w:spacing w:line="360" w:lineRule="auto"/>
        <w:jc w:val="both"/>
        <w:rPr>
          <w:rFonts w:eastAsia="David" w:cstheme="minorHAnsi"/>
          <w:sz w:val="24"/>
          <w:szCs w:val="24"/>
          <w:rtl/>
        </w:rPr>
      </w:pPr>
      <w:r w:rsidRPr="00F62903">
        <w:rPr>
          <w:rFonts w:eastAsia="David" w:cs="Calibri"/>
          <w:sz w:val="24"/>
          <w:szCs w:val="24"/>
          <w:rtl/>
        </w:rPr>
        <w:t xml:space="preserve">על פי חוק בנק ישראל (2010), הוועדה המוניטרית צריכה למנות שישה חברים: הנגיד (יו"ר הוועדה), המשנה לנגיד, עובד בנק ישראל שמינה הנגיד, ושלושה חברים מקרב הציבור אותם ממנה הממשלה. נכון להיום מכהנים כחברים מקרב הציבור פרופ' צבי הרקוביץ ופרופ' </w:t>
      </w:r>
      <w:r>
        <w:rPr>
          <w:rFonts w:eastAsia="David" w:cs="Calibri" w:hint="cs"/>
          <w:sz w:val="24"/>
          <w:szCs w:val="24"/>
          <w:rtl/>
        </w:rPr>
        <w:t>נעמי פלדמן</w:t>
      </w:r>
      <w:r w:rsidRPr="00F62903">
        <w:rPr>
          <w:rFonts w:eastAsia="David" w:cs="Calibri"/>
          <w:sz w:val="24"/>
          <w:szCs w:val="24"/>
          <w:rtl/>
        </w:rPr>
        <w:t xml:space="preserve">. טרם ההמלצה על </w:t>
      </w:r>
      <w:r>
        <w:rPr>
          <w:rFonts w:eastAsia="David" w:cs="Calibri" w:hint="cs"/>
          <w:sz w:val="24"/>
          <w:szCs w:val="24"/>
          <w:rtl/>
        </w:rPr>
        <w:t>ה</w:t>
      </w:r>
      <w:r w:rsidRPr="00F62903">
        <w:rPr>
          <w:rFonts w:eastAsia="David" w:cs="Calibri"/>
          <w:sz w:val="24"/>
          <w:szCs w:val="24"/>
          <w:rtl/>
        </w:rPr>
        <w:t xml:space="preserve">מינוי התקיים תהליך סדור בוועדה לאיתור מועמדים. הוועדה לבדיקת מינויים, קיימה אף היא התייעצות עם נגיד בנק ישראל ומצאה את פרופ' אורי חפץ  </w:t>
      </w:r>
      <w:r>
        <w:rPr>
          <w:rFonts w:eastAsia="David" w:cs="Calibri"/>
          <w:sz w:val="24"/>
          <w:szCs w:val="24"/>
          <w:rtl/>
        </w:rPr>
        <w:t>כשיר</w:t>
      </w:r>
      <w:r>
        <w:rPr>
          <w:rFonts w:eastAsia="David" w:cs="Calibri" w:hint="cs"/>
          <w:sz w:val="24"/>
          <w:szCs w:val="24"/>
          <w:rtl/>
        </w:rPr>
        <w:t xml:space="preserve"> </w:t>
      </w:r>
      <w:r w:rsidRPr="00F62903">
        <w:rPr>
          <w:rFonts w:eastAsia="David" w:cs="Calibri"/>
          <w:sz w:val="24"/>
          <w:szCs w:val="24"/>
          <w:rtl/>
        </w:rPr>
        <w:t>לכהונה.</w:t>
      </w:r>
    </w:p>
    <w:p w:rsidR="005F399A" w:rsidRPr="00F62903" w:rsidRDefault="005F399A" w:rsidP="005F399A">
      <w:pPr>
        <w:shd w:val="clear" w:color="auto" w:fill="FFFFFF"/>
        <w:spacing w:line="360" w:lineRule="auto"/>
        <w:jc w:val="both"/>
        <w:rPr>
          <w:rFonts w:eastAsia="David" w:cstheme="minorHAnsi"/>
          <w:sz w:val="24"/>
          <w:szCs w:val="24"/>
          <w:rtl/>
        </w:rPr>
      </w:pPr>
      <w:r w:rsidRPr="00F62903">
        <w:rPr>
          <w:rFonts w:eastAsia="David" w:cs="Calibri"/>
          <w:sz w:val="24"/>
          <w:szCs w:val="24"/>
          <w:rtl/>
        </w:rPr>
        <w:t xml:space="preserve">פרופ' </w:t>
      </w:r>
      <w:r>
        <w:rPr>
          <w:rFonts w:eastAsia="David" w:cs="Calibri" w:hint="cs"/>
          <w:sz w:val="24"/>
          <w:szCs w:val="24"/>
          <w:rtl/>
        </w:rPr>
        <w:t>חפץ</w:t>
      </w:r>
      <w:r>
        <w:rPr>
          <w:rFonts w:eastAsia="David" w:cs="Calibri"/>
          <w:sz w:val="24"/>
          <w:szCs w:val="24"/>
          <w:rtl/>
        </w:rPr>
        <w:t xml:space="preserve"> בעל</w:t>
      </w:r>
      <w:r w:rsidRPr="00F62903">
        <w:rPr>
          <w:rFonts w:eastAsia="David" w:cs="Calibri"/>
          <w:sz w:val="24"/>
          <w:szCs w:val="24"/>
          <w:rtl/>
        </w:rPr>
        <w:t xml:space="preserve"> תואר ראשון </w:t>
      </w:r>
      <w:r>
        <w:rPr>
          <w:rFonts w:eastAsia="David" w:cs="Calibri"/>
          <w:sz w:val="24"/>
          <w:szCs w:val="24"/>
          <w:rtl/>
        </w:rPr>
        <w:t>בפ</w:t>
      </w:r>
      <w:r w:rsidRPr="00F62903">
        <w:rPr>
          <w:rFonts w:eastAsia="David" w:cs="Calibri"/>
          <w:sz w:val="24"/>
          <w:szCs w:val="24"/>
          <w:rtl/>
        </w:rPr>
        <w:t>יזיקה ופיל</w:t>
      </w:r>
      <w:r>
        <w:rPr>
          <w:rFonts w:eastAsia="David" w:cs="Calibri" w:hint="cs"/>
          <w:sz w:val="24"/>
          <w:szCs w:val="24"/>
          <w:rtl/>
        </w:rPr>
        <w:t>וסופיה מאוניברסיטת ת"א</w:t>
      </w:r>
      <w:r w:rsidRPr="00F62903">
        <w:rPr>
          <w:rFonts w:eastAsia="David" w:cs="Calibri"/>
          <w:sz w:val="24"/>
          <w:szCs w:val="24"/>
          <w:rtl/>
        </w:rPr>
        <w:t xml:space="preserve">, ובעל </w:t>
      </w:r>
      <w:r>
        <w:rPr>
          <w:rFonts w:eastAsia="David" w:cs="Calibri" w:hint="cs"/>
          <w:sz w:val="24"/>
          <w:szCs w:val="24"/>
          <w:rtl/>
        </w:rPr>
        <w:t>תואר שני ודוקטורט בכלכלה מאוניברסיטת פרינסטון ומתמחה בתחומי: מאקרו כלכלה ומדיניות מוניטרית, מדיניות כלכלית וכלכלה אמפירית, ניסויית והתנהגותית.</w:t>
      </w:r>
      <w:r w:rsidRPr="00F62903">
        <w:rPr>
          <w:rFonts w:eastAsia="David" w:cs="Calibri"/>
          <w:sz w:val="24"/>
          <w:szCs w:val="24"/>
          <w:rtl/>
        </w:rPr>
        <w:t xml:space="preserve"> פרופ' </w:t>
      </w:r>
      <w:r>
        <w:rPr>
          <w:rFonts w:eastAsia="David" w:cs="Calibri" w:hint="cs"/>
          <w:sz w:val="24"/>
          <w:szCs w:val="24"/>
          <w:rtl/>
        </w:rPr>
        <w:t>חפץ</w:t>
      </w:r>
      <w:r w:rsidRPr="00F62903">
        <w:rPr>
          <w:rFonts w:eastAsia="David" w:cs="Calibri"/>
          <w:sz w:val="24"/>
          <w:szCs w:val="24"/>
          <w:rtl/>
        </w:rPr>
        <w:t xml:space="preserve"> משמש כפרופסור </w:t>
      </w:r>
      <w:r>
        <w:rPr>
          <w:rFonts w:eastAsia="David" w:cs="Calibri" w:hint="cs"/>
          <w:sz w:val="24"/>
          <w:szCs w:val="24"/>
          <w:rtl/>
        </w:rPr>
        <w:t>מן המניין</w:t>
      </w:r>
      <w:r w:rsidRPr="00F62903">
        <w:rPr>
          <w:rFonts w:eastAsia="David" w:cs="Calibri"/>
          <w:sz w:val="24"/>
          <w:szCs w:val="24"/>
          <w:rtl/>
        </w:rPr>
        <w:t xml:space="preserve"> במחלקה לכלכלה באוניברסיטה העברית מאז שנת </w:t>
      </w:r>
      <w:r>
        <w:rPr>
          <w:rFonts w:eastAsia="David" w:cs="Calibri" w:hint="cs"/>
          <w:sz w:val="24"/>
          <w:szCs w:val="24"/>
          <w:rtl/>
        </w:rPr>
        <w:t>2022</w:t>
      </w:r>
      <w:r w:rsidRPr="00F62903">
        <w:rPr>
          <w:rFonts w:eastAsia="David" w:cs="Calibri"/>
          <w:sz w:val="24"/>
          <w:szCs w:val="24"/>
          <w:rtl/>
        </w:rPr>
        <w:t>,</w:t>
      </w:r>
      <w:r>
        <w:rPr>
          <w:rFonts w:eastAsia="David" w:cs="Calibri" w:hint="cs"/>
          <w:sz w:val="24"/>
          <w:szCs w:val="24"/>
          <w:rtl/>
        </w:rPr>
        <w:t xml:space="preserve"> כפרופסור מן המניין בבית הספר למנהל עסקים באוניברסיטת קורנל מ-2024 וכראש התוכנית ללימודים מתקדמים/תכנית עמיתים במרכז לחקר רציונאליות מאז שנת 2019. כמו </w:t>
      </w:r>
      <w:r w:rsidRPr="00F62903">
        <w:rPr>
          <w:rFonts w:eastAsia="David" w:cs="Calibri"/>
          <w:sz w:val="24"/>
          <w:szCs w:val="24"/>
          <w:rtl/>
        </w:rPr>
        <w:t xml:space="preserve">כן משמש </w:t>
      </w:r>
      <w:r>
        <w:rPr>
          <w:rFonts w:eastAsia="David" w:cs="Calibri" w:hint="cs"/>
          <w:sz w:val="24"/>
          <w:szCs w:val="24"/>
          <w:rtl/>
        </w:rPr>
        <w:t xml:space="preserve">חבר מערכת העורכים </w:t>
      </w:r>
      <w:r w:rsidRPr="00F62903">
        <w:rPr>
          <w:rFonts w:eastAsia="David" w:cs="Calibri"/>
          <w:sz w:val="24"/>
          <w:szCs w:val="24"/>
          <w:rtl/>
        </w:rPr>
        <w:t xml:space="preserve">בכתב העת הכלכלי </w:t>
      </w:r>
      <w:r>
        <w:rPr>
          <w:rFonts w:eastAsia="David" w:cs="Calibri" w:hint="cs"/>
          <w:sz w:val="24"/>
          <w:szCs w:val="24"/>
        </w:rPr>
        <w:t>S</w:t>
      </w:r>
      <w:r>
        <w:rPr>
          <w:rFonts w:eastAsia="David" w:cs="Calibri"/>
          <w:sz w:val="24"/>
          <w:szCs w:val="24"/>
        </w:rPr>
        <w:t>ocial Choice and Welfare</w:t>
      </w:r>
      <w:r w:rsidRPr="00F62903">
        <w:rPr>
          <w:rFonts w:eastAsia="David" w:cs="Calibri"/>
          <w:sz w:val="24"/>
          <w:szCs w:val="24"/>
          <w:rtl/>
        </w:rPr>
        <w:t xml:space="preserve">. כמו כן </w:t>
      </w:r>
      <w:r>
        <w:rPr>
          <w:rFonts w:eastAsia="David" w:cs="Calibri" w:hint="cs"/>
          <w:sz w:val="24"/>
          <w:szCs w:val="24"/>
          <w:rtl/>
        </w:rPr>
        <w:t>משמש מאז שנת 2024 כראש המועצה הציבורית לסטטיסטיקה ומאז שנת 2017 כעמית מחקר ב</w:t>
      </w:r>
      <w:r>
        <w:t>(</w:t>
      </w:r>
      <w:r w:rsidRPr="006E21EF">
        <w:rPr>
          <w:rFonts w:eastAsia="David" w:cs="Calibri"/>
          <w:sz w:val="24"/>
          <w:szCs w:val="24"/>
        </w:rPr>
        <w:t>National Bureau of Economic Research</w:t>
      </w:r>
      <w:r>
        <w:rPr>
          <w:rFonts w:eastAsia="David" w:cs="Calibri"/>
          <w:sz w:val="24"/>
          <w:szCs w:val="24"/>
        </w:rPr>
        <w:t xml:space="preserve">) </w:t>
      </w:r>
      <w:r w:rsidRPr="006E21EF">
        <w:rPr>
          <w:rFonts w:eastAsia="David" w:cs="Calibri"/>
          <w:sz w:val="24"/>
          <w:szCs w:val="24"/>
        </w:rPr>
        <w:t>NBER</w:t>
      </w:r>
      <w:r>
        <w:rPr>
          <w:rFonts w:eastAsia="David" w:cs="Calibri"/>
          <w:sz w:val="24"/>
          <w:szCs w:val="24"/>
        </w:rPr>
        <w:t>-</w:t>
      </w:r>
      <w:r>
        <w:rPr>
          <w:rFonts w:eastAsia="David" w:cs="Calibri" w:hint="cs"/>
          <w:sz w:val="24"/>
          <w:szCs w:val="24"/>
          <w:rtl/>
        </w:rPr>
        <w:t xml:space="preserve">. </w:t>
      </w:r>
      <w:r w:rsidRPr="00F62903">
        <w:rPr>
          <w:rFonts w:eastAsia="David" w:cs="Calibri"/>
          <w:sz w:val="24"/>
          <w:szCs w:val="24"/>
          <w:rtl/>
        </w:rPr>
        <w:t xml:space="preserve"> </w:t>
      </w:r>
    </w:p>
    <w:p w:rsidR="005F399A" w:rsidRPr="00C319F2" w:rsidRDefault="005F399A" w:rsidP="005F399A">
      <w:pPr>
        <w:shd w:val="clear" w:color="auto" w:fill="FFFFFF"/>
        <w:spacing w:line="360" w:lineRule="auto"/>
        <w:jc w:val="both"/>
        <w:rPr>
          <w:rFonts w:ascii="Calibri" w:hAnsi="Calibri" w:cs="Calibri"/>
          <w:sz w:val="24"/>
          <w:szCs w:val="24"/>
          <w:rtl/>
        </w:rPr>
      </w:pPr>
      <w:r w:rsidRPr="00F62903">
        <w:rPr>
          <w:rFonts w:eastAsia="David" w:cs="Calibri"/>
          <w:sz w:val="24"/>
          <w:szCs w:val="24"/>
          <w:rtl/>
        </w:rPr>
        <w:t xml:space="preserve">נגיד בנק ישראל, פרופ' אמיר ירון: "אני מאחל לפרופ' </w:t>
      </w:r>
      <w:r>
        <w:rPr>
          <w:rFonts w:eastAsia="David" w:cs="Calibri" w:hint="cs"/>
          <w:sz w:val="24"/>
          <w:szCs w:val="24"/>
          <w:rtl/>
        </w:rPr>
        <w:t>חפץ</w:t>
      </w:r>
      <w:r w:rsidRPr="00F62903">
        <w:rPr>
          <w:rFonts w:eastAsia="David" w:cs="Calibri"/>
          <w:sz w:val="24"/>
          <w:szCs w:val="24"/>
          <w:rtl/>
        </w:rPr>
        <w:t xml:space="preserve"> הצלחה רבה במילוי תפקיד</w:t>
      </w:r>
      <w:r>
        <w:rPr>
          <w:rFonts w:eastAsia="David" w:cs="Calibri" w:hint="cs"/>
          <w:sz w:val="24"/>
          <w:szCs w:val="24"/>
          <w:rtl/>
        </w:rPr>
        <w:t>ו</w:t>
      </w:r>
      <w:r w:rsidRPr="00F62903">
        <w:rPr>
          <w:rFonts w:eastAsia="David" w:cs="Calibri"/>
          <w:sz w:val="24"/>
          <w:szCs w:val="24"/>
          <w:rtl/>
        </w:rPr>
        <w:t xml:space="preserve"> כנציג הציבור בווע</w:t>
      </w:r>
      <w:r>
        <w:rPr>
          <w:rFonts w:eastAsia="David" w:cs="Calibri"/>
          <w:sz w:val="24"/>
          <w:szCs w:val="24"/>
          <w:rtl/>
        </w:rPr>
        <w:t>דה המוניטרית בבנק ישראל ומודה ל</w:t>
      </w:r>
      <w:r>
        <w:rPr>
          <w:rFonts w:eastAsia="David" w:cs="Calibri" w:hint="cs"/>
          <w:sz w:val="24"/>
          <w:szCs w:val="24"/>
          <w:rtl/>
        </w:rPr>
        <w:t>ו</w:t>
      </w:r>
      <w:r w:rsidRPr="00F62903">
        <w:rPr>
          <w:rFonts w:eastAsia="David" w:cs="Calibri"/>
          <w:sz w:val="24"/>
          <w:szCs w:val="24"/>
          <w:rtl/>
        </w:rPr>
        <w:t xml:space="preserve"> על </w:t>
      </w:r>
      <w:proofErr w:type="spellStart"/>
      <w:r w:rsidRPr="00F62903">
        <w:rPr>
          <w:rFonts w:eastAsia="David" w:cs="Calibri"/>
          <w:sz w:val="24"/>
          <w:szCs w:val="24"/>
          <w:rtl/>
        </w:rPr>
        <w:t>נכונת</w:t>
      </w:r>
      <w:r>
        <w:rPr>
          <w:rFonts w:eastAsia="David" w:cs="Calibri" w:hint="cs"/>
          <w:sz w:val="24"/>
          <w:szCs w:val="24"/>
          <w:rtl/>
        </w:rPr>
        <w:t>ו</w:t>
      </w:r>
      <w:proofErr w:type="spellEnd"/>
      <w:r>
        <w:rPr>
          <w:rFonts w:eastAsia="David" w:cs="Calibri"/>
          <w:sz w:val="24"/>
          <w:szCs w:val="24"/>
          <w:rtl/>
        </w:rPr>
        <w:t xml:space="preserve"> לקחת על עצמ</w:t>
      </w:r>
      <w:r>
        <w:rPr>
          <w:rFonts w:eastAsia="David" w:cs="Calibri" w:hint="cs"/>
          <w:sz w:val="24"/>
          <w:szCs w:val="24"/>
          <w:rtl/>
        </w:rPr>
        <w:t>ו</w:t>
      </w:r>
      <w:r w:rsidRPr="00F62903">
        <w:rPr>
          <w:rFonts w:eastAsia="David" w:cs="Calibri"/>
          <w:sz w:val="24"/>
          <w:szCs w:val="24"/>
          <w:rtl/>
        </w:rPr>
        <w:t xml:space="preserve"> את האחריות הכרוכה בכך. לפרופ' </w:t>
      </w:r>
      <w:r>
        <w:rPr>
          <w:rFonts w:eastAsia="David" w:cs="Calibri" w:hint="cs"/>
          <w:sz w:val="24"/>
          <w:szCs w:val="24"/>
          <w:rtl/>
        </w:rPr>
        <w:t>חפץ</w:t>
      </w:r>
      <w:r w:rsidRPr="00F62903">
        <w:rPr>
          <w:rFonts w:eastAsia="David" w:cs="Calibri"/>
          <w:sz w:val="24"/>
          <w:szCs w:val="24"/>
          <w:rtl/>
        </w:rPr>
        <w:t xml:space="preserve"> ניסיון מקצועי </w:t>
      </w:r>
      <w:r>
        <w:rPr>
          <w:rFonts w:eastAsia="David" w:cs="Calibri" w:hint="cs"/>
          <w:sz w:val="24"/>
          <w:szCs w:val="24"/>
          <w:rtl/>
        </w:rPr>
        <w:t>עשיר ו</w:t>
      </w:r>
      <w:r w:rsidRPr="00F62903">
        <w:rPr>
          <w:rFonts w:eastAsia="David" w:cs="Calibri"/>
          <w:sz w:val="24"/>
          <w:szCs w:val="24"/>
          <w:rtl/>
        </w:rPr>
        <w:t>רלוונטי ואני בטוח ש</w:t>
      </w:r>
      <w:r>
        <w:rPr>
          <w:rFonts w:eastAsia="David" w:cs="Calibri" w:hint="cs"/>
          <w:sz w:val="24"/>
          <w:szCs w:val="24"/>
          <w:rtl/>
        </w:rPr>
        <w:t>י</w:t>
      </w:r>
      <w:r>
        <w:rPr>
          <w:rFonts w:eastAsia="David" w:cs="Calibri"/>
          <w:sz w:val="24"/>
          <w:szCs w:val="24"/>
          <w:rtl/>
        </w:rPr>
        <w:t>תרום רבות לעבודת הוועדה.</w:t>
      </w:r>
      <w:r>
        <w:rPr>
          <w:rFonts w:eastAsia="David" w:cs="Calibri" w:hint="cs"/>
          <w:sz w:val="24"/>
          <w:szCs w:val="24"/>
          <w:rtl/>
        </w:rPr>
        <w:t>"</w:t>
      </w:r>
    </w:p>
    <w:p w:rsidR="00A2150B" w:rsidRPr="00E3553D" w:rsidRDefault="00A2150B" w:rsidP="00A2150B">
      <w:pPr>
        <w:tabs>
          <w:tab w:val="left" w:pos="2315"/>
        </w:tabs>
        <w:ind w:left="-35" w:right="284"/>
        <w:jc w:val="both"/>
        <w:rPr>
          <w:rFonts w:ascii="Calibri" w:hAnsi="Calibri" w:cs="Calibri" w:hint="cs"/>
          <w:sz w:val="24"/>
          <w:szCs w:val="24"/>
          <w:rtl/>
        </w:rPr>
      </w:pPr>
    </w:p>
    <w:sectPr w:rsidR="00A2150B" w:rsidRPr="00E3553D"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5"/>
  </w:num>
  <w:num w:numId="4">
    <w:abstractNumId w:val="7"/>
  </w:num>
  <w:num w:numId="5">
    <w:abstractNumId w:val="6"/>
  </w:num>
  <w:num w:numId="6">
    <w:abstractNumId w:val="2"/>
  </w:num>
  <w:num w:numId="7">
    <w:abstractNumId w:val="12"/>
  </w:num>
  <w:num w:numId="8">
    <w:abstractNumId w:val="16"/>
  </w:num>
  <w:num w:numId="9">
    <w:abstractNumId w:val="19"/>
  </w:num>
  <w:num w:numId="10">
    <w:abstractNumId w:val="13"/>
  </w:num>
  <w:num w:numId="11">
    <w:abstractNumId w:val="11"/>
  </w:num>
  <w:num w:numId="12">
    <w:abstractNumId w:val="14"/>
  </w:num>
  <w:num w:numId="13">
    <w:abstractNumId w:val="10"/>
  </w:num>
  <w:num w:numId="14">
    <w:abstractNumId w:val="3"/>
  </w:num>
  <w:num w:numId="15">
    <w:abstractNumId w:val="15"/>
  </w:num>
  <w:num w:numId="16">
    <w:abstractNumId w:val="1"/>
  </w:num>
  <w:num w:numId="17">
    <w:abstractNumId w:val="22"/>
  </w:num>
  <w:num w:numId="18">
    <w:abstractNumId w:val="20"/>
  </w:num>
  <w:num w:numId="19">
    <w:abstractNumId w:val="18"/>
  </w:num>
  <w:num w:numId="20">
    <w:abstractNumId w:val="17"/>
  </w:num>
  <w:num w:numId="21">
    <w:abstractNumId w:val="0"/>
  </w:num>
  <w:num w:numId="22">
    <w:abstractNumId w:val="8"/>
  </w:num>
  <w:num w:numId="2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84E"/>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99A"/>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51A2"/>
    <w:rsid w:val="00CC6E3B"/>
    <w:rsid w:val="00CC78A4"/>
    <w:rsid w:val="00CC7989"/>
    <w:rsid w:val="00CD1822"/>
    <w:rsid w:val="00CD1DFB"/>
    <w:rsid w:val="00CD2312"/>
    <w:rsid w:val="00CD3AFE"/>
    <w:rsid w:val="00CD4B9F"/>
    <w:rsid w:val="00CD4BE4"/>
    <w:rsid w:val="00CD5226"/>
    <w:rsid w:val="00CD5B2C"/>
    <w:rsid w:val="00CD5D4F"/>
    <w:rsid w:val="00CD7848"/>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47720"/>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18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uiPriority w:val="10"/>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uiPriority w:val="10"/>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6805B-A505-4DBB-A8ED-B50D3F7C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1373</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2025-05-25T05:25:00Z</dcterms:created>
  <dcterms:modified xsi:type="dcterms:W3CDTF">2025-05-25T06:20:00Z</dcterms:modified>
</cp:coreProperties>
</file>