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840"/>
        <w:gridCol w:w="2840"/>
      </w:tblGrid>
      <w:tr w:rsidR="00DD5923" w:rsidRPr="003B4A21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Pr="003B4A21" w:rsidRDefault="00DD5923" w:rsidP="003B4A21">
            <w:pPr>
              <w:spacing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 w:rsidRPr="003B4A21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בנק יש</w:t>
            </w:r>
            <w:r w:rsidR="00286AB2" w:rsidRPr="003B4A21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Pr="003B4A21" w:rsidRDefault="00DD5923" w:rsidP="003B4A21">
            <w:pPr>
              <w:spacing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3B4A21">
              <w:rPr>
                <w:rFonts w:ascii="Arial" w:hAnsi="Arial"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Pr="003B4A21" w:rsidRDefault="005816B4" w:rsidP="00D87676">
            <w:pPr>
              <w:jc w:val="center"/>
              <w:rPr>
                <w:rFonts w:ascii="Arial" w:hAnsi="Arial" w:cs="David"/>
              </w:rPr>
            </w:pPr>
            <w:r w:rsidRPr="003B4A21">
              <w:rPr>
                <w:rFonts w:cs="David"/>
                <w:noProof/>
                <w:lang w:eastAsia="en-US"/>
              </w:rPr>
              <w:drawing>
                <wp:inline distT="0" distB="0" distL="0" distR="0" wp14:anchorId="6BAAC05F" wp14:editId="10A2E437">
                  <wp:extent cx="772160" cy="769620"/>
                  <wp:effectExtent l="0" t="0" r="8890" b="0"/>
                  <wp:docPr id="2" name="תמונה 2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40A" w:rsidRPr="003B4A21" w:rsidRDefault="0089040A" w:rsidP="00877EDF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3B4A21">
              <w:rPr>
                <w:rFonts w:ascii="Arial" w:hAnsi="Arial" w:cs="David"/>
                <w:sz w:val="24"/>
                <w:szCs w:val="24"/>
                <w:rtl/>
              </w:rPr>
              <w:t xml:space="preserve">ירושלים, </w:t>
            </w:r>
            <w:r w:rsidR="00DD1B3F" w:rsidRPr="003B4A21">
              <w:rPr>
                <w:rFonts w:ascii="Arial" w:hAnsi="Arial" w:cs="David" w:hint="cs"/>
                <w:sz w:val="24"/>
                <w:szCs w:val="24"/>
                <w:rtl/>
              </w:rPr>
              <w:t>כ"</w:t>
            </w:r>
            <w:r w:rsidR="00877EDF" w:rsidRPr="003B4A21">
              <w:rPr>
                <w:rFonts w:ascii="Arial" w:hAnsi="Arial" w:cs="David" w:hint="cs"/>
                <w:sz w:val="24"/>
                <w:szCs w:val="24"/>
                <w:rtl/>
              </w:rPr>
              <w:t>ז</w:t>
            </w:r>
            <w:r w:rsidR="00697C2E" w:rsidRPr="003B4A21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DD1B3F" w:rsidRPr="003B4A21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877EDF" w:rsidRPr="003B4A21">
              <w:rPr>
                <w:rFonts w:ascii="Arial" w:hAnsi="Arial" w:cs="David" w:hint="cs"/>
                <w:sz w:val="24"/>
                <w:szCs w:val="24"/>
                <w:rtl/>
              </w:rPr>
              <w:t>אב</w:t>
            </w:r>
            <w:r w:rsidR="00C411E7" w:rsidRPr="003B4A21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Pr="003B4A21">
              <w:rPr>
                <w:rFonts w:ascii="Arial" w:hAnsi="Arial" w:cs="David"/>
                <w:sz w:val="24"/>
                <w:szCs w:val="24"/>
                <w:rtl/>
              </w:rPr>
              <w:t>תשע"</w:t>
            </w:r>
            <w:r w:rsidR="00A95DD8" w:rsidRPr="003B4A21"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</w:p>
          <w:p w:rsidR="00DD5923" w:rsidRPr="003B4A21" w:rsidRDefault="0089040A" w:rsidP="00877EDF">
            <w:pPr>
              <w:spacing w:line="480" w:lineRule="auto"/>
              <w:rPr>
                <w:rFonts w:ascii="Arial" w:hAnsi="Arial" w:cs="David"/>
                <w:sz w:val="24"/>
                <w:szCs w:val="24"/>
              </w:rPr>
            </w:pPr>
            <w:r w:rsidRPr="003B4A21">
              <w:rPr>
                <w:rFonts w:ascii="Arial" w:hAnsi="Arial" w:cs="David"/>
                <w:sz w:val="24"/>
                <w:szCs w:val="24"/>
                <w:highlight w:val="yellow"/>
                <w:rtl/>
              </w:rPr>
              <w:t>‏‏</w:t>
            </w:r>
            <w:r w:rsidR="00755099" w:rsidRPr="003B4A21">
              <w:rPr>
                <w:rFonts w:ascii="Arial" w:hAnsi="Arial" w:cs="David" w:hint="cs"/>
                <w:sz w:val="24"/>
                <w:szCs w:val="24"/>
                <w:rtl/>
              </w:rPr>
              <w:t>31</w:t>
            </w:r>
            <w:r w:rsidR="00A17283" w:rsidRPr="003B4A21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755099" w:rsidRPr="003B4A21">
              <w:rPr>
                <w:rFonts w:ascii="Arial" w:hAnsi="Arial" w:cs="David" w:hint="cs"/>
                <w:sz w:val="24"/>
                <w:szCs w:val="24"/>
                <w:rtl/>
              </w:rPr>
              <w:t>ב</w:t>
            </w:r>
            <w:r w:rsidR="00877EDF" w:rsidRPr="003B4A21">
              <w:rPr>
                <w:rFonts w:ascii="Arial" w:hAnsi="Arial" w:cs="David" w:hint="cs"/>
                <w:sz w:val="24"/>
                <w:szCs w:val="24"/>
                <w:rtl/>
              </w:rPr>
              <w:t>אוגוסט</w:t>
            </w:r>
            <w:r w:rsidR="00A17283" w:rsidRPr="003B4A21">
              <w:rPr>
                <w:rFonts w:ascii="Arial" w:hAnsi="Arial" w:cs="David" w:hint="cs"/>
                <w:sz w:val="24"/>
                <w:szCs w:val="24"/>
                <w:rtl/>
              </w:rPr>
              <w:t xml:space="preserve"> 201</w:t>
            </w:r>
            <w:r w:rsidR="009A3808" w:rsidRPr="003B4A21">
              <w:rPr>
                <w:rFonts w:ascii="Arial" w:hAnsi="Arial" w:cs="David" w:hint="cs"/>
                <w:sz w:val="24"/>
                <w:szCs w:val="24"/>
                <w:rtl/>
              </w:rPr>
              <w:t>6</w:t>
            </w:r>
          </w:p>
        </w:tc>
      </w:tr>
    </w:tbl>
    <w:p w:rsidR="00FE034E" w:rsidRPr="003B4A21" w:rsidRDefault="00FE034E" w:rsidP="007E18EE">
      <w:pPr>
        <w:bidi/>
        <w:rPr>
          <w:rFonts w:ascii="Arial" w:hAnsi="Arial" w:cs="David"/>
          <w:rtl/>
        </w:rPr>
      </w:pPr>
    </w:p>
    <w:p w:rsidR="00C9322A" w:rsidRPr="003B4A21" w:rsidRDefault="00C9322A" w:rsidP="00C9322A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  <w:r w:rsidRPr="003B4A21">
        <w:rPr>
          <w:rFonts w:ascii="Arial" w:hAnsi="Arial" w:cs="David"/>
          <w:sz w:val="24"/>
          <w:szCs w:val="24"/>
          <w:rtl/>
        </w:rPr>
        <w:t>הודעה לעיתונות:</w:t>
      </w:r>
    </w:p>
    <w:p w:rsidR="009E07BE" w:rsidRPr="003B4A21" w:rsidRDefault="009E07BE" w:rsidP="009E07BE">
      <w:pPr>
        <w:bidi/>
        <w:spacing w:line="360" w:lineRule="auto"/>
        <w:ind w:right="-101"/>
        <w:rPr>
          <w:rFonts w:ascii="Arial" w:hAnsi="Arial" w:cs="David"/>
          <w:sz w:val="24"/>
          <w:szCs w:val="24"/>
          <w:rtl/>
        </w:rPr>
      </w:pPr>
    </w:p>
    <w:p w:rsidR="00C9322A" w:rsidRPr="003B4A21" w:rsidRDefault="00C9322A" w:rsidP="00877EDF">
      <w:pPr>
        <w:pStyle w:val="af4"/>
        <w:rPr>
          <w:rFonts w:cs="David"/>
          <w:rtl/>
        </w:rPr>
      </w:pPr>
      <w:r w:rsidRPr="003B4A21">
        <w:rPr>
          <w:rFonts w:cs="David"/>
          <w:rtl/>
        </w:rPr>
        <w:t xml:space="preserve">התפתחות החוב </w:t>
      </w:r>
      <w:r w:rsidR="00802DF3" w:rsidRPr="003B4A21">
        <w:rPr>
          <w:rFonts w:cs="David" w:hint="cs"/>
          <w:rtl/>
        </w:rPr>
        <w:t xml:space="preserve">של המגזר הפרטי </w:t>
      </w:r>
      <w:r w:rsidR="00C01922" w:rsidRPr="003B4A21">
        <w:rPr>
          <w:rFonts w:cs="David" w:hint="cs"/>
          <w:rtl/>
        </w:rPr>
        <w:t>(</w:t>
      </w:r>
      <w:r w:rsidR="0077544B" w:rsidRPr="003B4A21">
        <w:rPr>
          <w:rFonts w:cs="David" w:hint="cs"/>
          <w:rtl/>
        </w:rPr>
        <w:t>הלא פיננסי</w:t>
      </w:r>
      <w:r w:rsidR="00C01922" w:rsidRPr="003B4A21">
        <w:rPr>
          <w:rFonts w:cs="David" w:hint="cs"/>
          <w:rtl/>
        </w:rPr>
        <w:t>)</w:t>
      </w:r>
      <w:r w:rsidR="0077544B" w:rsidRPr="003B4A21">
        <w:rPr>
          <w:rFonts w:cs="David" w:hint="cs"/>
          <w:rtl/>
        </w:rPr>
        <w:t xml:space="preserve"> </w:t>
      </w:r>
      <w:r w:rsidR="00FC2095" w:rsidRPr="003B4A21">
        <w:rPr>
          <w:rFonts w:cs="David" w:hint="cs"/>
          <w:rtl/>
        </w:rPr>
        <w:t xml:space="preserve">ברביע </w:t>
      </w:r>
      <w:r w:rsidR="00266DC3" w:rsidRPr="003B4A21">
        <w:rPr>
          <w:rFonts w:cs="David" w:hint="cs"/>
          <w:rtl/>
        </w:rPr>
        <w:t>ה</w:t>
      </w:r>
      <w:r w:rsidR="00877EDF" w:rsidRPr="003B4A21">
        <w:rPr>
          <w:rFonts w:cs="David" w:hint="cs"/>
          <w:rtl/>
        </w:rPr>
        <w:t>שני</w:t>
      </w:r>
      <w:r w:rsidR="00802DF3" w:rsidRPr="003B4A21">
        <w:rPr>
          <w:rFonts w:cs="David" w:hint="cs"/>
          <w:rtl/>
        </w:rPr>
        <w:t xml:space="preserve"> של</w:t>
      </w:r>
      <w:r w:rsidRPr="003B4A21">
        <w:rPr>
          <w:rFonts w:cs="David"/>
          <w:rtl/>
        </w:rPr>
        <w:t xml:space="preserve"> </w:t>
      </w:r>
      <w:r w:rsidR="00266DC3" w:rsidRPr="003B4A21">
        <w:rPr>
          <w:rFonts w:cs="David" w:hint="cs"/>
          <w:rtl/>
        </w:rPr>
        <w:t>2016</w:t>
      </w:r>
    </w:p>
    <w:p w:rsidR="00DE75E2" w:rsidRPr="003B4A21" w:rsidRDefault="00DE75E2" w:rsidP="00DE75E2">
      <w:pPr>
        <w:bidi/>
        <w:spacing w:line="360" w:lineRule="auto"/>
        <w:ind w:right="-101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9F574F" w:rsidRPr="003B4A21" w:rsidRDefault="0089040A" w:rsidP="00E11343">
      <w:pPr>
        <w:bidi/>
        <w:spacing w:line="360" w:lineRule="auto"/>
        <w:rPr>
          <w:rFonts w:ascii="Arial" w:hAnsi="Arial" w:cs="David"/>
          <w:sz w:val="24"/>
          <w:szCs w:val="24"/>
          <w:rtl/>
        </w:rPr>
      </w:pPr>
      <w:r w:rsidRPr="003B4A21">
        <w:rPr>
          <w:rFonts w:ascii="Arial" w:hAnsi="Arial" w:cs="David" w:hint="cs"/>
          <w:sz w:val="24"/>
          <w:szCs w:val="24"/>
          <w:rtl/>
        </w:rPr>
        <w:t xml:space="preserve">יתרת החוב של </w:t>
      </w:r>
      <w:r w:rsidRPr="003B4A21">
        <w:rPr>
          <w:rFonts w:ascii="Arial" w:hAnsi="Arial" w:cs="David" w:hint="cs"/>
          <w:b/>
          <w:bCs/>
          <w:sz w:val="24"/>
          <w:szCs w:val="24"/>
          <w:rtl/>
        </w:rPr>
        <w:t>המגזר העסקי</w:t>
      </w:r>
      <w:r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E11343" w:rsidRPr="003B4A21">
        <w:rPr>
          <w:rFonts w:ascii="Arial" w:hAnsi="Arial" w:cs="David" w:hint="cs"/>
          <w:sz w:val="24"/>
          <w:szCs w:val="24"/>
          <w:rtl/>
        </w:rPr>
        <w:t>גדלה</w:t>
      </w:r>
      <w:r w:rsidR="00A17283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C63A60" w:rsidRPr="003B4A21">
        <w:rPr>
          <w:rFonts w:ascii="Arial" w:hAnsi="Arial" w:cs="David" w:hint="cs"/>
          <w:sz w:val="24"/>
          <w:szCs w:val="24"/>
          <w:rtl/>
        </w:rPr>
        <w:t xml:space="preserve">ברביע </w:t>
      </w:r>
      <w:r w:rsidR="00D960E3" w:rsidRPr="003B4A21">
        <w:rPr>
          <w:rFonts w:ascii="Arial" w:hAnsi="Arial" w:cs="David" w:hint="cs"/>
          <w:sz w:val="24"/>
          <w:szCs w:val="24"/>
          <w:rtl/>
        </w:rPr>
        <w:t>ה</w:t>
      </w:r>
      <w:r w:rsidR="00E11343" w:rsidRPr="003B4A21">
        <w:rPr>
          <w:rFonts w:ascii="Arial" w:hAnsi="Arial" w:cs="David" w:hint="cs"/>
          <w:sz w:val="24"/>
          <w:szCs w:val="24"/>
          <w:rtl/>
        </w:rPr>
        <w:t>שני</w:t>
      </w:r>
      <w:r w:rsidR="00C63A60" w:rsidRPr="003B4A21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D960E3" w:rsidRPr="003B4A21">
        <w:rPr>
          <w:rFonts w:ascii="Arial" w:hAnsi="Arial" w:cs="David" w:hint="cs"/>
          <w:sz w:val="24"/>
          <w:szCs w:val="24"/>
          <w:rtl/>
        </w:rPr>
        <w:t>2016</w:t>
      </w:r>
      <w:r w:rsidR="003645A9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8D68DB" w:rsidRPr="003B4A21">
        <w:rPr>
          <w:rFonts w:ascii="Arial" w:hAnsi="Arial" w:cs="David" w:hint="cs"/>
          <w:sz w:val="24"/>
          <w:szCs w:val="24"/>
          <w:rtl/>
        </w:rPr>
        <w:t>בכ</w:t>
      </w:r>
      <w:r w:rsidR="00C63A60" w:rsidRPr="003B4A21">
        <w:rPr>
          <w:rFonts w:ascii="Arial" w:hAnsi="Arial" w:cs="David" w:hint="cs"/>
          <w:sz w:val="24"/>
          <w:szCs w:val="24"/>
          <w:rtl/>
        </w:rPr>
        <w:t>-</w:t>
      </w:r>
      <w:r w:rsidR="00E11343" w:rsidRPr="003B4A21">
        <w:rPr>
          <w:rFonts w:ascii="Arial" w:hAnsi="Arial" w:cs="David" w:hint="cs"/>
          <w:sz w:val="24"/>
          <w:szCs w:val="24"/>
          <w:rtl/>
        </w:rPr>
        <w:t>13</w:t>
      </w:r>
      <w:r w:rsidR="00A45CAF" w:rsidRPr="003B4A21">
        <w:rPr>
          <w:rFonts w:ascii="Arial" w:hAnsi="Arial" w:cs="David" w:hint="cs"/>
          <w:sz w:val="24"/>
          <w:szCs w:val="24"/>
          <w:rtl/>
        </w:rPr>
        <w:t xml:space="preserve">.9 </w:t>
      </w:r>
      <w:r w:rsidR="00C63A60" w:rsidRPr="003B4A21">
        <w:rPr>
          <w:rFonts w:ascii="Arial" w:hAnsi="Arial" w:cs="David" w:hint="cs"/>
          <w:sz w:val="24"/>
          <w:szCs w:val="24"/>
          <w:rtl/>
        </w:rPr>
        <w:t>מיליארדי</w:t>
      </w:r>
      <w:r w:rsidR="00A17283" w:rsidRPr="003B4A21">
        <w:rPr>
          <w:rFonts w:ascii="Arial" w:hAnsi="Arial" w:cs="David" w:hint="cs"/>
          <w:sz w:val="24"/>
          <w:szCs w:val="24"/>
          <w:rtl/>
        </w:rPr>
        <w:t xml:space="preserve"> ש"ח (</w:t>
      </w:r>
      <w:r w:rsidR="00E11343" w:rsidRPr="003B4A21">
        <w:rPr>
          <w:rFonts w:ascii="Arial" w:hAnsi="Arial" w:cs="David" w:hint="cs"/>
          <w:sz w:val="24"/>
          <w:szCs w:val="24"/>
          <w:rtl/>
        </w:rPr>
        <w:t>1.7%</w:t>
      </w:r>
      <w:r w:rsidR="00A17283" w:rsidRPr="003B4A21">
        <w:rPr>
          <w:rFonts w:ascii="Arial" w:hAnsi="Arial" w:cs="David" w:hint="cs"/>
          <w:sz w:val="24"/>
          <w:szCs w:val="24"/>
          <w:rtl/>
        </w:rPr>
        <w:t xml:space="preserve">) </w:t>
      </w:r>
      <w:r w:rsidR="004024AB" w:rsidRPr="003B4A21">
        <w:rPr>
          <w:rFonts w:ascii="Arial" w:hAnsi="Arial" w:cs="David" w:hint="cs"/>
          <w:sz w:val="24"/>
          <w:szCs w:val="24"/>
          <w:rtl/>
        </w:rPr>
        <w:t>והסתכמה ב</w:t>
      </w:r>
      <w:r w:rsidR="003B17BC" w:rsidRPr="003B4A21">
        <w:rPr>
          <w:rFonts w:ascii="Arial" w:hAnsi="Arial" w:cs="David" w:hint="cs"/>
          <w:sz w:val="24"/>
          <w:szCs w:val="24"/>
          <w:rtl/>
        </w:rPr>
        <w:t>כ-</w:t>
      </w:r>
      <w:r w:rsidR="00D960E3" w:rsidRPr="003B4A21">
        <w:rPr>
          <w:rFonts w:ascii="Arial" w:hAnsi="Arial" w:cs="David" w:hint="cs"/>
          <w:sz w:val="24"/>
          <w:szCs w:val="24"/>
          <w:rtl/>
        </w:rPr>
        <w:t>8</w:t>
      </w:r>
      <w:r w:rsidR="00E11343" w:rsidRPr="003B4A21">
        <w:rPr>
          <w:rFonts w:ascii="Arial" w:hAnsi="Arial" w:cs="David" w:hint="cs"/>
          <w:sz w:val="24"/>
          <w:szCs w:val="24"/>
          <w:rtl/>
        </w:rPr>
        <w:t>29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3645A9" w:rsidRPr="003B4A21">
        <w:rPr>
          <w:rFonts w:ascii="Arial" w:hAnsi="Arial" w:cs="David" w:hint="cs"/>
          <w:sz w:val="24"/>
          <w:szCs w:val="24"/>
          <w:rtl/>
        </w:rPr>
        <w:t>ם</w:t>
      </w:r>
      <w:r w:rsidRPr="003B4A21">
        <w:rPr>
          <w:rFonts w:ascii="Arial" w:hAnsi="Arial" w:cs="David" w:hint="cs"/>
          <w:sz w:val="24"/>
          <w:szCs w:val="24"/>
          <w:rtl/>
        </w:rPr>
        <w:t xml:space="preserve">. יתרת החוב של </w:t>
      </w:r>
      <w:r w:rsidRPr="003B4A21">
        <w:rPr>
          <w:rFonts w:ascii="Arial" w:hAnsi="Arial" w:cs="David" w:hint="cs"/>
          <w:b/>
          <w:bCs/>
          <w:sz w:val="24"/>
          <w:szCs w:val="24"/>
          <w:rtl/>
        </w:rPr>
        <w:t>משקי הבית</w:t>
      </w:r>
      <w:r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3B4A21">
        <w:rPr>
          <w:rFonts w:ascii="Arial" w:hAnsi="Arial" w:cs="David" w:hint="cs"/>
          <w:sz w:val="24"/>
          <w:szCs w:val="24"/>
          <w:rtl/>
        </w:rPr>
        <w:t xml:space="preserve">גדלה </w:t>
      </w:r>
      <w:r w:rsidR="00C63A60" w:rsidRPr="003B4A21">
        <w:rPr>
          <w:rFonts w:ascii="Arial" w:hAnsi="Arial" w:cs="David" w:hint="cs"/>
          <w:sz w:val="24"/>
          <w:szCs w:val="24"/>
          <w:rtl/>
        </w:rPr>
        <w:t>ברביע זה</w:t>
      </w:r>
      <w:r w:rsidR="009A54F7" w:rsidRPr="003B4A21">
        <w:rPr>
          <w:rFonts w:ascii="Arial" w:hAnsi="Arial" w:cs="David" w:hint="cs"/>
          <w:sz w:val="24"/>
          <w:szCs w:val="24"/>
          <w:rtl/>
        </w:rPr>
        <w:t xml:space="preserve"> בכ-</w:t>
      </w:r>
      <w:r w:rsidR="00E11343" w:rsidRPr="003B4A21">
        <w:rPr>
          <w:rFonts w:ascii="Arial" w:hAnsi="Arial" w:cs="David" w:hint="cs"/>
          <w:sz w:val="24"/>
          <w:szCs w:val="24"/>
          <w:rtl/>
        </w:rPr>
        <w:t>9.2</w:t>
      </w:r>
      <w:r w:rsidR="008D68DB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9A54F7" w:rsidRPr="003B4A21">
        <w:rPr>
          <w:rFonts w:ascii="Arial" w:hAnsi="Arial" w:cs="David" w:hint="cs"/>
          <w:sz w:val="24"/>
          <w:szCs w:val="24"/>
          <w:rtl/>
        </w:rPr>
        <w:t>מיליארדים (</w:t>
      </w:r>
      <w:r w:rsidR="00E11343" w:rsidRPr="003B4A21">
        <w:rPr>
          <w:rFonts w:ascii="Arial" w:hAnsi="Arial" w:cs="David" w:hint="cs"/>
          <w:sz w:val="24"/>
          <w:szCs w:val="24"/>
          <w:rtl/>
        </w:rPr>
        <w:t>1.9</w:t>
      </w:r>
      <w:r w:rsidR="009A54F7" w:rsidRPr="003B4A21">
        <w:rPr>
          <w:rFonts w:ascii="Arial" w:hAnsi="Arial" w:cs="David" w:hint="cs"/>
          <w:sz w:val="24"/>
          <w:szCs w:val="24"/>
          <w:rtl/>
        </w:rPr>
        <w:t xml:space="preserve">%) </w:t>
      </w:r>
      <w:r w:rsidRPr="003B4A21">
        <w:rPr>
          <w:rFonts w:ascii="Arial" w:hAnsi="Arial" w:cs="David" w:hint="cs"/>
          <w:sz w:val="24"/>
          <w:szCs w:val="24"/>
          <w:rtl/>
        </w:rPr>
        <w:t xml:space="preserve">ועמדה בסוף </w:t>
      </w:r>
      <w:r w:rsidR="00C63A60" w:rsidRPr="003B4A21">
        <w:rPr>
          <w:rFonts w:ascii="Arial" w:hAnsi="Arial" w:cs="David" w:hint="cs"/>
          <w:sz w:val="24"/>
          <w:szCs w:val="24"/>
          <w:rtl/>
        </w:rPr>
        <w:t>הרביע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על כ-</w:t>
      </w:r>
      <w:r w:rsidR="00D960E3" w:rsidRPr="003B4A21">
        <w:rPr>
          <w:rFonts w:ascii="Arial" w:hAnsi="Arial" w:cs="David" w:hint="cs"/>
          <w:sz w:val="24"/>
          <w:szCs w:val="24"/>
          <w:rtl/>
        </w:rPr>
        <w:t>48</w:t>
      </w:r>
      <w:r w:rsidR="00E11343" w:rsidRPr="003B4A21">
        <w:rPr>
          <w:rFonts w:ascii="Arial" w:hAnsi="Arial" w:cs="David" w:hint="cs"/>
          <w:sz w:val="24"/>
          <w:szCs w:val="24"/>
          <w:rtl/>
        </w:rPr>
        <w:t>9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מיליארדים.</w:t>
      </w:r>
    </w:p>
    <w:p w:rsidR="009E07BE" w:rsidRPr="003B4A21" w:rsidRDefault="009E07BE" w:rsidP="009E07B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9F574F" w:rsidRPr="003B4A21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Fonts w:ascii="Arial" w:hAnsi="Arial" w:cs="David"/>
          <w:b/>
          <w:bCs/>
          <w:sz w:val="24"/>
          <w:szCs w:val="24"/>
        </w:rPr>
      </w:pPr>
      <w:r w:rsidRPr="003B4A21">
        <w:rPr>
          <w:rStyle w:val="10"/>
          <w:rFonts w:cs="David"/>
          <w:rtl/>
        </w:rPr>
        <w:t>החוב של המגזר העסקי</w:t>
      </w:r>
      <w:r w:rsidR="0028327B" w:rsidRPr="003B4A21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</w:p>
    <w:p w:rsidR="00406F28" w:rsidRPr="003B4A21" w:rsidRDefault="0089040A" w:rsidP="00E42B88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3B4A21">
        <w:rPr>
          <w:rFonts w:ascii="Arial" w:hAnsi="Arial" w:cs="David" w:hint="cs"/>
          <w:sz w:val="24"/>
          <w:szCs w:val="24"/>
          <w:rtl/>
        </w:rPr>
        <w:t>מהחטיבה למידע ו</w:t>
      </w:r>
      <w:r w:rsidR="00882FBA" w:rsidRPr="003B4A21">
        <w:rPr>
          <w:rFonts w:ascii="Arial" w:hAnsi="Arial" w:cs="David" w:hint="cs"/>
          <w:sz w:val="24"/>
          <w:szCs w:val="24"/>
          <w:rtl/>
        </w:rPr>
        <w:t>ל</w:t>
      </w:r>
      <w:r w:rsidRPr="003B4A21">
        <w:rPr>
          <w:rFonts w:ascii="Arial" w:hAnsi="Arial" w:cs="David" w:hint="cs"/>
          <w:sz w:val="24"/>
          <w:szCs w:val="24"/>
          <w:rtl/>
        </w:rPr>
        <w:t xml:space="preserve">סטטיסטיקה נמסר, כי </w:t>
      </w:r>
      <w:r w:rsidR="00406F28" w:rsidRPr="003B4A21">
        <w:rPr>
          <w:rFonts w:ascii="Arial" w:hAnsi="Arial" w:cs="David" w:hint="cs"/>
          <w:b/>
          <w:bCs/>
          <w:sz w:val="24"/>
          <w:szCs w:val="24"/>
          <w:rtl/>
        </w:rPr>
        <w:t xml:space="preserve">ברביע </w:t>
      </w:r>
      <w:r w:rsidR="00D960E3" w:rsidRPr="003B4A21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A45CAF" w:rsidRPr="003B4A21">
        <w:rPr>
          <w:rFonts w:ascii="Arial" w:hAnsi="Arial" w:cs="David" w:hint="cs"/>
          <w:b/>
          <w:bCs/>
          <w:sz w:val="24"/>
          <w:szCs w:val="24"/>
          <w:rtl/>
        </w:rPr>
        <w:t>שני</w:t>
      </w:r>
      <w:r w:rsidR="00406F28" w:rsidRPr="003B4A21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D960E3" w:rsidRPr="003B4A21">
        <w:rPr>
          <w:rFonts w:ascii="Arial" w:hAnsi="Arial" w:cs="David" w:hint="cs"/>
          <w:sz w:val="24"/>
          <w:szCs w:val="24"/>
          <w:rtl/>
        </w:rPr>
        <w:t>2016</w:t>
      </w:r>
      <w:r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A45CAF" w:rsidRPr="003B4A21">
        <w:rPr>
          <w:rFonts w:ascii="Arial" w:hAnsi="Arial" w:cs="David" w:hint="cs"/>
          <w:sz w:val="24"/>
          <w:szCs w:val="24"/>
          <w:rtl/>
        </w:rPr>
        <w:t>גדלה</w:t>
      </w:r>
      <w:r w:rsidR="00882FBA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613223" w:rsidRPr="003B4A21">
        <w:rPr>
          <w:rFonts w:ascii="Arial" w:hAnsi="Arial" w:cs="David" w:hint="cs"/>
          <w:sz w:val="24"/>
          <w:szCs w:val="24"/>
          <w:rtl/>
        </w:rPr>
        <w:t xml:space="preserve">יתרת החוב של המגזר העסקי </w:t>
      </w:r>
      <w:r w:rsidR="00C06754" w:rsidRPr="003B4A21">
        <w:rPr>
          <w:rFonts w:ascii="Arial" w:hAnsi="Arial" w:cs="David" w:hint="cs"/>
          <w:sz w:val="24"/>
          <w:szCs w:val="24"/>
          <w:rtl/>
        </w:rPr>
        <w:t>בכ</w:t>
      </w:r>
      <w:r w:rsidR="00406F28" w:rsidRPr="003B4A21">
        <w:rPr>
          <w:rFonts w:ascii="Arial" w:hAnsi="Arial" w:cs="David" w:hint="cs"/>
          <w:sz w:val="24"/>
          <w:szCs w:val="24"/>
          <w:rtl/>
        </w:rPr>
        <w:t>-</w:t>
      </w:r>
      <w:r w:rsidR="00A45CAF" w:rsidRPr="003B4A21">
        <w:rPr>
          <w:rFonts w:ascii="Arial" w:hAnsi="Arial" w:cs="David" w:hint="cs"/>
          <w:sz w:val="24"/>
          <w:szCs w:val="24"/>
          <w:rtl/>
        </w:rPr>
        <w:t xml:space="preserve">13.9 </w:t>
      </w:r>
      <w:r w:rsidR="00406F28" w:rsidRPr="003B4A21">
        <w:rPr>
          <w:rFonts w:ascii="Arial" w:hAnsi="Arial" w:cs="David" w:hint="cs"/>
          <w:sz w:val="24"/>
          <w:szCs w:val="24"/>
          <w:rtl/>
        </w:rPr>
        <w:t>מיליארדי</w:t>
      </w:r>
      <w:r w:rsidR="00C06754" w:rsidRPr="003B4A21">
        <w:rPr>
          <w:rFonts w:ascii="Arial" w:hAnsi="Arial" w:cs="David" w:hint="cs"/>
          <w:sz w:val="24"/>
          <w:szCs w:val="24"/>
          <w:rtl/>
        </w:rPr>
        <w:t xml:space="preserve"> ש"ח</w:t>
      </w:r>
      <w:r w:rsidR="00613223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E42B88" w:rsidRPr="003B4A21">
        <w:rPr>
          <w:rFonts w:ascii="Arial" w:hAnsi="Arial" w:cs="David" w:hint="cs"/>
          <w:sz w:val="24"/>
          <w:szCs w:val="24"/>
          <w:rtl/>
        </w:rPr>
        <w:t xml:space="preserve">(1.7%) ועמדה בסוף יוני על </w:t>
      </w:r>
      <w:r w:rsidR="00613223" w:rsidRPr="003B4A21">
        <w:rPr>
          <w:rFonts w:ascii="Arial" w:hAnsi="Arial" w:cs="David" w:hint="cs"/>
          <w:sz w:val="24"/>
          <w:szCs w:val="24"/>
          <w:rtl/>
        </w:rPr>
        <w:t>כ-</w:t>
      </w:r>
      <w:r w:rsidR="00D960E3" w:rsidRPr="003B4A21">
        <w:rPr>
          <w:rFonts w:ascii="Arial" w:hAnsi="Arial" w:cs="David" w:hint="cs"/>
          <w:sz w:val="24"/>
          <w:szCs w:val="24"/>
          <w:rtl/>
        </w:rPr>
        <w:t>8</w:t>
      </w:r>
      <w:r w:rsidR="00A45CAF" w:rsidRPr="003B4A21">
        <w:rPr>
          <w:rFonts w:ascii="Arial" w:hAnsi="Arial" w:cs="David" w:hint="cs"/>
          <w:sz w:val="24"/>
          <w:szCs w:val="24"/>
          <w:rtl/>
        </w:rPr>
        <w:t>29</w:t>
      </w:r>
      <w:r w:rsidR="0034285A" w:rsidRPr="003B4A21">
        <w:rPr>
          <w:rFonts w:ascii="Arial" w:hAnsi="Arial" w:cs="David" w:hint="cs"/>
          <w:sz w:val="24"/>
          <w:szCs w:val="24"/>
          <w:rtl/>
        </w:rPr>
        <w:t xml:space="preserve"> מיליארדי</w:t>
      </w:r>
      <w:r w:rsidR="00B86720" w:rsidRPr="003B4A21">
        <w:rPr>
          <w:rFonts w:ascii="Arial" w:hAnsi="Arial" w:cs="David" w:hint="cs"/>
          <w:sz w:val="24"/>
          <w:szCs w:val="24"/>
          <w:rtl/>
        </w:rPr>
        <w:t>ם</w:t>
      </w:r>
      <w:r w:rsidR="00C06754" w:rsidRPr="003B4A21">
        <w:rPr>
          <w:rFonts w:ascii="Arial" w:hAnsi="Arial" w:cs="David" w:hint="cs"/>
          <w:sz w:val="24"/>
          <w:szCs w:val="24"/>
          <w:rtl/>
        </w:rPr>
        <w:t xml:space="preserve">. </w:t>
      </w:r>
      <w:r w:rsidR="00E42B88" w:rsidRPr="003B4A21">
        <w:rPr>
          <w:rFonts w:ascii="Arial" w:hAnsi="Arial" w:cs="David" w:hint="cs"/>
          <w:sz w:val="24"/>
          <w:szCs w:val="24"/>
          <w:rtl/>
        </w:rPr>
        <w:t>הגידול ביתרת החוב נבע בעיקר מ</w:t>
      </w:r>
      <w:r w:rsidR="00A45CAF" w:rsidRPr="003B4A21">
        <w:rPr>
          <w:rFonts w:ascii="Arial" w:hAnsi="Arial" w:cs="David" w:hint="cs"/>
          <w:sz w:val="24"/>
          <w:szCs w:val="24"/>
          <w:rtl/>
        </w:rPr>
        <w:t>גידול כמותי ש</w:t>
      </w:r>
      <w:r w:rsidR="00E42B88" w:rsidRPr="003B4A21">
        <w:rPr>
          <w:rFonts w:ascii="Arial" w:hAnsi="Arial" w:cs="David" w:hint="cs"/>
          <w:sz w:val="24"/>
          <w:szCs w:val="24"/>
          <w:rtl/>
        </w:rPr>
        <w:t xml:space="preserve">ל </w:t>
      </w:r>
      <w:r w:rsidR="00A45CAF" w:rsidRPr="003B4A21">
        <w:rPr>
          <w:rFonts w:ascii="Arial" w:hAnsi="Arial" w:cs="David" w:hint="cs"/>
          <w:sz w:val="24"/>
          <w:szCs w:val="24"/>
          <w:rtl/>
        </w:rPr>
        <w:t>כ-8.1</w:t>
      </w:r>
      <w:r w:rsidR="00E42B88" w:rsidRPr="003B4A21">
        <w:rPr>
          <w:rFonts w:ascii="Arial" w:hAnsi="Arial" w:cs="David" w:hint="cs"/>
          <w:sz w:val="24"/>
          <w:szCs w:val="24"/>
          <w:rtl/>
        </w:rPr>
        <w:t xml:space="preserve"> מיליארדים </w:t>
      </w:r>
      <w:r w:rsidR="00A45CAF" w:rsidRPr="003B4A21">
        <w:rPr>
          <w:rFonts w:ascii="Arial" w:hAnsi="Arial" w:cs="David" w:hint="cs"/>
          <w:sz w:val="24"/>
          <w:szCs w:val="24"/>
          <w:rtl/>
        </w:rPr>
        <w:t xml:space="preserve">באג"ח סחירות בישראל, בהלוואות בנקאיות וחוץ בנקאיות. </w:t>
      </w:r>
      <w:r w:rsidR="008842DA" w:rsidRPr="003B4A21">
        <w:rPr>
          <w:rFonts w:ascii="Arial" w:hAnsi="Arial" w:cs="David" w:hint="cs"/>
          <w:sz w:val="24"/>
          <w:szCs w:val="24"/>
          <w:rtl/>
        </w:rPr>
        <w:t xml:space="preserve">כמו כן, </w:t>
      </w:r>
      <w:r w:rsidR="00E42B88" w:rsidRPr="003B4A21">
        <w:rPr>
          <w:rFonts w:ascii="Arial" w:hAnsi="Arial" w:cs="David" w:hint="cs"/>
          <w:sz w:val="24"/>
          <w:szCs w:val="24"/>
          <w:rtl/>
        </w:rPr>
        <w:t xml:space="preserve">תרמו </w:t>
      </w:r>
      <w:r w:rsidR="008842DA" w:rsidRPr="003B4A21">
        <w:rPr>
          <w:rFonts w:ascii="Arial" w:hAnsi="Arial" w:cs="David" w:hint="cs"/>
          <w:sz w:val="24"/>
          <w:szCs w:val="24"/>
          <w:rtl/>
        </w:rPr>
        <w:t>לעלייה</w:t>
      </w:r>
      <w:r w:rsidR="00664600" w:rsidRPr="003B4A21">
        <w:rPr>
          <w:rFonts w:ascii="Arial" w:hAnsi="Arial" w:cs="David" w:hint="cs"/>
          <w:sz w:val="24"/>
          <w:szCs w:val="24"/>
          <w:rtl/>
        </w:rPr>
        <w:t xml:space="preserve"> ביתרת</w:t>
      </w:r>
      <w:r w:rsidR="008842DA" w:rsidRPr="003B4A21">
        <w:rPr>
          <w:rFonts w:ascii="Arial" w:hAnsi="Arial" w:cs="David" w:hint="cs"/>
          <w:sz w:val="24"/>
          <w:szCs w:val="24"/>
          <w:rtl/>
        </w:rPr>
        <w:t xml:space="preserve"> החוב </w:t>
      </w:r>
      <w:r w:rsidR="00E42B88" w:rsidRPr="003B4A21">
        <w:rPr>
          <w:rFonts w:ascii="Arial" w:hAnsi="Arial" w:cs="David" w:hint="cs"/>
          <w:sz w:val="24"/>
          <w:szCs w:val="24"/>
          <w:rtl/>
        </w:rPr>
        <w:t>פ</w:t>
      </w:r>
      <w:r w:rsidR="00A45CAF" w:rsidRPr="003B4A21">
        <w:rPr>
          <w:rFonts w:ascii="Arial" w:hAnsi="Arial" w:cs="David" w:hint="cs"/>
          <w:sz w:val="24"/>
          <w:szCs w:val="24"/>
          <w:rtl/>
        </w:rPr>
        <w:t>יחות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D960E3" w:rsidRPr="003B4A21">
        <w:rPr>
          <w:rFonts w:ascii="Arial" w:hAnsi="Arial" w:cs="David"/>
          <w:sz w:val="24"/>
          <w:szCs w:val="24"/>
          <w:rtl/>
        </w:rPr>
        <w:t>בשער החליפין של השקל מול הדולר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E42B88" w:rsidRPr="003B4A21">
        <w:rPr>
          <w:rFonts w:ascii="Arial" w:hAnsi="Arial" w:cs="David" w:hint="cs"/>
          <w:sz w:val="24"/>
          <w:szCs w:val="24"/>
          <w:rtl/>
        </w:rPr>
        <w:t>(</w:t>
      </w:r>
      <w:r w:rsidR="00D960E3" w:rsidRPr="003B4A21">
        <w:rPr>
          <w:rFonts w:ascii="Arial" w:hAnsi="Arial" w:cs="David" w:hint="cs"/>
          <w:sz w:val="24"/>
          <w:szCs w:val="24"/>
          <w:rtl/>
        </w:rPr>
        <w:t>כ-</w:t>
      </w:r>
      <w:r w:rsidR="00A45CAF" w:rsidRPr="003B4A21">
        <w:rPr>
          <w:rFonts w:ascii="Arial" w:hAnsi="Arial" w:cs="David" w:hint="cs"/>
          <w:sz w:val="24"/>
          <w:szCs w:val="24"/>
          <w:rtl/>
        </w:rPr>
        <w:t>2.1%</w:t>
      </w:r>
      <w:r w:rsidR="00E42B88" w:rsidRPr="003B4A21">
        <w:rPr>
          <w:rFonts w:ascii="Arial" w:hAnsi="Arial" w:cs="David" w:hint="cs"/>
          <w:sz w:val="24"/>
          <w:szCs w:val="24"/>
          <w:rtl/>
        </w:rPr>
        <w:t>)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 ו</w:t>
      </w:r>
      <w:r w:rsidR="00A45CAF" w:rsidRPr="003B4A21">
        <w:rPr>
          <w:rFonts w:ascii="Arial" w:hAnsi="Arial" w:cs="David" w:hint="cs"/>
          <w:sz w:val="24"/>
          <w:szCs w:val="24"/>
          <w:rtl/>
        </w:rPr>
        <w:t>עליי</w:t>
      </w:r>
      <w:r w:rsidR="00E42B88" w:rsidRPr="003B4A21">
        <w:rPr>
          <w:rFonts w:ascii="Arial" w:hAnsi="Arial" w:cs="David" w:hint="cs"/>
          <w:sz w:val="24"/>
          <w:szCs w:val="24"/>
          <w:rtl/>
        </w:rPr>
        <w:t>ה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E42B88" w:rsidRPr="003B4A21">
        <w:rPr>
          <w:rFonts w:ascii="Arial" w:hAnsi="Arial" w:cs="David" w:hint="cs"/>
          <w:sz w:val="24"/>
          <w:szCs w:val="24"/>
          <w:rtl/>
        </w:rPr>
        <w:t>ב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מדד המחירים לצרכן </w:t>
      </w:r>
      <w:r w:rsidR="00E42B88" w:rsidRPr="003B4A21">
        <w:rPr>
          <w:rFonts w:ascii="Arial" w:hAnsi="Arial" w:cs="David" w:hint="cs"/>
          <w:sz w:val="24"/>
          <w:szCs w:val="24"/>
          <w:rtl/>
        </w:rPr>
        <w:t>(</w:t>
      </w:r>
      <w:r w:rsidR="00D960E3" w:rsidRPr="003B4A21">
        <w:rPr>
          <w:rFonts w:ascii="Arial" w:hAnsi="Arial" w:cs="David" w:hint="cs"/>
          <w:sz w:val="24"/>
          <w:szCs w:val="24"/>
          <w:rtl/>
        </w:rPr>
        <w:t>כ-0.</w:t>
      </w:r>
      <w:r w:rsidR="00A45CAF" w:rsidRPr="003B4A21">
        <w:rPr>
          <w:rFonts w:ascii="Arial" w:hAnsi="Arial" w:cs="David" w:hint="cs"/>
          <w:sz w:val="24"/>
          <w:szCs w:val="24"/>
          <w:rtl/>
        </w:rPr>
        <w:t>5</w:t>
      </w:r>
      <w:r w:rsidR="00D960E3" w:rsidRPr="003B4A21">
        <w:rPr>
          <w:rFonts w:ascii="Arial" w:hAnsi="Arial" w:cs="David" w:hint="cs"/>
          <w:sz w:val="24"/>
          <w:szCs w:val="24"/>
          <w:rtl/>
        </w:rPr>
        <w:t>%</w:t>
      </w:r>
      <w:r w:rsidR="00E42B88" w:rsidRPr="003B4A21">
        <w:rPr>
          <w:rFonts w:ascii="Arial" w:hAnsi="Arial" w:cs="David" w:hint="cs"/>
          <w:sz w:val="24"/>
          <w:szCs w:val="24"/>
          <w:rtl/>
        </w:rPr>
        <w:t>)</w:t>
      </w:r>
      <w:r w:rsidR="0025170C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D960E3" w:rsidRPr="003B4A21">
        <w:rPr>
          <w:rFonts w:ascii="Arial" w:hAnsi="Arial" w:cs="David" w:hint="cs"/>
          <w:sz w:val="24"/>
          <w:szCs w:val="24"/>
          <w:rtl/>
        </w:rPr>
        <w:t>אשר ה</w:t>
      </w:r>
      <w:r w:rsidR="00A45CAF" w:rsidRPr="003B4A21">
        <w:rPr>
          <w:rFonts w:ascii="Arial" w:hAnsi="Arial" w:cs="David" w:hint="cs"/>
          <w:sz w:val="24"/>
          <w:szCs w:val="24"/>
          <w:rtl/>
        </w:rPr>
        <w:t>גדילו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 את השווי של החוב הנקוב והצמוד </w:t>
      </w:r>
      <w:r w:rsidR="0058468A" w:rsidRPr="003B4A21">
        <w:rPr>
          <w:rFonts w:ascii="Arial" w:hAnsi="Arial" w:cs="David" w:hint="cs"/>
          <w:sz w:val="24"/>
          <w:szCs w:val="24"/>
          <w:rtl/>
        </w:rPr>
        <w:t>ל</w:t>
      </w:r>
      <w:r w:rsidR="008842DA" w:rsidRPr="003B4A21">
        <w:rPr>
          <w:rFonts w:ascii="Arial" w:hAnsi="Arial" w:cs="David" w:hint="cs"/>
          <w:sz w:val="24"/>
          <w:szCs w:val="24"/>
          <w:rtl/>
        </w:rPr>
        <w:t>מט"ח ו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למדד. </w:t>
      </w:r>
      <w:r w:rsidR="00A45CAF" w:rsidRPr="003B4A21">
        <w:rPr>
          <w:rFonts w:ascii="Arial" w:hAnsi="Arial" w:cs="David" w:hint="cs"/>
          <w:sz w:val="24"/>
          <w:szCs w:val="24"/>
          <w:rtl/>
        </w:rPr>
        <w:t xml:space="preserve">העלייה ביתרת החוב קוזזה 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במקצת </w:t>
      </w:r>
      <w:r w:rsidR="00A45CAF" w:rsidRPr="003B4A21">
        <w:rPr>
          <w:rFonts w:ascii="Arial" w:hAnsi="Arial" w:cs="David" w:hint="cs"/>
          <w:sz w:val="24"/>
          <w:szCs w:val="24"/>
          <w:rtl/>
        </w:rPr>
        <w:t>מ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הקטנה כמותית </w:t>
      </w:r>
      <w:r w:rsidR="00E42B88" w:rsidRPr="003B4A21">
        <w:rPr>
          <w:rFonts w:ascii="Arial" w:hAnsi="Arial" w:cs="David" w:hint="cs"/>
          <w:sz w:val="24"/>
          <w:szCs w:val="24"/>
          <w:rtl/>
        </w:rPr>
        <w:t>בה</w:t>
      </w:r>
      <w:r w:rsidR="00406F28" w:rsidRPr="003B4A21">
        <w:rPr>
          <w:rFonts w:ascii="Arial" w:hAnsi="Arial" w:cs="David" w:hint="cs"/>
          <w:sz w:val="24"/>
          <w:szCs w:val="24"/>
          <w:rtl/>
        </w:rPr>
        <w:t xml:space="preserve">לוואות מחו"ל. </w:t>
      </w:r>
    </w:p>
    <w:p w:rsidR="00A677BF" w:rsidRPr="003B4A21" w:rsidRDefault="0089040A" w:rsidP="00AE487B">
      <w:pPr>
        <w:pStyle w:val="a9"/>
        <w:numPr>
          <w:ilvl w:val="0"/>
          <w:numId w:val="8"/>
        </w:numPr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3B4A21">
        <w:rPr>
          <w:rFonts w:ascii="Arial" w:hAnsi="Arial" w:cs="David" w:hint="cs"/>
          <w:b/>
          <w:bCs/>
          <w:sz w:val="24"/>
          <w:szCs w:val="24"/>
          <w:rtl/>
        </w:rPr>
        <w:t>בחודש</w:t>
      </w:r>
      <w:r w:rsidR="00D960E3" w:rsidRPr="003B4A21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2E6CC3" w:rsidRPr="003B4A21">
        <w:rPr>
          <w:rFonts w:ascii="Arial" w:hAnsi="Arial" w:cs="David" w:hint="cs"/>
          <w:b/>
          <w:bCs/>
          <w:sz w:val="24"/>
          <w:szCs w:val="24"/>
          <w:rtl/>
        </w:rPr>
        <w:t>יולי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D960E3" w:rsidRPr="003B4A21">
        <w:rPr>
          <w:rFonts w:ascii="Arial" w:hAnsi="Arial" w:cs="David" w:hint="cs"/>
          <w:b/>
          <w:bCs/>
          <w:sz w:val="24"/>
          <w:szCs w:val="24"/>
          <w:rtl/>
        </w:rPr>
        <w:t>2016</w:t>
      </w:r>
      <w:r w:rsidR="00D960E3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Pr="003B4A21">
        <w:rPr>
          <w:rFonts w:ascii="Arial" w:hAnsi="Arial" w:cs="David" w:hint="cs"/>
          <w:sz w:val="24"/>
          <w:szCs w:val="24"/>
          <w:rtl/>
        </w:rPr>
        <w:t>הנפיק המגזר העסקי (ללא בנקים וביטוח) אג"ח בשווי של כ-</w:t>
      </w:r>
      <w:r w:rsidR="002E6CC3" w:rsidRPr="003B4A21">
        <w:rPr>
          <w:rFonts w:ascii="Arial" w:hAnsi="Arial" w:cs="David" w:hint="cs"/>
          <w:sz w:val="24"/>
          <w:szCs w:val="24"/>
          <w:rtl/>
        </w:rPr>
        <w:t xml:space="preserve">4.9 </w:t>
      </w:r>
      <w:r w:rsidR="0064196B" w:rsidRPr="003B4A21">
        <w:rPr>
          <w:rFonts w:ascii="Arial" w:hAnsi="Arial" w:cs="David" w:hint="cs"/>
          <w:sz w:val="24"/>
          <w:szCs w:val="24"/>
          <w:rtl/>
        </w:rPr>
        <w:t xml:space="preserve">מיליארדי ש"ח, </w:t>
      </w:r>
      <w:r w:rsidR="002E6CC3" w:rsidRPr="003B4A21">
        <w:rPr>
          <w:rFonts w:ascii="Arial" w:hAnsi="Arial" w:cs="David" w:hint="cs"/>
          <w:sz w:val="24"/>
          <w:szCs w:val="24"/>
          <w:rtl/>
        </w:rPr>
        <w:t>רובן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בהנפקות של אג"ח סחירות</w:t>
      </w:r>
      <w:r w:rsidR="004A6D8C" w:rsidRPr="003B4A21">
        <w:rPr>
          <w:rFonts w:ascii="Arial" w:hAnsi="Arial" w:cs="David" w:hint="cs"/>
          <w:sz w:val="24"/>
          <w:szCs w:val="24"/>
          <w:rtl/>
        </w:rPr>
        <w:t>, גבוה</w:t>
      </w:r>
      <w:r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2E6CC3" w:rsidRPr="003B4A21">
        <w:rPr>
          <w:rFonts w:ascii="Arial" w:hAnsi="Arial" w:cs="David" w:hint="cs"/>
          <w:sz w:val="24"/>
          <w:szCs w:val="24"/>
          <w:rtl/>
        </w:rPr>
        <w:t xml:space="preserve">משמעותית </w:t>
      </w:r>
      <w:r w:rsidR="004A6D8C" w:rsidRPr="003B4A21">
        <w:rPr>
          <w:rFonts w:ascii="Arial" w:hAnsi="Arial" w:cs="David" w:hint="cs"/>
          <w:sz w:val="24"/>
          <w:szCs w:val="24"/>
          <w:rtl/>
        </w:rPr>
        <w:t>מ</w:t>
      </w:r>
      <w:r w:rsidR="00D84C94" w:rsidRPr="003B4A21">
        <w:rPr>
          <w:rFonts w:ascii="Arial" w:hAnsi="Arial" w:cs="David" w:hint="cs"/>
          <w:sz w:val="24"/>
          <w:szCs w:val="24"/>
          <w:rtl/>
        </w:rPr>
        <w:t xml:space="preserve">ממוצע הגיוסים </w:t>
      </w:r>
      <w:r w:rsidR="009974D0" w:rsidRPr="003B4A21">
        <w:rPr>
          <w:rFonts w:ascii="Arial" w:hAnsi="Arial" w:cs="David" w:hint="cs"/>
          <w:sz w:val="24"/>
          <w:szCs w:val="24"/>
          <w:rtl/>
        </w:rPr>
        <w:t xml:space="preserve">החודשי </w:t>
      </w:r>
      <w:r w:rsidR="004A6D8C" w:rsidRPr="003B4A21">
        <w:rPr>
          <w:rFonts w:ascii="Arial" w:hAnsi="Arial" w:cs="David" w:hint="cs"/>
          <w:sz w:val="24"/>
          <w:szCs w:val="24"/>
          <w:rtl/>
        </w:rPr>
        <w:t>ב</w:t>
      </w:r>
      <w:r w:rsidR="002E6CC3" w:rsidRPr="003B4A21">
        <w:rPr>
          <w:rFonts w:ascii="Arial" w:hAnsi="Arial" w:cs="David" w:hint="cs"/>
          <w:sz w:val="24"/>
          <w:szCs w:val="24"/>
          <w:rtl/>
        </w:rPr>
        <w:t xml:space="preserve">מחצית הראשונה של </w:t>
      </w:r>
      <w:r w:rsidR="004A6D8C" w:rsidRPr="003B4A21">
        <w:rPr>
          <w:rFonts w:ascii="Arial" w:hAnsi="Arial" w:cs="David" w:hint="cs"/>
          <w:sz w:val="24"/>
          <w:szCs w:val="24"/>
          <w:rtl/>
        </w:rPr>
        <w:t>השנה</w:t>
      </w:r>
      <w:r w:rsidR="002E6CC3" w:rsidRPr="003B4A21">
        <w:rPr>
          <w:rFonts w:ascii="Arial" w:hAnsi="Arial" w:cs="David" w:hint="cs"/>
          <w:sz w:val="24"/>
          <w:szCs w:val="24"/>
          <w:rtl/>
        </w:rPr>
        <w:t xml:space="preserve"> העומד על כ-2.8</w:t>
      </w:r>
      <w:r w:rsidR="002319C1" w:rsidRPr="003B4A21">
        <w:rPr>
          <w:rFonts w:ascii="Arial" w:hAnsi="Arial" w:cs="David" w:hint="cs"/>
          <w:sz w:val="24"/>
          <w:szCs w:val="24"/>
          <w:rtl/>
        </w:rPr>
        <w:t xml:space="preserve"> מיליארדים.</w:t>
      </w:r>
      <w:r w:rsidR="00AE487B" w:rsidRPr="003B4A21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286AB2" w:rsidRPr="003B4A21" w:rsidRDefault="00AE487B" w:rsidP="001909E1">
      <w:pPr>
        <w:pStyle w:val="a9"/>
        <w:bidi/>
        <w:spacing w:before="120" w:after="120" w:line="360" w:lineRule="auto"/>
        <w:rPr>
          <w:rFonts w:ascii="Arial" w:hAnsi="Arial" w:cs="David"/>
          <w:sz w:val="24"/>
          <w:szCs w:val="24"/>
        </w:rPr>
      </w:pPr>
      <w:r w:rsidRPr="003B4A21">
        <w:rPr>
          <w:rFonts w:ascii="Arial" w:hAnsi="Arial" w:cs="David" w:hint="cs"/>
          <w:sz w:val="24"/>
          <w:szCs w:val="24"/>
          <w:rtl/>
        </w:rPr>
        <w:t>סך ה</w:t>
      </w:r>
      <w:r w:rsidR="00026A8C" w:rsidRPr="003B4A21">
        <w:rPr>
          <w:rFonts w:ascii="Arial" w:hAnsi="Arial" w:cs="David" w:hint="cs"/>
          <w:sz w:val="24"/>
          <w:szCs w:val="24"/>
          <w:rtl/>
        </w:rPr>
        <w:t>הנפקות של המגזר העסקי</w:t>
      </w:r>
      <w:r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026A8C" w:rsidRPr="003B4A21">
        <w:rPr>
          <w:rFonts w:ascii="Arial" w:hAnsi="Arial" w:cs="David" w:hint="cs"/>
          <w:sz w:val="24"/>
          <w:szCs w:val="24"/>
          <w:rtl/>
        </w:rPr>
        <w:t xml:space="preserve">בארץ (ללא בנקים וביטוח) </w:t>
      </w:r>
      <w:r w:rsidRPr="003B4A21">
        <w:rPr>
          <w:rFonts w:ascii="Arial" w:hAnsi="Arial" w:cs="David" w:hint="cs"/>
          <w:b/>
          <w:bCs/>
          <w:sz w:val="24"/>
          <w:szCs w:val="24"/>
          <w:rtl/>
        </w:rPr>
        <w:t>ברביע השני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של השנה הסתכם בכ-9.9 מיליארדי</w:t>
      </w:r>
      <w:r w:rsidR="00A677BF" w:rsidRPr="003B4A21">
        <w:rPr>
          <w:rFonts w:ascii="Arial" w:hAnsi="Arial" w:cs="David" w:hint="cs"/>
          <w:sz w:val="24"/>
          <w:szCs w:val="24"/>
          <w:rtl/>
        </w:rPr>
        <w:t xml:space="preserve"> ש"ח</w:t>
      </w:r>
      <w:r w:rsidRPr="003B4A21">
        <w:rPr>
          <w:rFonts w:ascii="Arial" w:hAnsi="Arial" w:cs="David" w:hint="cs"/>
          <w:sz w:val="24"/>
          <w:szCs w:val="24"/>
          <w:rtl/>
        </w:rPr>
        <w:t>,</w:t>
      </w:r>
      <w:r w:rsidR="009E58EA" w:rsidRPr="003B4A21">
        <w:rPr>
          <w:rFonts w:ascii="Arial" w:hAnsi="Arial" w:cs="David" w:hint="cs"/>
          <w:sz w:val="24"/>
          <w:szCs w:val="24"/>
          <w:rtl/>
        </w:rPr>
        <w:t xml:space="preserve"> רובן באג"ח סחירות,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גבוה מסך ה</w:t>
      </w:r>
      <w:r w:rsidR="0099010D" w:rsidRPr="003B4A21">
        <w:rPr>
          <w:rFonts w:ascii="Arial" w:hAnsi="Arial" w:cs="David" w:hint="cs"/>
          <w:sz w:val="24"/>
          <w:szCs w:val="24"/>
          <w:rtl/>
        </w:rPr>
        <w:t>הנפקות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ברביע הראשון של השנה שהסתכם בכ-6.9 מיליארדי</w:t>
      </w:r>
      <w:r w:rsidRPr="003B4A21">
        <w:rPr>
          <w:rFonts w:ascii="Arial" w:hAnsi="Arial" w:cs="David" w:hint="eastAsia"/>
          <w:sz w:val="24"/>
          <w:szCs w:val="24"/>
          <w:rtl/>
        </w:rPr>
        <w:t>ם</w:t>
      </w:r>
      <w:r w:rsidRPr="003B4A21">
        <w:rPr>
          <w:rFonts w:ascii="Arial" w:hAnsi="Arial" w:cs="David" w:hint="cs"/>
          <w:sz w:val="24"/>
          <w:szCs w:val="24"/>
          <w:rtl/>
        </w:rPr>
        <w:t>. ענף הנדל"ן והבינוי בלט בגיוסים ברביע זה (כ-36% מסך הגיוסים) לאחר שבלט גם ברביע הקודם.</w:t>
      </w:r>
      <w:r w:rsidR="00E750DB" w:rsidRPr="003B4A21">
        <w:rPr>
          <w:rFonts w:ascii="Arial" w:hAnsi="Arial" w:cs="David" w:hint="cs"/>
          <w:b/>
          <w:bCs/>
          <w:color w:val="FF0000"/>
          <w:sz w:val="24"/>
          <w:szCs w:val="24"/>
          <w:rtl/>
        </w:rPr>
        <w:t xml:space="preserve"> </w:t>
      </w:r>
    </w:p>
    <w:p w:rsidR="00985B74" w:rsidRPr="003B4A21" w:rsidRDefault="00985B74" w:rsidP="004C7FE3">
      <w:pPr>
        <w:pStyle w:val="a9"/>
        <w:numPr>
          <w:ilvl w:val="0"/>
          <w:numId w:val="8"/>
        </w:numPr>
        <w:bidi/>
        <w:spacing w:before="240" w:after="120" w:line="360" w:lineRule="auto"/>
        <w:rPr>
          <w:rFonts w:ascii="Arial" w:hAnsi="Arial" w:cs="David"/>
          <w:sz w:val="24"/>
          <w:szCs w:val="24"/>
          <w:rtl/>
        </w:rPr>
      </w:pPr>
      <w:r w:rsidRPr="003B4A21">
        <w:rPr>
          <w:rFonts w:ascii="Arial" w:hAnsi="Arial" w:cs="David" w:hint="cs"/>
          <w:sz w:val="24"/>
          <w:szCs w:val="24"/>
          <w:rtl/>
        </w:rPr>
        <w:t xml:space="preserve">המרווח בין תשואת מדד אג"ח החברות הצמוד, תל בונד 60, לבין תשואת האג"ח הממשלתיות </w:t>
      </w:r>
      <w:r w:rsidR="00DA4279" w:rsidRPr="003B4A21">
        <w:rPr>
          <w:rFonts w:ascii="Arial" w:hAnsi="Arial" w:cs="David" w:hint="cs"/>
          <w:sz w:val="24"/>
          <w:szCs w:val="24"/>
          <w:rtl/>
        </w:rPr>
        <w:t xml:space="preserve">הצמודות </w:t>
      </w:r>
      <w:r w:rsidR="00AA6DC6" w:rsidRPr="003B4A21">
        <w:rPr>
          <w:rFonts w:ascii="Arial" w:hAnsi="Arial" w:cs="David" w:hint="cs"/>
          <w:sz w:val="24"/>
          <w:szCs w:val="24"/>
          <w:rtl/>
        </w:rPr>
        <w:t>הצטמצם</w:t>
      </w:r>
      <w:r w:rsidR="00DA4279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Pr="003B4A21">
        <w:rPr>
          <w:rFonts w:ascii="Arial" w:hAnsi="Arial" w:cs="David" w:hint="cs"/>
          <w:b/>
          <w:bCs/>
          <w:sz w:val="24"/>
          <w:szCs w:val="24"/>
          <w:rtl/>
        </w:rPr>
        <w:t>ב</w:t>
      </w:r>
      <w:r w:rsidR="00AA6DC6" w:rsidRPr="003B4A21">
        <w:rPr>
          <w:rFonts w:ascii="Arial" w:hAnsi="Arial" w:cs="David" w:hint="cs"/>
          <w:b/>
          <w:bCs/>
          <w:sz w:val="24"/>
          <w:szCs w:val="24"/>
          <w:rtl/>
        </w:rPr>
        <w:t>רב</w:t>
      </w:r>
      <w:r w:rsidR="00A20385" w:rsidRPr="003B4A21">
        <w:rPr>
          <w:rFonts w:ascii="Arial" w:hAnsi="Arial" w:cs="David" w:hint="cs"/>
          <w:b/>
          <w:bCs/>
          <w:sz w:val="24"/>
          <w:szCs w:val="24"/>
          <w:rtl/>
        </w:rPr>
        <w:t>יע</w:t>
      </w:r>
      <w:r w:rsidR="00AA6DC6" w:rsidRPr="003B4A21">
        <w:rPr>
          <w:rFonts w:ascii="Arial" w:hAnsi="Arial" w:cs="David" w:hint="cs"/>
          <w:b/>
          <w:bCs/>
          <w:sz w:val="24"/>
          <w:szCs w:val="24"/>
          <w:rtl/>
        </w:rPr>
        <w:t xml:space="preserve"> השני</w:t>
      </w:r>
      <w:r w:rsidR="00AA6DC6" w:rsidRPr="003B4A21">
        <w:rPr>
          <w:rFonts w:ascii="Arial" w:hAnsi="Arial" w:cs="David" w:hint="cs"/>
          <w:sz w:val="24"/>
          <w:szCs w:val="24"/>
          <w:rtl/>
        </w:rPr>
        <w:t xml:space="preserve"> של השנה </w:t>
      </w:r>
      <w:r w:rsidRPr="003B4A21">
        <w:rPr>
          <w:rFonts w:ascii="Arial" w:hAnsi="Arial" w:cs="David" w:hint="cs"/>
          <w:sz w:val="24"/>
          <w:szCs w:val="24"/>
          <w:rtl/>
        </w:rPr>
        <w:t>ב</w:t>
      </w:r>
      <w:r w:rsidR="00DA4279" w:rsidRPr="003B4A21">
        <w:rPr>
          <w:rFonts w:ascii="Arial" w:hAnsi="Arial" w:cs="David" w:hint="cs"/>
          <w:sz w:val="24"/>
          <w:szCs w:val="24"/>
          <w:rtl/>
        </w:rPr>
        <w:t xml:space="preserve">סך של </w:t>
      </w:r>
      <w:r w:rsidRPr="003B4A21">
        <w:rPr>
          <w:rFonts w:ascii="Arial" w:hAnsi="Arial" w:cs="David" w:hint="cs"/>
          <w:sz w:val="24"/>
          <w:szCs w:val="24"/>
          <w:rtl/>
        </w:rPr>
        <w:t>כ-</w:t>
      </w:r>
      <w:r w:rsidR="00AA6DC6" w:rsidRPr="003B4A21">
        <w:rPr>
          <w:rFonts w:ascii="Arial" w:hAnsi="Arial" w:cs="David" w:hint="cs"/>
          <w:sz w:val="24"/>
          <w:szCs w:val="24"/>
          <w:rtl/>
        </w:rPr>
        <w:t>0.19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נק' האחוז לרמה של כ-1.</w:t>
      </w:r>
      <w:r w:rsidR="00A23183" w:rsidRPr="003B4A21">
        <w:rPr>
          <w:rFonts w:ascii="Arial" w:hAnsi="Arial" w:cs="David" w:hint="cs"/>
          <w:sz w:val="24"/>
          <w:szCs w:val="24"/>
          <w:rtl/>
        </w:rPr>
        <w:t>38</w:t>
      </w:r>
      <w:r w:rsidR="009E58EA" w:rsidRPr="003B4A21">
        <w:rPr>
          <w:rFonts w:ascii="Arial" w:hAnsi="Arial" w:cs="David" w:hint="cs"/>
          <w:sz w:val="24"/>
          <w:szCs w:val="24"/>
          <w:rtl/>
        </w:rPr>
        <w:t xml:space="preserve"> נק' האחוז, זאת בהמשך לירידה </w:t>
      </w:r>
      <w:r w:rsidR="00A23183" w:rsidRPr="003B4A21">
        <w:rPr>
          <w:rFonts w:ascii="Arial" w:hAnsi="Arial" w:cs="David" w:hint="cs"/>
          <w:sz w:val="24"/>
          <w:szCs w:val="24"/>
          <w:rtl/>
        </w:rPr>
        <w:t>שנרשמה ברב</w:t>
      </w:r>
      <w:r w:rsidR="00A20385" w:rsidRPr="003B4A21">
        <w:rPr>
          <w:rFonts w:ascii="Arial" w:hAnsi="Arial" w:cs="David" w:hint="cs"/>
          <w:sz w:val="24"/>
          <w:szCs w:val="24"/>
          <w:rtl/>
        </w:rPr>
        <w:t>יע</w:t>
      </w:r>
      <w:r w:rsidR="00A23183" w:rsidRPr="003B4A21">
        <w:rPr>
          <w:rFonts w:ascii="Arial" w:hAnsi="Arial" w:cs="David" w:hint="cs"/>
          <w:sz w:val="24"/>
          <w:szCs w:val="24"/>
          <w:rtl/>
        </w:rPr>
        <w:t xml:space="preserve"> הראשון. </w:t>
      </w:r>
      <w:r w:rsidR="00A23183" w:rsidRPr="003B4A21">
        <w:rPr>
          <w:rFonts w:ascii="Arial" w:hAnsi="Arial" w:cs="David" w:hint="cs"/>
          <w:b/>
          <w:bCs/>
          <w:sz w:val="24"/>
          <w:szCs w:val="24"/>
          <w:rtl/>
        </w:rPr>
        <w:t>בחודש יולי 2016</w:t>
      </w:r>
      <w:r w:rsidR="00A23183" w:rsidRPr="003B4A21">
        <w:rPr>
          <w:rFonts w:ascii="Arial" w:hAnsi="Arial" w:cs="David" w:hint="cs"/>
          <w:sz w:val="24"/>
          <w:szCs w:val="24"/>
          <w:rtl/>
        </w:rPr>
        <w:t xml:space="preserve"> מרווח זה המשיך </w:t>
      </w:r>
      <w:r w:rsidR="000F33EA" w:rsidRPr="003B4A21">
        <w:rPr>
          <w:rFonts w:ascii="Arial" w:hAnsi="Arial" w:cs="David" w:hint="cs"/>
          <w:sz w:val="24"/>
          <w:szCs w:val="24"/>
          <w:rtl/>
        </w:rPr>
        <w:t>להצטמצ</w:t>
      </w:r>
      <w:r w:rsidR="000F33EA" w:rsidRPr="003B4A21">
        <w:rPr>
          <w:rFonts w:ascii="Arial" w:hAnsi="Arial" w:cs="David" w:hint="eastAsia"/>
          <w:sz w:val="24"/>
          <w:szCs w:val="24"/>
          <w:rtl/>
        </w:rPr>
        <w:t>ם</w:t>
      </w:r>
      <w:r w:rsidR="00A23183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1D3779" w:rsidRPr="003B4A21">
        <w:rPr>
          <w:rFonts w:ascii="Arial" w:hAnsi="Arial" w:cs="David" w:hint="cs"/>
          <w:sz w:val="24"/>
          <w:szCs w:val="24"/>
          <w:rtl/>
        </w:rPr>
        <w:t xml:space="preserve">עד </w:t>
      </w:r>
      <w:r w:rsidR="00A23183" w:rsidRPr="003B4A21">
        <w:rPr>
          <w:rFonts w:ascii="Arial" w:hAnsi="Arial" w:cs="David" w:hint="cs"/>
          <w:sz w:val="24"/>
          <w:szCs w:val="24"/>
          <w:rtl/>
        </w:rPr>
        <w:t>לרמה של כ-1.27 נק' האחוז.</w:t>
      </w:r>
      <w:bookmarkStart w:id="0" w:name="_GoBack"/>
      <w:bookmarkEnd w:id="0"/>
    </w:p>
    <w:p w:rsidR="00AD6881" w:rsidRPr="003B4A21" w:rsidRDefault="00AD6881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lang w:eastAsia="en-US"/>
        </w:rPr>
      </w:pPr>
      <w:r w:rsidRPr="003B4A21">
        <w:rPr>
          <w:rFonts w:asciiTheme="minorBidi" w:hAnsiTheme="minorBidi" w:cs="David"/>
          <w:b/>
          <w:bCs/>
          <w:rtl/>
        </w:rPr>
        <w:br w:type="page"/>
      </w:r>
    </w:p>
    <w:p w:rsidR="00AC3E61" w:rsidRPr="003B4A21" w:rsidRDefault="00AC3E61" w:rsidP="0012175B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3B4A21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="0012175B" w:rsidRPr="003B4A21">
        <w:rPr>
          <w:rFonts w:asciiTheme="minorBidi" w:hAnsiTheme="minorBidi" w:cs="David" w:hint="cs"/>
          <w:sz w:val="22"/>
          <w:szCs w:val="22"/>
          <w:vertAlign w:val="superscript"/>
          <w:rtl/>
        </w:rPr>
        <w:t>1</w:t>
      </w:r>
      <w:r w:rsidR="00303DA6" w:rsidRPr="003B4A21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 </w:t>
      </w:r>
    </w:p>
    <w:p w:rsidR="002A60C4" w:rsidRPr="003B4A21" w:rsidRDefault="00584275" w:rsidP="002A60C4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3B4A21">
        <w:rPr>
          <w:rFonts w:cs="David"/>
          <w:noProof/>
        </w:rPr>
        <w:drawing>
          <wp:inline distT="0" distB="0" distL="0" distR="0" wp14:anchorId="5419D471" wp14:editId="7DF7D14F">
            <wp:extent cx="5278120" cy="2409975"/>
            <wp:effectExtent l="0" t="0" r="0" b="9525"/>
            <wp:docPr id="1" name="תמונה 1" descr="התפלגות החוב של המגזר העסקי" title="התפלגות החוב של המגזר העסק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4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54D" w:rsidRPr="003B4A21" w:rsidRDefault="003F454D" w:rsidP="00CC6D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AC3E61" w:rsidRPr="003B4A21" w:rsidRDefault="00AC3E61" w:rsidP="006D526D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</w:rPr>
      </w:pPr>
      <w:r w:rsidRPr="003B4A21">
        <w:rPr>
          <w:rFonts w:asciiTheme="minorBidi" w:hAnsiTheme="minorBidi" w:cs="David"/>
          <w:b/>
          <w:bCs/>
          <w:rtl/>
        </w:rPr>
        <w:t xml:space="preserve">איור 1: החוב הבנקאי והחוץ-בנקאי של הסקטור העסקי – שיעורי השינוי לעומת </w:t>
      </w:r>
      <w:r w:rsidR="006D526D" w:rsidRPr="003B4A21">
        <w:rPr>
          <w:rFonts w:asciiTheme="minorBidi" w:hAnsiTheme="minorBidi" w:cs="David" w:hint="cs"/>
          <w:b/>
          <w:bCs/>
          <w:rtl/>
        </w:rPr>
        <w:t>הרביע</w:t>
      </w:r>
      <w:r w:rsidRPr="003B4A21">
        <w:rPr>
          <w:rFonts w:asciiTheme="minorBidi" w:hAnsiTheme="minorBidi" w:cs="David"/>
          <w:b/>
          <w:bCs/>
          <w:rtl/>
        </w:rPr>
        <w:t xml:space="preserve"> המקביל בשנה הקודמת</w:t>
      </w:r>
    </w:p>
    <w:p w:rsidR="002A60C4" w:rsidRPr="003B4A21" w:rsidRDefault="008868F8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3B4A21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2725B0DF" wp14:editId="6BFF2783">
            <wp:extent cx="5273675" cy="2578735"/>
            <wp:effectExtent l="0" t="0" r="3175" b="0"/>
            <wp:docPr id="4" name="תמונה 4" descr="החוב הבנקאי והחוץ-בנקאי של הסקטור העסקי – שיעורי השינוי לעומת הרביע המקביל בשנה הקודמת" title="החוב הבנקאי והחוץ-בנקאי של הסקטור העסקי – שיעורי השינוי לעומת הרביע המקביל בשנה הקודמ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3E61" w:rsidRPr="003B4A21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t xml:space="preserve"> </w:t>
      </w:r>
    </w:p>
    <w:p w:rsidR="00AC3E61" w:rsidRPr="003B4A21" w:rsidRDefault="00AC3E61" w:rsidP="00AC3E61">
      <w:pPr>
        <w:pStyle w:val="a9"/>
        <w:spacing w:line="360" w:lineRule="auto"/>
        <w:ind w:left="0"/>
        <w:jc w:val="center"/>
        <w:rPr>
          <w:rFonts w:asciiTheme="minorBidi" w:hAnsiTheme="minorBidi" w:cs="David"/>
          <w:b/>
          <w:bCs/>
        </w:rPr>
      </w:pP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t>לוח 2: התפלגות החוב לפי בסיסי הצמדה</w:t>
      </w:r>
    </w:p>
    <w:p w:rsidR="00AC3E61" w:rsidRPr="003B4A21" w:rsidRDefault="008868F8" w:rsidP="00AC3E61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</w:rPr>
      </w:pPr>
      <w:r w:rsidRPr="003B4A21">
        <w:rPr>
          <w:rFonts w:cs="David"/>
          <w:noProof/>
          <w:lang w:eastAsia="en-US"/>
        </w:rPr>
        <w:drawing>
          <wp:inline distT="0" distB="0" distL="0" distR="0" wp14:anchorId="369BB7E3" wp14:editId="0EEA5D81">
            <wp:extent cx="5278120" cy="1203353"/>
            <wp:effectExtent l="0" t="0" r="0" b="0"/>
            <wp:docPr id="6" name="תמונה 6" descr="התפלגות החוב לפי בסיסי הצמדה" title="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CD" w:rsidRPr="003B4A21" w:rsidRDefault="007A3CCD">
      <w:pPr>
        <w:spacing w:after="200" w:line="276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:rsidR="00AC3E61" w:rsidRPr="003B4A21" w:rsidRDefault="00AC3E61" w:rsidP="00825F21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</w:rPr>
      </w:pP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>איור 2: הנפקות אג"ח של הסקטור העסקי הלא פיננסי</w:t>
      </w:r>
    </w:p>
    <w:p w:rsidR="00F83505" w:rsidRPr="003B4A21" w:rsidRDefault="00B37F02" w:rsidP="001F1E1B">
      <w:pPr>
        <w:pStyle w:val="a9"/>
        <w:spacing w:line="360" w:lineRule="auto"/>
        <w:ind w:left="0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3B4A21">
        <w:rPr>
          <w:rFonts w:ascii="Arial" w:hAnsi="Arial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5011CFC4" wp14:editId="565C6AFE">
            <wp:extent cx="5292090" cy="3103245"/>
            <wp:effectExtent l="0" t="0" r="3810" b="1905"/>
            <wp:docPr id="17" name="תמונה 17" descr="הנפקות אג&quot;ח של הסקטור העסקי הלא פיננסי" title="הנפקות אג&quot;ח של הסקטור העסקי הלא 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310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1D7" w:rsidRPr="003B4A21" w:rsidRDefault="000911D7" w:rsidP="000911D7">
      <w:pPr>
        <w:pStyle w:val="a9"/>
        <w:bidi/>
        <w:spacing w:line="360" w:lineRule="auto"/>
        <w:ind w:left="360" w:right="-101"/>
        <w:jc w:val="both"/>
        <w:rPr>
          <w:rFonts w:ascii="Arial" w:hAnsi="Arial" w:cs="David"/>
          <w:sz w:val="24"/>
          <w:szCs w:val="24"/>
          <w:u w:val="single"/>
          <w:rtl/>
        </w:rPr>
      </w:pPr>
    </w:p>
    <w:p w:rsidR="00522BB0" w:rsidRPr="003B4A21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Pr="003B4A21">
        <w:rPr>
          <w:rFonts w:asciiTheme="minorBidi" w:hAnsiTheme="minorBidi" w:cs="David" w:hint="cs"/>
          <w:b/>
          <w:bCs/>
          <w:sz w:val="24"/>
          <w:szCs w:val="24"/>
          <w:rtl/>
        </w:rPr>
        <w:t>3</w:t>
      </w: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t xml:space="preserve">: המרווח בין אג"ח חברות צמוד (תל בונד 60) לאג"ח ממשלתי צמוד </w:t>
      </w:r>
      <w:r w:rsidRPr="003B4A21">
        <w:rPr>
          <w:rFonts w:asciiTheme="minorBidi" w:hAnsiTheme="minorBidi" w:cs="David" w:hint="cs"/>
          <w:b/>
          <w:bCs/>
          <w:sz w:val="24"/>
          <w:szCs w:val="24"/>
          <w:rtl/>
        </w:rPr>
        <w:br/>
      </w: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t>(ממוצע חודשי)</w:t>
      </w:r>
    </w:p>
    <w:p w:rsidR="00522BB0" w:rsidRPr="003B4A21" w:rsidRDefault="007D0EF4" w:rsidP="00522BB0">
      <w:pPr>
        <w:pStyle w:val="a9"/>
        <w:bidi/>
        <w:spacing w:line="360" w:lineRule="auto"/>
        <w:ind w:left="-52" w:right="-101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3B4A21">
        <w:rPr>
          <w:rFonts w:asciiTheme="minorBidi" w:hAnsiTheme="minorBidi"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281757B" wp14:editId="2B84B60B">
            <wp:extent cx="5292090" cy="2688590"/>
            <wp:effectExtent l="0" t="0" r="3810" b="0"/>
            <wp:docPr id="11" name="תמונה 11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BB0" w:rsidRPr="003B4A21" w:rsidRDefault="00522BB0" w:rsidP="00522BB0">
      <w:pPr>
        <w:pStyle w:val="a9"/>
        <w:bidi/>
        <w:spacing w:line="360" w:lineRule="auto"/>
        <w:ind w:left="360" w:right="-101"/>
        <w:jc w:val="center"/>
        <w:rPr>
          <w:rFonts w:ascii="Arial" w:hAnsi="Arial" w:cs="David"/>
          <w:sz w:val="24"/>
          <w:szCs w:val="24"/>
          <w:u w:val="single"/>
          <w:rtl/>
        </w:rPr>
      </w:pPr>
    </w:p>
    <w:p w:rsidR="009F574F" w:rsidRPr="003B4A21" w:rsidRDefault="009F574F" w:rsidP="007A3CCD">
      <w:pPr>
        <w:pStyle w:val="a9"/>
        <w:numPr>
          <w:ilvl w:val="0"/>
          <w:numId w:val="18"/>
        </w:numPr>
        <w:bidi/>
        <w:spacing w:line="360" w:lineRule="auto"/>
        <w:jc w:val="both"/>
        <w:rPr>
          <w:rStyle w:val="10"/>
          <w:rFonts w:cs="David"/>
        </w:rPr>
      </w:pPr>
      <w:r w:rsidRPr="003B4A21">
        <w:rPr>
          <w:rStyle w:val="10"/>
          <w:rFonts w:cs="David"/>
          <w:rtl/>
        </w:rPr>
        <w:t>החוב של משקי הבית</w:t>
      </w:r>
    </w:p>
    <w:p w:rsidR="00C95582" w:rsidRPr="003B4A21" w:rsidRDefault="002319C1" w:rsidP="00674FDA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3B4A21">
        <w:rPr>
          <w:rFonts w:ascii="Arial" w:hAnsi="Arial" w:cs="David" w:hint="cs"/>
          <w:b/>
          <w:bCs/>
          <w:sz w:val="24"/>
          <w:szCs w:val="24"/>
          <w:rtl/>
        </w:rPr>
        <w:t>יתרת החוב של משקי הבית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גדלה </w:t>
      </w:r>
      <w:r w:rsidR="00DA070E" w:rsidRPr="003B4A21">
        <w:rPr>
          <w:rFonts w:ascii="Arial" w:hAnsi="Arial" w:cs="David" w:hint="cs"/>
          <w:b/>
          <w:bCs/>
          <w:sz w:val="24"/>
          <w:szCs w:val="24"/>
          <w:rtl/>
        </w:rPr>
        <w:t xml:space="preserve">ברביע </w:t>
      </w:r>
      <w:r w:rsidR="00525B9D" w:rsidRPr="003B4A21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17002C" w:rsidRPr="003B4A21">
        <w:rPr>
          <w:rFonts w:ascii="Arial" w:hAnsi="Arial" w:cs="David" w:hint="cs"/>
          <w:b/>
          <w:bCs/>
          <w:sz w:val="24"/>
          <w:szCs w:val="24"/>
          <w:rtl/>
        </w:rPr>
        <w:t>שני</w:t>
      </w:r>
      <w:r w:rsidR="00DA070E" w:rsidRPr="003B4A21">
        <w:rPr>
          <w:rFonts w:ascii="Arial" w:hAnsi="Arial" w:cs="David" w:hint="cs"/>
          <w:sz w:val="24"/>
          <w:szCs w:val="24"/>
          <w:rtl/>
        </w:rPr>
        <w:t xml:space="preserve"> של שנת </w:t>
      </w:r>
      <w:r w:rsidR="00525B9D" w:rsidRPr="003B4A21">
        <w:rPr>
          <w:rFonts w:ascii="Arial" w:hAnsi="Arial" w:cs="David" w:hint="cs"/>
          <w:sz w:val="24"/>
          <w:szCs w:val="24"/>
          <w:rtl/>
        </w:rPr>
        <w:t>2016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בכ-</w:t>
      </w:r>
      <w:r w:rsidR="0017002C" w:rsidRPr="003B4A21">
        <w:rPr>
          <w:rFonts w:ascii="Arial" w:hAnsi="Arial" w:cs="David" w:hint="cs"/>
          <w:sz w:val="24"/>
          <w:szCs w:val="24"/>
          <w:rtl/>
        </w:rPr>
        <w:t>9.2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מיליארדי ש"ח (</w:t>
      </w:r>
      <w:r w:rsidR="00DA070E" w:rsidRPr="003B4A21">
        <w:rPr>
          <w:rFonts w:ascii="Arial" w:hAnsi="Arial" w:cs="David" w:hint="cs"/>
          <w:sz w:val="24"/>
          <w:szCs w:val="24"/>
          <w:rtl/>
        </w:rPr>
        <w:t>1.</w:t>
      </w:r>
      <w:r w:rsidR="0017002C" w:rsidRPr="003B4A21">
        <w:rPr>
          <w:rFonts w:ascii="Arial" w:hAnsi="Arial" w:cs="David" w:hint="cs"/>
          <w:sz w:val="24"/>
          <w:szCs w:val="24"/>
          <w:rtl/>
        </w:rPr>
        <w:t>9</w:t>
      </w:r>
      <w:r w:rsidRPr="003B4A21">
        <w:rPr>
          <w:rFonts w:ascii="Arial" w:hAnsi="Arial" w:cs="David" w:hint="cs"/>
          <w:sz w:val="24"/>
          <w:szCs w:val="24"/>
          <w:rtl/>
        </w:rPr>
        <w:t>%) והסתכמה בכ-4</w:t>
      </w:r>
      <w:r w:rsidR="00525B9D" w:rsidRPr="003B4A21">
        <w:rPr>
          <w:rFonts w:ascii="Arial" w:hAnsi="Arial" w:cs="David" w:hint="cs"/>
          <w:sz w:val="24"/>
          <w:szCs w:val="24"/>
          <w:rtl/>
        </w:rPr>
        <w:t>8</w:t>
      </w:r>
      <w:r w:rsidR="0017002C" w:rsidRPr="003B4A21">
        <w:rPr>
          <w:rFonts w:ascii="Arial" w:hAnsi="Arial" w:cs="David" w:hint="cs"/>
          <w:sz w:val="24"/>
          <w:szCs w:val="24"/>
          <w:rtl/>
        </w:rPr>
        <w:t>9</w:t>
      </w:r>
      <w:r w:rsidR="00DA070E" w:rsidRPr="003B4A21">
        <w:rPr>
          <w:rFonts w:ascii="Arial" w:hAnsi="Arial" w:cs="David" w:hint="cs"/>
          <w:sz w:val="24"/>
          <w:szCs w:val="24"/>
          <w:rtl/>
        </w:rPr>
        <w:t xml:space="preserve"> מיליארדים. </w:t>
      </w:r>
      <w:r w:rsidR="00C95582" w:rsidRPr="003B4A21">
        <w:rPr>
          <w:rFonts w:ascii="Arial" w:hAnsi="Arial" w:cs="David" w:hint="cs"/>
          <w:b/>
          <w:bCs/>
          <w:sz w:val="24"/>
          <w:szCs w:val="24"/>
          <w:rtl/>
        </w:rPr>
        <w:t xml:space="preserve">מתחילת </w:t>
      </w:r>
      <w:r w:rsidR="00674FDA" w:rsidRPr="003B4A21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AA6DC6" w:rsidRPr="003B4A21">
        <w:rPr>
          <w:rFonts w:ascii="Arial" w:hAnsi="Arial" w:cs="David" w:hint="cs"/>
          <w:b/>
          <w:bCs/>
          <w:sz w:val="24"/>
          <w:szCs w:val="24"/>
          <w:rtl/>
        </w:rPr>
        <w:t>שנ</w:t>
      </w:r>
      <w:r w:rsidR="00674FDA" w:rsidRPr="003B4A21">
        <w:rPr>
          <w:rFonts w:ascii="Arial" w:hAnsi="Arial" w:cs="David" w:hint="cs"/>
          <w:b/>
          <w:bCs/>
          <w:sz w:val="24"/>
          <w:szCs w:val="24"/>
          <w:rtl/>
        </w:rPr>
        <w:t>ה</w:t>
      </w:r>
      <w:r w:rsidR="00AA6DC6" w:rsidRPr="003B4A21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="00C95582" w:rsidRPr="003B4A21">
        <w:rPr>
          <w:rFonts w:ascii="Arial" w:hAnsi="Arial" w:cs="David" w:hint="cs"/>
          <w:sz w:val="24"/>
          <w:szCs w:val="24"/>
          <w:rtl/>
        </w:rPr>
        <w:t xml:space="preserve">גדלה יתרת החוב של משקי הבית בכ-15 מיליארדי ש"ח (3.2%). </w:t>
      </w:r>
    </w:p>
    <w:p w:rsidR="002319C1" w:rsidRPr="003B4A21" w:rsidRDefault="00DA070E" w:rsidP="00410DE0">
      <w:pPr>
        <w:pStyle w:val="a9"/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3B4A21">
        <w:rPr>
          <w:rFonts w:ascii="Arial" w:hAnsi="Arial" w:cs="David" w:hint="cs"/>
          <w:sz w:val="24"/>
          <w:szCs w:val="24"/>
          <w:rtl/>
        </w:rPr>
        <w:t xml:space="preserve">יתרת החוב לדיור </w:t>
      </w:r>
      <w:r w:rsidR="002319C1" w:rsidRPr="003B4A21">
        <w:rPr>
          <w:rFonts w:ascii="Arial" w:hAnsi="Arial" w:cs="David" w:hint="cs"/>
          <w:sz w:val="24"/>
          <w:szCs w:val="24"/>
          <w:rtl/>
        </w:rPr>
        <w:t xml:space="preserve">עלתה </w:t>
      </w:r>
      <w:r w:rsidR="00C95582" w:rsidRPr="003B4A21">
        <w:rPr>
          <w:rFonts w:ascii="Arial" w:hAnsi="Arial" w:cs="David" w:hint="cs"/>
          <w:b/>
          <w:bCs/>
          <w:sz w:val="24"/>
          <w:szCs w:val="24"/>
          <w:rtl/>
        </w:rPr>
        <w:t>ברביע השני</w:t>
      </w:r>
      <w:r w:rsidR="00C95582" w:rsidRPr="003B4A21">
        <w:rPr>
          <w:rFonts w:ascii="Arial" w:hAnsi="Arial" w:cs="David" w:hint="cs"/>
          <w:sz w:val="24"/>
          <w:szCs w:val="24"/>
          <w:rtl/>
        </w:rPr>
        <w:t xml:space="preserve"> של השנה </w:t>
      </w:r>
      <w:r w:rsidR="002319C1" w:rsidRPr="003B4A21">
        <w:rPr>
          <w:rFonts w:ascii="Arial" w:hAnsi="Arial" w:cs="David" w:hint="cs"/>
          <w:sz w:val="24"/>
          <w:szCs w:val="24"/>
          <w:rtl/>
        </w:rPr>
        <w:t>בכ-</w:t>
      </w:r>
      <w:r w:rsidR="0017002C" w:rsidRPr="003B4A21">
        <w:rPr>
          <w:rFonts w:ascii="Arial" w:hAnsi="Arial" w:cs="David" w:hint="cs"/>
          <w:sz w:val="24"/>
          <w:szCs w:val="24"/>
          <w:rtl/>
        </w:rPr>
        <w:t>7</w:t>
      </w:r>
      <w:r w:rsidR="00525B9D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2319C1" w:rsidRPr="003B4A21">
        <w:rPr>
          <w:rFonts w:ascii="Arial" w:hAnsi="Arial" w:cs="David" w:hint="cs"/>
          <w:sz w:val="24"/>
          <w:szCs w:val="24"/>
          <w:rtl/>
        </w:rPr>
        <w:t xml:space="preserve">מיליארדי ש"ח </w:t>
      </w:r>
      <w:r w:rsidR="00C95582" w:rsidRPr="003B4A21">
        <w:rPr>
          <w:rFonts w:ascii="Arial" w:hAnsi="Arial" w:cs="David" w:hint="cs"/>
          <w:sz w:val="24"/>
          <w:szCs w:val="24"/>
          <w:rtl/>
        </w:rPr>
        <w:t xml:space="preserve">(2.2%) </w:t>
      </w:r>
      <w:r w:rsidR="002319C1" w:rsidRPr="003B4A21">
        <w:rPr>
          <w:rFonts w:ascii="Arial" w:hAnsi="Arial" w:cs="David" w:hint="cs"/>
          <w:sz w:val="24"/>
          <w:szCs w:val="24"/>
          <w:rtl/>
        </w:rPr>
        <w:t>ועומדת על כ-3</w:t>
      </w:r>
      <w:r w:rsidR="0017002C" w:rsidRPr="003B4A21">
        <w:rPr>
          <w:rFonts w:ascii="Arial" w:hAnsi="Arial" w:cs="David" w:hint="cs"/>
          <w:sz w:val="24"/>
          <w:szCs w:val="24"/>
          <w:rtl/>
        </w:rPr>
        <w:t>31</w:t>
      </w:r>
      <w:r w:rsidR="002319C1" w:rsidRPr="003B4A21">
        <w:rPr>
          <w:rFonts w:ascii="Arial" w:hAnsi="Arial" w:cs="David" w:hint="cs"/>
          <w:sz w:val="24"/>
          <w:szCs w:val="24"/>
          <w:rtl/>
        </w:rPr>
        <w:t xml:space="preserve"> מיליארדים. </w:t>
      </w:r>
      <w:r w:rsidR="00410DE0" w:rsidRPr="003B4A21">
        <w:rPr>
          <w:rFonts w:ascii="Arial" w:hAnsi="Arial" w:cs="David" w:hint="cs"/>
          <w:sz w:val="24"/>
          <w:szCs w:val="24"/>
          <w:rtl/>
        </w:rPr>
        <w:t>יתרת החוב שלא</w:t>
      </w:r>
      <w:r w:rsidR="002C73B0" w:rsidRPr="003B4A21">
        <w:rPr>
          <w:rFonts w:ascii="Arial" w:hAnsi="Arial" w:cs="David" w:hint="cs"/>
          <w:sz w:val="24"/>
          <w:szCs w:val="24"/>
          <w:rtl/>
        </w:rPr>
        <w:t xml:space="preserve"> לדיור עלתה ברביע השני בכ-1.4% (כ-2 מיליארד</w:t>
      </w:r>
      <w:r w:rsidR="00410DE0" w:rsidRPr="003B4A21">
        <w:rPr>
          <w:rFonts w:ascii="Arial" w:hAnsi="Arial" w:cs="David" w:hint="cs"/>
          <w:sz w:val="24"/>
          <w:szCs w:val="24"/>
          <w:rtl/>
        </w:rPr>
        <w:t>י ש"ח</w:t>
      </w:r>
      <w:r w:rsidR="002C73B0" w:rsidRPr="003B4A21">
        <w:rPr>
          <w:rFonts w:ascii="Arial" w:hAnsi="Arial" w:cs="David" w:hint="cs"/>
          <w:sz w:val="24"/>
          <w:szCs w:val="24"/>
          <w:rtl/>
        </w:rPr>
        <w:t>)</w:t>
      </w:r>
    </w:p>
    <w:p w:rsidR="006B0BAE" w:rsidRPr="003B4A21" w:rsidRDefault="00A20385" w:rsidP="008A537E">
      <w:pPr>
        <w:pStyle w:val="a9"/>
        <w:numPr>
          <w:ilvl w:val="0"/>
          <w:numId w:val="9"/>
        </w:numPr>
        <w:bidi/>
        <w:spacing w:before="240" w:after="120" w:line="360" w:lineRule="auto"/>
        <w:rPr>
          <w:rFonts w:ascii="Arial" w:hAnsi="Arial" w:cs="David"/>
          <w:sz w:val="24"/>
          <w:szCs w:val="24"/>
        </w:rPr>
      </w:pPr>
      <w:r w:rsidRPr="003B4A21">
        <w:rPr>
          <w:rFonts w:ascii="Arial" w:hAnsi="Arial" w:cs="David" w:hint="cs"/>
          <w:b/>
          <w:bCs/>
          <w:sz w:val="24"/>
          <w:szCs w:val="24"/>
          <w:rtl/>
        </w:rPr>
        <w:t>ברביע השני</w:t>
      </w:r>
      <w:r w:rsidRPr="003B4A21">
        <w:rPr>
          <w:rFonts w:ascii="Arial" w:hAnsi="Arial" w:cs="David" w:hint="cs"/>
          <w:sz w:val="24"/>
          <w:szCs w:val="24"/>
          <w:rtl/>
        </w:rPr>
        <w:t xml:space="preserve"> של השנה נרשמו ביצועי משכנתאות </w:t>
      </w:r>
      <w:r w:rsidR="007E72DA" w:rsidRPr="003B4A21">
        <w:rPr>
          <w:rFonts w:ascii="Arial" w:hAnsi="Arial" w:cs="David" w:hint="cs"/>
          <w:sz w:val="24"/>
          <w:szCs w:val="24"/>
          <w:rtl/>
        </w:rPr>
        <w:t xml:space="preserve">מהבנקים </w:t>
      </w:r>
      <w:r w:rsidRPr="003B4A21">
        <w:rPr>
          <w:rFonts w:ascii="Arial" w:hAnsi="Arial" w:cs="David" w:hint="cs"/>
          <w:sz w:val="24"/>
          <w:szCs w:val="24"/>
          <w:rtl/>
        </w:rPr>
        <w:t>בסך של כ-15.6 מיליארדי ש"ח, גבוה במקצת מסך הביצועים שנרשמו במהלך הרביע הקודם (14.9 מיליארדים).</w:t>
      </w:r>
      <w:r w:rsidR="00C843C1" w:rsidRPr="003B4A21">
        <w:rPr>
          <w:rFonts w:ascii="Arial" w:hAnsi="Arial" w:cs="David" w:hint="cs"/>
          <w:sz w:val="24"/>
          <w:szCs w:val="24"/>
          <w:rtl/>
        </w:rPr>
        <w:t xml:space="preserve"> </w:t>
      </w:r>
      <w:r w:rsidR="00664600" w:rsidRPr="003B4A21">
        <w:rPr>
          <w:rFonts w:ascii="Arial" w:hAnsi="Arial" w:cs="David" w:hint="cs"/>
          <w:sz w:val="24"/>
          <w:szCs w:val="24"/>
          <w:rtl/>
        </w:rPr>
        <w:t xml:space="preserve">(איור </w:t>
      </w:r>
      <w:r w:rsidR="008A537E" w:rsidRPr="003B4A21">
        <w:rPr>
          <w:rFonts w:ascii="Arial" w:hAnsi="Arial" w:cs="David" w:hint="cs"/>
          <w:sz w:val="24"/>
          <w:szCs w:val="24"/>
          <w:rtl/>
        </w:rPr>
        <w:t>4</w:t>
      </w:r>
      <w:r w:rsidR="00664600" w:rsidRPr="003B4A21">
        <w:rPr>
          <w:rFonts w:ascii="Arial" w:hAnsi="Arial" w:cs="David" w:hint="cs"/>
          <w:sz w:val="24"/>
          <w:szCs w:val="24"/>
          <w:rtl/>
        </w:rPr>
        <w:t>).</w:t>
      </w:r>
      <w:r w:rsidRPr="003B4A21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AC3E61" w:rsidRPr="003B4A21" w:rsidRDefault="00AC3E61" w:rsidP="004B58B8">
      <w:pPr>
        <w:pStyle w:val="a9"/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lastRenderedPageBreak/>
        <w:t>לוח 3: יתרות החוב של משקי הבית</w:t>
      </w:r>
      <w:r w:rsidRPr="003B4A21">
        <w:rPr>
          <w:rFonts w:asciiTheme="minorBidi" w:hAnsiTheme="minorBidi" w:cs="David"/>
          <w:b/>
          <w:bCs/>
          <w:sz w:val="24"/>
          <w:szCs w:val="24"/>
          <w:vertAlign w:val="superscript"/>
          <w:rtl/>
        </w:rPr>
        <w:t>1</w:t>
      </w:r>
      <w:r w:rsidR="009653F5" w:rsidRPr="003B4A21">
        <w:rPr>
          <w:rFonts w:ascii="Arial" w:hAnsi="Arial" w:cs="David"/>
          <w:sz w:val="24"/>
          <w:szCs w:val="24"/>
        </w:rPr>
        <w:t xml:space="preserve"> </w:t>
      </w:r>
      <w:r w:rsidR="007D0EF4" w:rsidRPr="003B4A21">
        <w:rPr>
          <w:rFonts w:cs="David"/>
          <w:noProof/>
          <w:rtl/>
          <w:lang w:eastAsia="en-US"/>
        </w:rPr>
        <w:drawing>
          <wp:inline distT="0" distB="0" distL="0" distR="0" wp14:anchorId="1D488CFB" wp14:editId="03552984">
            <wp:extent cx="5278120" cy="4467076"/>
            <wp:effectExtent l="0" t="0" r="0" b="0"/>
            <wp:docPr id="12" name="תמונה 12" descr="יתרות החוב של משקי הבית1 " title="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46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CC8" w:rsidRPr="003B4A21" w:rsidRDefault="00A24CC8" w:rsidP="003F454D">
      <w:pPr>
        <w:bidi/>
        <w:spacing w:line="360" w:lineRule="auto"/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</w:p>
    <w:p w:rsidR="00546295" w:rsidRPr="003B4A21" w:rsidRDefault="00BF4C2E" w:rsidP="00522BB0">
      <w:pPr>
        <w:bidi/>
        <w:spacing w:line="360" w:lineRule="auto"/>
        <w:jc w:val="center"/>
        <w:rPr>
          <w:rFonts w:ascii="Arial" w:hAnsi="Arial" w:cs="David"/>
          <w:noProof/>
          <w:sz w:val="24"/>
          <w:szCs w:val="24"/>
          <w:rtl/>
          <w:lang w:eastAsia="en-US"/>
        </w:rPr>
      </w:pP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t xml:space="preserve">איור </w:t>
      </w:r>
      <w:r w:rsidR="00522BB0" w:rsidRPr="003B4A21">
        <w:rPr>
          <w:rFonts w:asciiTheme="minorBidi" w:hAnsiTheme="minorBidi" w:cs="David" w:hint="cs"/>
          <w:b/>
          <w:bCs/>
          <w:sz w:val="24"/>
          <w:szCs w:val="24"/>
          <w:rtl/>
        </w:rPr>
        <w:t>4</w:t>
      </w:r>
      <w:r w:rsidRPr="003B4A21">
        <w:rPr>
          <w:rFonts w:asciiTheme="minorBidi" w:hAnsiTheme="minorBidi" w:cs="David"/>
          <w:b/>
          <w:bCs/>
          <w:sz w:val="24"/>
          <w:szCs w:val="24"/>
          <w:rtl/>
        </w:rPr>
        <w:t>: נטילת משכנתאות חדשות מבנקים לפי סוגי הצמדה</w:t>
      </w:r>
    </w:p>
    <w:p w:rsidR="00324EF2" w:rsidRPr="003B4A21" w:rsidRDefault="002A5C23" w:rsidP="00324EF2">
      <w:pPr>
        <w:bidi/>
        <w:spacing w:line="360" w:lineRule="auto"/>
        <w:jc w:val="center"/>
        <w:rPr>
          <w:rFonts w:ascii="Arial" w:hAnsi="Arial" w:cs="David"/>
          <w:sz w:val="24"/>
          <w:szCs w:val="24"/>
          <w:rtl/>
        </w:rPr>
      </w:pPr>
      <w:r w:rsidRPr="003B4A21">
        <w:rPr>
          <w:rFonts w:ascii="Arial" w:hAnsi="Arial" w:cs="David"/>
          <w:noProof/>
          <w:sz w:val="24"/>
          <w:szCs w:val="24"/>
          <w:lang w:eastAsia="en-US"/>
        </w:rPr>
        <w:drawing>
          <wp:inline distT="0" distB="0" distL="0" distR="0" wp14:anchorId="7526667F" wp14:editId="5D370329">
            <wp:extent cx="5322570" cy="2865120"/>
            <wp:effectExtent l="0" t="0" r="0" b="0"/>
            <wp:docPr id="3" name="תמונה 3" descr="נטילת משכנתאות חדשות מבנקים לפי סוגי הצמדה" title="נטילת משכנתאות חדשות מבנקים לפי סוג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7D41" w:rsidRPr="003B4A21" w:rsidRDefault="006B0BAE" w:rsidP="00AD6881">
      <w:pPr>
        <w:pStyle w:val="a9"/>
        <w:bidi/>
        <w:spacing w:before="480" w:line="360" w:lineRule="auto"/>
        <w:ind w:left="0"/>
        <w:rPr>
          <w:rFonts w:ascii="Arial" w:hAnsi="Arial" w:cs="David"/>
          <w:sz w:val="24"/>
          <w:szCs w:val="24"/>
          <w:rtl/>
        </w:rPr>
      </w:pPr>
      <w:r w:rsidRPr="003B4A21">
        <w:rPr>
          <w:rFonts w:ascii="Arial" w:hAnsi="Arial" w:cs="David" w:hint="cs"/>
          <w:sz w:val="24"/>
          <w:szCs w:val="24"/>
          <w:rtl/>
        </w:rPr>
        <w:t xml:space="preserve">ראה קישור למידע נוסף בנושא המופיע באתר הבנק בדף </w:t>
      </w:r>
      <w:hyperlink r:id="rId17" w:history="1">
        <w:r w:rsidRPr="003B4A21">
          <w:rPr>
            <w:rStyle w:val="Hyperlink"/>
            <w:rFonts w:ascii="Arial" w:hAnsi="Arial" w:cs="David" w:hint="cs"/>
            <w:sz w:val="24"/>
            <w:szCs w:val="24"/>
            <w:rtl/>
          </w:rPr>
          <w:t>יתרות האשראי במשק</w:t>
        </w:r>
      </w:hyperlink>
      <w:r w:rsidRPr="003B4A21">
        <w:rPr>
          <w:rFonts w:ascii="Arial" w:hAnsi="Arial" w:cs="David" w:hint="cs"/>
          <w:sz w:val="24"/>
          <w:szCs w:val="24"/>
          <w:rtl/>
        </w:rPr>
        <w:t xml:space="preserve">, קישור </w:t>
      </w:r>
      <w:hyperlink r:id="rId18" w:history="1">
        <w:r w:rsidRPr="003B4A21">
          <w:rPr>
            <w:rStyle w:val="Hyperlink"/>
            <w:rFonts w:ascii="Arial" w:hAnsi="Arial" w:cs="David" w:hint="cs"/>
            <w:sz w:val="24"/>
            <w:szCs w:val="24"/>
            <w:rtl/>
          </w:rPr>
          <w:t>לנתוני משכנתאות</w:t>
        </w:r>
      </w:hyperlink>
      <w:r w:rsidR="00F97D41" w:rsidRPr="003B4A21">
        <w:rPr>
          <w:rFonts w:ascii="Arial" w:hAnsi="Arial" w:cs="David" w:hint="cs"/>
          <w:sz w:val="24"/>
          <w:szCs w:val="24"/>
          <w:rtl/>
        </w:rPr>
        <w:t xml:space="preserve">, קישור לנתוני </w:t>
      </w:r>
      <w:hyperlink r:id="rId19" w:history="1">
        <w:r w:rsidR="00F97D41" w:rsidRPr="003B4A21">
          <w:rPr>
            <w:rStyle w:val="Hyperlink"/>
            <w:rFonts w:ascii="Arial" w:hAnsi="Arial" w:cs="David" w:hint="cs"/>
            <w:sz w:val="24"/>
            <w:szCs w:val="24"/>
            <w:rtl/>
          </w:rPr>
          <w:t>מחירים בבנקים</w:t>
        </w:r>
      </w:hyperlink>
      <w:r w:rsidR="00F97D41" w:rsidRPr="003B4A21">
        <w:rPr>
          <w:rFonts w:ascii="Arial" w:hAnsi="Arial" w:cs="David" w:hint="cs"/>
          <w:sz w:val="24"/>
          <w:szCs w:val="24"/>
          <w:rtl/>
        </w:rPr>
        <w:t>.</w:t>
      </w:r>
    </w:p>
    <w:sectPr w:rsidR="00F97D41" w:rsidRPr="003B4A21" w:rsidSect="003B4A21">
      <w:footerReference w:type="default" r:id="rId20"/>
      <w:pgSz w:w="11906" w:h="16838"/>
      <w:pgMar w:top="1440" w:right="1080" w:bottom="1440" w:left="1080" w:header="709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DD" w:rsidRDefault="00555BDD" w:rsidP="00C04A6B">
      <w:r>
        <w:separator/>
      </w:r>
    </w:p>
  </w:endnote>
  <w:endnote w:type="continuationSeparator" w:id="0">
    <w:p w:rsidR="00555BDD" w:rsidRDefault="00555BDD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David"/>
        <w:rtl/>
      </w:rPr>
      <w:id w:val="1001085329"/>
      <w:docPartObj>
        <w:docPartGallery w:val="Page Numbers (Bottom of Page)"/>
        <w:docPartUnique/>
      </w:docPartObj>
    </w:sdtPr>
    <w:sdtEndPr>
      <w:rPr>
        <w:sz w:val="24"/>
        <w:szCs w:val="24"/>
        <w:cs/>
      </w:rPr>
    </w:sdtEndPr>
    <w:sdtContent>
      <w:sdt>
        <w:sdtPr>
          <w:rPr>
            <w:rFonts w:ascii="Arial" w:hAnsi="Arial" w:cs="David"/>
            <w:sz w:val="24"/>
            <w:szCs w:val="24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3B4A21" w:rsidRDefault="003B4A21" w:rsidP="00A45CAF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ascii="Arial" w:hAnsi="Arial" w:cs="David"/>
                <w:sz w:val="24"/>
                <w:szCs w:val="24"/>
                <w:rtl/>
                <w:cs/>
              </w:rPr>
            </w:pPr>
            <w:r w:rsidRPr="003B4A21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בנק ישראל - </w:t>
            </w:r>
            <w:r w:rsidR="00507193" w:rsidRPr="003B4A21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התפתחות החוב </w:t>
            </w:r>
            <w:r w:rsidR="00802DF3" w:rsidRPr="003B4A21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של המגזר הפרטי </w:t>
            </w:r>
            <w:r w:rsidR="00FC2095" w:rsidRPr="003B4A21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ברביע </w:t>
            </w:r>
            <w:r w:rsidR="0076231E" w:rsidRPr="003B4A21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ה</w:t>
            </w:r>
            <w:r w:rsidR="00A45CAF" w:rsidRPr="003B4A21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שני</w:t>
            </w:r>
            <w:r w:rsidR="00802DF3" w:rsidRPr="003B4A21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של שנת 201</w:t>
            </w:r>
            <w:r w:rsidR="0076231E" w:rsidRPr="003B4A21"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>6</w:t>
            </w:r>
            <w:r>
              <w:rPr>
                <w:rFonts w:ascii="Arial" w:hAnsi="Arial" w:cs="David" w:hint="cs"/>
                <w:sz w:val="24"/>
                <w:szCs w:val="24"/>
                <w:rtl/>
                <w:cs/>
                <w:lang w:val="he-IL"/>
              </w:rPr>
              <w:t xml:space="preserve">                                           </w:t>
            </w:r>
            <w:r w:rsidR="002438E2" w:rsidRPr="003B4A21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עמוד </w:t>
            </w:r>
            <w:r w:rsidR="002438E2" w:rsidRPr="003B4A21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3B4A21">
              <w:rPr>
                <w:rFonts w:ascii="Arial" w:hAnsi="Arial" w:cs="David"/>
                <w:sz w:val="24"/>
                <w:szCs w:val="24"/>
                <w:rtl/>
                <w:cs/>
              </w:rPr>
              <w:instrText>PAGE</w:instrText>
            </w:r>
            <w:r w:rsidR="002438E2" w:rsidRPr="003B4A21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>
              <w:rPr>
                <w:rFonts w:ascii="Arial" w:hAnsi="Arial" w:cs="David"/>
                <w:noProof/>
                <w:sz w:val="24"/>
                <w:szCs w:val="24"/>
                <w:rtl/>
              </w:rPr>
              <w:t>2</w:t>
            </w:r>
            <w:r w:rsidR="002438E2" w:rsidRPr="003B4A21">
              <w:rPr>
                <w:rFonts w:ascii="Arial" w:hAnsi="Arial" w:cs="David"/>
                <w:sz w:val="24"/>
                <w:szCs w:val="24"/>
              </w:rPr>
              <w:fldChar w:fldCharType="end"/>
            </w:r>
            <w:r w:rsidR="002438E2" w:rsidRPr="003B4A21">
              <w:rPr>
                <w:rFonts w:ascii="Arial" w:hAnsi="Arial" w:cs="David"/>
                <w:sz w:val="24"/>
                <w:szCs w:val="24"/>
                <w:rtl/>
                <w:cs/>
                <w:lang w:val="he-IL"/>
              </w:rPr>
              <w:t xml:space="preserve"> מתוך </w:t>
            </w:r>
            <w:r w:rsidR="002438E2" w:rsidRPr="003B4A21">
              <w:rPr>
                <w:rFonts w:ascii="Arial" w:hAnsi="Arial" w:cs="David"/>
                <w:sz w:val="24"/>
                <w:szCs w:val="24"/>
              </w:rPr>
              <w:fldChar w:fldCharType="begin"/>
            </w:r>
            <w:r w:rsidR="002438E2" w:rsidRPr="003B4A21">
              <w:rPr>
                <w:rFonts w:ascii="Arial" w:hAnsi="Arial" w:cs="David"/>
                <w:sz w:val="24"/>
                <w:szCs w:val="24"/>
                <w:rtl/>
                <w:cs/>
              </w:rPr>
              <w:instrText>NUMPAGES</w:instrText>
            </w:r>
            <w:r w:rsidR="002438E2" w:rsidRPr="003B4A21">
              <w:rPr>
                <w:rFonts w:ascii="Arial" w:hAnsi="Arial" w:cs="David"/>
                <w:sz w:val="24"/>
                <w:szCs w:val="24"/>
              </w:rPr>
              <w:fldChar w:fldCharType="separate"/>
            </w:r>
            <w:r>
              <w:rPr>
                <w:rFonts w:ascii="Arial" w:hAnsi="Arial" w:cs="David"/>
                <w:noProof/>
                <w:sz w:val="24"/>
                <w:szCs w:val="24"/>
                <w:rtl/>
              </w:rPr>
              <w:t>4</w:t>
            </w:r>
            <w:r w:rsidR="002438E2" w:rsidRPr="003B4A21">
              <w:rPr>
                <w:rFonts w:ascii="Arial" w:hAnsi="Arial" w:cs="David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DD" w:rsidRDefault="00555BDD" w:rsidP="00C04A6B">
      <w:r>
        <w:separator/>
      </w:r>
    </w:p>
  </w:footnote>
  <w:footnote w:type="continuationSeparator" w:id="0">
    <w:p w:rsidR="00555BDD" w:rsidRDefault="00555BDD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11A"/>
    <w:multiLevelType w:val="hybridMultilevel"/>
    <w:tmpl w:val="5A92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C5C"/>
    <w:multiLevelType w:val="hybridMultilevel"/>
    <w:tmpl w:val="17CA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32EB"/>
    <w:multiLevelType w:val="hybridMultilevel"/>
    <w:tmpl w:val="646AC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ED2C5A"/>
    <w:multiLevelType w:val="hybridMultilevel"/>
    <w:tmpl w:val="5794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AE6066"/>
    <w:multiLevelType w:val="hybridMultilevel"/>
    <w:tmpl w:val="460A4558"/>
    <w:lvl w:ilvl="0" w:tplc="B940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F71052"/>
    <w:multiLevelType w:val="hybridMultilevel"/>
    <w:tmpl w:val="960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34BC4"/>
    <w:multiLevelType w:val="hybridMultilevel"/>
    <w:tmpl w:val="ADA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9323D"/>
    <w:multiLevelType w:val="hybridMultilevel"/>
    <w:tmpl w:val="F0DA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24234C"/>
    <w:multiLevelType w:val="hybridMultilevel"/>
    <w:tmpl w:val="8506AE90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9F0BED"/>
    <w:multiLevelType w:val="hybridMultilevel"/>
    <w:tmpl w:val="76F64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6"/>
  </w:num>
  <w:num w:numId="15">
    <w:abstractNumId w:val="13"/>
  </w:num>
  <w:num w:numId="16">
    <w:abstractNumId w:val="9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318A"/>
    <w:rsid w:val="0001661B"/>
    <w:rsid w:val="00016772"/>
    <w:rsid w:val="00016D86"/>
    <w:rsid w:val="00017279"/>
    <w:rsid w:val="00020DFD"/>
    <w:rsid w:val="000265B2"/>
    <w:rsid w:val="00026A8C"/>
    <w:rsid w:val="00027743"/>
    <w:rsid w:val="00031B7D"/>
    <w:rsid w:val="000331F5"/>
    <w:rsid w:val="00034E1E"/>
    <w:rsid w:val="00037E47"/>
    <w:rsid w:val="00040066"/>
    <w:rsid w:val="000418F2"/>
    <w:rsid w:val="00051063"/>
    <w:rsid w:val="0005169A"/>
    <w:rsid w:val="00053684"/>
    <w:rsid w:val="0005562A"/>
    <w:rsid w:val="000624C1"/>
    <w:rsid w:val="000630AB"/>
    <w:rsid w:val="00063601"/>
    <w:rsid w:val="00064830"/>
    <w:rsid w:val="00065320"/>
    <w:rsid w:val="00065C62"/>
    <w:rsid w:val="000713E4"/>
    <w:rsid w:val="00075FC4"/>
    <w:rsid w:val="000812AB"/>
    <w:rsid w:val="00081313"/>
    <w:rsid w:val="000822C2"/>
    <w:rsid w:val="00085BE0"/>
    <w:rsid w:val="000874C1"/>
    <w:rsid w:val="000911D7"/>
    <w:rsid w:val="0009315D"/>
    <w:rsid w:val="00097E8B"/>
    <w:rsid w:val="000A4C37"/>
    <w:rsid w:val="000A588A"/>
    <w:rsid w:val="000B083E"/>
    <w:rsid w:val="000B190F"/>
    <w:rsid w:val="000B6B82"/>
    <w:rsid w:val="000B7D5E"/>
    <w:rsid w:val="000C62F4"/>
    <w:rsid w:val="000D756E"/>
    <w:rsid w:val="000E3F1A"/>
    <w:rsid w:val="000E59A0"/>
    <w:rsid w:val="000E5A37"/>
    <w:rsid w:val="000E6A23"/>
    <w:rsid w:val="000F0D97"/>
    <w:rsid w:val="000F225A"/>
    <w:rsid w:val="000F33EA"/>
    <w:rsid w:val="000F3A6E"/>
    <w:rsid w:val="000F5653"/>
    <w:rsid w:val="000F5E2D"/>
    <w:rsid w:val="000F7FFC"/>
    <w:rsid w:val="0010106E"/>
    <w:rsid w:val="0010731B"/>
    <w:rsid w:val="00107D10"/>
    <w:rsid w:val="00115A6D"/>
    <w:rsid w:val="00115A82"/>
    <w:rsid w:val="0011712D"/>
    <w:rsid w:val="001178ED"/>
    <w:rsid w:val="00117C7B"/>
    <w:rsid w:val="0012175B"/>
    <w:rsid w:val="00121FF7"/>
    <w:rsid w:val="00125E7E"/>
    <w:rsid w:val="00127335"/>
    <w:rsid w:val="00127CE7"/>
    <w:rsid w:val="001316A1"/>
    <w:rsid w:val="00137006"/>
    <w:rsid w:val="001400D2"/>
    <w:rsid w:val="001431B5"/>
    <w:rsid w:val="00146694"/>
    <w:rsid w:val="001503F7"/>
    <w:rsid w:val="001510D4"/>
    <w:rsid w:val="001543AD"/>
    <w:rsid w:val="0017002C"/>
    <w:rsid w:val="00177686"/>
    <w:rsid w:val="00180E8A"/>
    <w:rsid w:val="00186495"/>
    <w:rsid w:val="0018670E"/>
    <w:rsid w:val="0019015A"/>
    <w:rsid w:val="001909E1"/>
    <w:rsid w:val="00193A25"/>
    <w:rsid w:val="001943E3"/>
    <w:rsid w:val="00194480"/>
    <w:rsid w:val="0019703C"/>
    <w:rsid w:val="001B15F7"/>
    <w:rsid w:val="001B3C3C"/>
    <w:rsid w:val="001B5224"/>
    <w:rsid w:val="001C5132"/>
    <w:rsid w:val="001D0A90"/>
    <w:rsid w:val="001D0E31"/>
    <w:rsid w:val="001D364B"/>
    <w:rsid w:val="001D3779"/>
    <w:rsid w:val="001D5AF0"/>
    <w:rsid w:val="001D7646"/>
    <w:rsid w:val="001D7A17"/>
    <w:rsid w:val="001E5A00"/>
    <w:rsid w:val="001E6A4B"/>
    <w:rsid w:val="001F1E1B"/>
    <w:rsid w:val="001F436F"/>
    <w:rsid w:val="001F529C"/>
    <w:rsid w:val="00207EF6"/>
    <w:rsid w:val="00210333"/>
    <w:rsid w:val="00210E2D"/>
    <w:rsid w:val="0021293F"/>
    <w:rsid w:val="00214D6B"/>
    <w:rsid w:val="0022046E"/>
    <w:rsid w:val="002232D2"/>
    <w:rsid w:val="002237E5"/>
    <w:rsid w:val="0023142A"/>
    <w:rsid w:val="002319C1"/>
    <w:rsid w:val="002430F6"/>
    <w:rsid w:val="002438E2"/>
    <w:rsid w:val="00246382"/>
    <w:rsid w:val="00250CB1"/>
    <w:rsid w:val="00251288"/>
    <w:rsid w:val="0025170C"/>
    <w:rsid w:val="00252CD1"/>
    <w:rsid w:val="00254010"/>
    <w:rsid w:val="0025408D"/>
    <w:rsid w:val="00264230"/>
    <w:rsid w:val="00265361"/>
    <w:rsid w:val="00266DC3"/>
    <w:rsid w:val="0027192B"/>
    <w:rsid w:val="00274A6A"/>
    <w:rsid w:val="0028327B"/>
    <w:rsid w:val="00283EC9"/>
    <w:rsid w:val="00286AB2"/>
    <w:rsid w:val="00287BE1"/>
    <w:rsid w:val="00287E45"/>
    <w:rsid w:val="00292BAD"/>
    <w:rsid w:val="00295751"/>
    <w:rsid w:val="00296A2E"/>
    <w:rsid w:val="002972B4"/>
    <w:rsid w:val="002A0469"/>
    <w:rsid w:val="002A2B75"/>
    <w:rsid w:val="002A5C23"/>
    <w:rsid w:val="002A60C4"/>
    <w:rsid w:val="002B0F7F"/>
    <w:rsid w:val="002B39A4"/>
    <w:rsid w:val="002B3FB0"/>
    <w:rsid w:val="002B447B"/>
    <w:rsid w:val="002B74E5"/>
    <w:rsid w:val="002C29DA"/>
    <w:rsid w:val="002C3A77"/>
    <w:rsid w:val="002C7213"/>
    <w:rsid w:val="002C73B0"/>
    <w:rsid w:val="002C756B"/>
    <w:rsid w:val="002D0FD7"/>
    <w:rsid w:val="002D1779"/>
    <w:rsid w:val="002D3C1F"/>
    <w:rsid w:val="002E20F7"/>
    <w:rsid w:val="002E5ADF"/>
    <w:rsid w:val="002E6CC3"/>
    <w:rsid w:val="002E7A87"/>
    <w:rsid w:val="002F0816"/>
    <w:rsid w:val="002F2629"/>
    <w:rsid w:val="002F6C4C"/>
    <w:rsid w:val="00300E82"/>
    <w:rsid w:val="003018A7"/>
    <w:rsid w:val="00303DA6"/>
    <w:rsid w:val="003055E7"/>
    <w:rsid w:val="00310281"/>
    <w:rsid w:val="00317948"/>
    <w:rsid w:val="00320FD1"/>
    <w:rsid w:val="00322FC0"/>
    <w:rsid w:val="00323164"/>
    <w:rsid w:val="00324EF2"/>
    <w:rsid w:val="0033214F"/>
    <w:rsid w:val="00333F8E"/>
    <w:rsid w:val="0034285A"/>
    <w:rsid w:val="003439F5"/>
    <w:rsid w:val="0035070F"/>
    <w:rsid w:val="003509EF"/>
    <w:rsid w:val="003537B9"/>
    <w:rsid w:val="003576B2"/>
    <w:rsid w:val="00357818"/>
    <w:rsid w:val="00363D6A"/>
    <w:rsid w:val="003641D5"/>
    <w:rsid w:val="003645A9"/>
    <w:rsid w:val="00364AB7"/>
    <w:rsid w:val="00370901"/>
    <w:rsid w:val="003713E8"/>
    <w:rsid w:val="003766F9"/>
    <w:rsid w:val="00377C33"/>
    <w:rsid w:val="0038353E"/>
    <w:rsid w:val="0038394F"/>
    <w:rsid w:val="00383F02"/>
    <w:rsid w:val="00385301"/>
    <w:rsid w:val="003901E0"/>
    <w:rsid w:val="00390EEB"/>
    <w:rsid w:val="003928D7"/>
    <w:rsid w:val="003A0C66"/>
    <w:rsid w:val="003A242C"/>
    <w:rsid w:val="003A2FA9"/>
    <w:rsid w:val="003A315C"/>
    <w:rsid w:val="003A43C0"/>
    <w:rsid w:val="003A490D"/>
    <w:rsid w:val="003B0ADC"/>
    <w:rsid w:val="003B140B"/>
    <w:rsid w:val="003B17BC"/>
    <w:rsid w:val="003B2A0D"/>
    <w:rsid w:val="003B3050"/>
    <w:rsid w:val="003B360C"/>
    <w:rsid w:val="003B388A"/>
    <w:rsid w:val="003B4A21"/>
    <w:rsid w:val="003B4CCA"/>
    <w:rsid w:val="003B61BA"/>
    <w:rsid w:val="003B6ADF"/>
    <w:rsid w:val="003C751F"/>
    <w:rsid w:val="003D04A2"/>
    <w:rsid w:val="003D06D2"/>
    <w:rsid w:val="003D54D0"/>
    <w:rsid w:val="003E4002"/>
    <w:rsid w:val="003E68CF"/>
    <w:rsid w:val="003F12AD"/>
    <w:rsid w:val="003F4002"/>
    <w:rsid w:val="003F454D"/>
    <w:rsid w:val="00400630"/>
    <w:rsid w:val="004024AB"/>
    <w:rsid w:val="00406F28"/>
    <w:rsid w:val="00410DE0"/>
    <w:rsid w:val="0041358A"/>
    <w:rsid w:val="00420F93"/>
    <w:rsid w:val="00424BF3"/>
    <w:rsid w:val="004268D2"/>
    <w:rsid w:val="00426A9C"/>
    <w:rsid w:val="0043226F"/>
    <w:rsid w:val="0044713E"/>
    <w:rsid w:val="00453DD1"/>
    <w:rsid w:val="00460712"/>
    <w:rsid w:val="004625EB"/>
    <w:rsid w:val="0046354A"/>
    <w:rsid w:val="00464A9A"/>
    <w:rsid w:val="00466F96"/>
    <w:rsid w:val="00470630"/>
    <w:rsid w:val="00470996"/>
    <w:rsid w:val="004717A3"/>
    <w:rsid w:val="00472EDE"/>
    <w:rsid w:val="00480FFC"/>
    <w:rsid w:val="00482D0E"/>
    <w:rsid w:val="00484208"/>
    <w:rsid w:val="00497BD0"/>
    <w:rsid w:val="004A6D8C"/>
    <w:rsid w:val="004B22E7"/>
    <w:rsid w:val="004B58B8"/>
    <w:rsid w:val="004B5D8D"/>
    <w:rsid w:val="004B6112"/>
    <w:rsid w:val="004C1DAB"/>
    <w:rsid w:val="004C705A"/>
    <w:rsid w:val="004C7FE3"/>
    <w:rsid w:val="004D0866"/>
    <w:rsid w:val="004D216C"/>
    <w:rsid w:val="004D221E"/>
    <w:rsid w:val="004D285B"/>
    <w:rsid w:val="004D63EE"/>
    <w:rsid w:val="004D746B"/>
    <w:rsid w:val="004D763E"/>
    <w:rsid w:val="004E2566"/>
    <w:rsid w:val="004F06E0"/>
    <w:rsid w:val="004F16EA"/>
    <w:rsid w:val="004F1EB9"/>
    <w:rsid w:val="004F3279"/>
    <w:rsid w:val="004F426F"/>
    <w:rsid w:val="004F4E43"/>
    <w:rsid w:val="00502068"/>
    <w:rsid w:val="005042A9"/>
    <w:rsid w:val="00507193"/>
    <w:rsid w:val="00507235"/>
    <w:rsid w:val="00513C0C"/>
    <w:rsid w:val="00516A2C"/>
    <w:rsid w:val="00520122"/>
    <w:rsid w:val="00521DE3"/>
    <w:rsid w:val="00522BB0"/>
    <w:rsid w:val="00525B9D"/>
    <w:rsid w:val="00526641"/>
    <w:rsid w:val="00532713"/>
    <w:rsid w:val="0054311D"/>
    <w:rsid w:val="00546295"/>
    <w:rsid w:val="005528A7"/>
    <w:rsid w:val="00555BDD"/>
    <w:rsid w:val="0056103E"/>
    <w:rsid w:val="0056258A"/>
    <w:rsid w:val="00572730"/>
    <w:rsid w:val="00573545"/>
    <w:rsid w:val="00577146"/>
    <w:rsid w:val="005816B4"/>
    <w:rsid w:val="00584275"/>
    <w:rsid w:val="0058468A"/>
    <w:rsid w:val="00585612"/>
    <w:rsid w:val="005913CE"/>
    <w:rsid w:val="005921D5"/>
    <w:rsid w:val="005958D0"/>
    <w:rsid w:val="00596389"/>
    <w:rsid w:val="005A199D"/>
    <w:rsid w:val="005A4B9C"/>
    <w:rsid w:val="005A5B31"/>
    <w:rsid w:val="005A6536"/>
    <w:rsid w:val="005A7029"/>
    <w:rsid w:val="005B24B3"/>
    <w:rsid w:val="005B3C69"/>
    <w:rsid w:val="005C110F"/>
    <w:rsid w:val="005C1140"/>
    <w:rsid w:val="005C246C"/>
    <w:rsid w:val="005C32B3"/>
    <w:rsid w:val="005C5130"/>
    <w:rsid w:val="005C5F1D"/>
    <w:rsid w:val="005D012F"/>
    <w:rsid w:val="005D0E2A"/>
    <w:rsid w:val="005E2DFC"/>
    <w:rsid w:val="005E409F"/>
    <w:rsid w:val="005E6AF0"/>
    <w:rsid w:val="005E77A7"/>
    <w:rsid w:val="005E7841"/>
    <w:rsid w:val="005F482A"/>
    <w:rsid w:val="005F663A"/>
    <w:rsid w:val="00600591"/>
    <w:rsid w:val="006028EA"/>
    <w:rsid w:val="006038EA"/>
    <w:rsid w:val="00604E10"/>
    <w:rsid w:val="00612DAA"/>
    <w:rsid w:val="00613223"/>
    <w:rsid w:val="00614095"/>
    <w:rsid w:val="006176B8"/>
    <w:rsid w:val="006212AD"/>
    <w:rsid w:val="006219DA"/>
    <w:rsid w:val="00624066"/>
    <w:rsid w:val="00624A20"/>
    <w:rsid w:val="00624C40"/>
    <w:rsid w:val="00626A71"/>
    <w:rsid w:val="00632F81"/>
    <w:rsid w:val="00636483"/>
    <w:rsid w:val="00636A4D"/>
    <w:rsid w:val="006373FB"/>
    <w:rsid w:val="006407DF"/>
    <w:rsid w:val="0064196B"/>
    <w:rsid w:val="006453AB"/>
    <w:rsid w:val="0064551B"/>
    <w:rsid w:val="00650A9D"/>
    <w:rsid w:val="00652294"/>
    <w:rsid w:val="00664600"/>
    <w:rsid w:val="00664A0B"/>
    <w:rsid w:val="00665A1C"/>
    <w:rsid w:val="00674FDA"/>
    <w:rsid w:val="00675FDA"/>
    <w:rsid w:val="00676F2C"/>
    <w:rsid w:val="006816CE"/>
    <w:rsid w:val="0069062B"/>
    <w:rsid w:val="00691556"/>
    <w:rsid w:val="00695778"/>
    <w:rsid w:val="006957E0"/>
    <w:rsid w:val="006961B2"/>
    <w:rsid w:val="00697C2E"/>
    <w:rsid w:val="006A16E5"/>
    <w:rsid w:val="006A4A2C"/>
    <w:rsid w:val="006A66B4"/>
    <w:rsid w:val="006A7088"/>
    <w:rsid w:val="006B0BAE"/>
    <w:rsid w:val="006B2FAC"/>
    <w:rsid w:val="006B624E"/>
    <w:rsid w:val="006B6ACF"/>
    <w:rsid w:val="006C01FB"/>
    <w:rsid w:val="006C27C7"/>
    <w:rsid w:val="006D526D"/>
    <w:rsid w:val="006D7644"/>
    <w:rsid w:val="006E4F10"/>
    <w:rsid w:val="006E56BA"/>
    <w:rsid w:val="006E7116"/>
    <w:rsid w:val="006E7BF6"/>
    <w:rsid w:val="006F0620"/>
    <w:rsid w:val="006F3512"/>
    <w:rsid w:val="006F5E34"/>
    <w:rsid w:val="007037CB"/>
    <w:rsid w:val="007102C4"/>
    <w:rsid w:val="00720923"/>
    <w:rsid w:val="00725208"/>
    <w:rsid w:val="00737755"/>
    <w:rsid w:val="00742DCE"/>
    <w:rsid w:val="00744938"/>
    <w:rsid w:val="007474E6"/>
    <w:rsid w:val="0074787D"/>
    <w:rsid w:val="00751A3D"/>
    <w:rsid w:val="00752B5B"/>
    <w:rsid w:val="00754AE3"/>
    <w:rsid w:val="00755099"/>
    <w:rsid w:val="00755443"/>
    <w:rsid w:val="00760730"/>
    <w:rsid w:val="0076231E"/>
    <w:rsid w:val="00762D5A"/>
    <w:rsid w:val="00763347"/>
    <w:rsid w:val="0077544B"/>
    <w:rsid w:val="0077670A"/>
    <w:rsid w:val="0077779F"/>
    <w:rsid w:val="00781240"/>
    <w:rsid w:val="0078308C"/>
    <w:rsid w:val="0078308F"/>
    <w:rsid w:val="00784528"/>
    <w:rsid w:val="00784F91"/>
    <w:rsid w:val="0078511C"/>
    <w:rsid w:val="00787DD9"/>
    <w:rsid w:val="00790911"/>
    <w:rsid w:val="0079675B"/>
    <w:rsid w:val="007A2DDB"/>
    <w:rsid w:val="007A3CCD"/>
    <w:rsid w:val="007B1313"/>
    <w:rsid w:val="007B174B"/>
    <w:rsid w:val="007B45DE"/>
    <w:rsid w:val="007C2446"/>
    <w:rsid w:val="007C26CE"/>
    <w:rsid w:val="007C3769"/>
    <w:rsid w:val="007D0EF4"/>
    <w:rsid w:val="007D32BF"/>
    <w:rsid w:val="007D7D86"/>
    <w:rsid w:val="007E13A9"/>
    <w:rsid w:val="007E14D9"/>
    <w:rsid w:val="007E18EE"/>
    <w:rsid w:val="007E5070"/>
    <w:rsid w:val="007E72DA"/>
    <w:rsid w:val="007E7A16"/>
    <w:rsid w:val="007F12DE"/>
    <w:rsid w:val="007F2CEB"/>
    <w:rsid w:val="007F3842"/>
    <w:rsid w:val="007F5009"/>
    <w:rsid w:val="007F6557"/>
    <w:rsid w:val="007F7A89"/>
    <w:rsid w:val="00802DD5"/>
    <w:rsid w:val="00802DF3"/>
    <w:rsid w:val="008065E2"/>
    <w:rsid w:val="00806850"/>
    <w:rsid w:val="00811358"/>
    <w:rsid w:val="008121D7"/>
    <w:rsid w:val="00814206"/>
    <w:rsid w:val="00825878"/>
    <w:rsid w:val="008259B7"/>
    <w:rsid w:val="00825F21"/>
    <w:rsid w:val="00826810"/>
    <w:rsid w:val="00835FC5"/>
    <w:rsid w:val="00843E29"/>
    <w:rsid w:val="008478AE"/>
    <w:rsid w:val="00847B21"/>
    <w:rsid w:val="00852D44"/>
    <w:rsid w:val="00860503"/>
    <w:rsid w:val="008608B4"/>
    <w:rsid w:val="0086330B"/>
    <w:rsid w:val="0086574C"/>
    <w:rsid w:val="00872529"/>
    <w:rsid w:val="008737F5"/>
    <w:rsid w:val="0087446B"/>
    <w:rsid w:val="00877900"/>
    <w:rsid w:val="00877EDF"/>
    <w:rsid w:val="00880DF0"/>
    <w:rsid w:val="00881187"/>
    <w:rsid w:val="00881EF7"/>
    <w:rsid w:val="00882FBA"/>
    <w:rsid w:val="0088314F"/>
    <w:rsid w:val="00883762"/>
    <w:rsid w:val="008842DA"/>
    <w:rsid w:val="008868F8"/>
    <w:rsid w:val="0088690D"/>
    <w:rsid w:val="008900E3"/>
    <w:rsid w:val="0089040A"/>
    <w:rsid w:val="008A537E"/>
    <w:rsid w:val="008A6440"/>
    <w:rsid w:val="008B0765"/>
    <w:rsid w:val="008B10B8"/>
    <w:rsid w:val="008B29D4"/>
    <w:rsid w:val="008B2B4C"/>
    <w:rsid w:val="008B3B63"/>
    <w:rsid w:val="008B4F60"/>
    <w:rsid w:val="008B55E9"/>
    <w:rsid w:val="008B771A"/>
    <w:rsid w:val="008C197C"/>
    <w:rsid w:val="008C335C"/>
    <w:rsid w:val="008C5990"/>
    <w:rsid w:val="008C6760"/>
    <w:rsid w:val="008D098C"/>
    <w:rsid w:val="008D2EA6"/>
    <w:rsid w:val="008D5AD7"/>
    <w:rsid w:val="008D68DB"/>
    <w:rsid w:val="008E2AE6"/>
    <w:rsid w:val="008E4D5D"/>
    <w:rsid w:val="008F47C4"/>
    <w:rsid w:val="0090225A"/>
    <w:rsid w:val="00902402"/>
    <w:rsid w:val="0090346B"/>
    <w:rsid w:val="009065F1"/>
    <w:rsid w:val="00911151"/>
    <w:rsid w:val="00912494"/>
    <w:rsid w:val="00915424"/>
    <w:rsid w:val="00915CE8"/>
    <w:rsid w:val="00917C1C"/>
    <w:rsid w:val="00923125"/>
    <w:rsid w:val="009231C3"/>
    <w:rsid w:val="00925F5D"/>
    <w:rsid w:val="009303F4"/>
    <w:rsid w:val="009311DE"/>
    <w:rsid w:val="00933604"/>
    <w:rsid w:val="00943887"/>
    <w:rsid w:val="009444D9"/>
    <w:rsid w:val="009516D8"/>
    <w:rsid w:val="00955832"/>
    <w:rsid w:val="00961EFC"/>
    <w:rsid w:val="009653F5"/>
    <w:rsid w:val="00966322"/>
    <w:rsid w:val="00967A2D"/>
    <w:rsid w:val="0097338C"/>
    <w:rsid w:val="00973B12"/>
    <w:rsid w:val="00975122"/>
    <w:rsid w:val="00977BED"/>
    <w:rsid w:val="009818C2"/>
    <w:rsid w:val="00985045"/>
    <w:rsid w:val="00985B74"/>
    <w:rsid w:val="0099010D"/>
    <w:rsid w:val="00992E1E"/>
    <w:rsid w:val="0099500B"/>
    <w:rsid w:val="00995039"/>
    <w:rsid w:val="00996693"/>
    <w:rsid w:val="009974D0"/>
    <w:rsid w:val="009A3808"/>
    <w:rsid w:val="009A54F7"/>
    <w:rsid w:val="009A7195"/>
    <w:rsid w:val="009B0128"/>
    <w:rsid w:val="009B27C2"/>
    <w:rsid w:val="009B5DCF"/>
    <w:rsid w:val="009C1434"/>
    <w:rsid w:val="009C16BD"/>
    <w:rsid w:val="009C24AF"/>
    <w:rsid w:val="009C27D3"/>
    <w:rsid w:val="009D0E00"/>
    <w:rsid w:val="009D3E91"/>
    <w:rsid w:val="009E07BE"/>
    <w:rsid w:val="009E1076"/>
    <w:rsid w:val="009E58EA"/>
    <w:rsid w:val="009E64E6"/>
    <w:rsid w:val="009F47F7"/>
    <w:rsid w:val="009F574F"/>
    <w:rsid w:val="00A013E1"/>
    <w:rsid w:val="00A03BFC"/>
    <w:rsid w:val="00A17283"/>
    <w:rsid w:val="00A20385"/>
    <w:rsid w:val="00A23183"/>
    <w:rsid w:val="00A24CC8"/>
    <w:rsid w:val="00A30DCC"/>
    <w:rsid w:val="00A322B9"/>
    <w:rsid w:val="00A32A72"/>
    <w:rsid w:val="00A333C5"/>
    <w:rsid w:val="00A334F6"/>
    <w:rsid w:val="00A44417"/>
    <w:rsid w:val="00A45303"/>
    <w:rsid w:val="00A45CAF"/>
    <w:rsid w:val="00A46B0C"/>
    <w:rsid w:val="00A47EF9"/>
    <w:rsid w:val="00A54983"/>
    <w:rsid w:val="00A57161"/>
    <w:rsid w:val="00A60F5F"/>
    <w:rsid w:val="00A65531"/>
    <w:rsid w:val="00A67178"/>
    <w:rsid w:val="00A677BF"/>
    <w:rsid w:val="00A73792"/>
    <w:rsid w:val="00A7630F"/>
    <w:rsid w:val="00A80AE3"/>
    <w:rsid w:val="00A81A07"/>
    <w:rsid w:val="00A85E92"/>
    <w:rsid w:val="00A878A6"/>
    <w:rsid w:val="00A933C6"/>
    <w:rsid w:val="00A94B36"/>
    <w:rsid w:val="00A95DD8"/>
    <w:rsid w:val="00A96870"/>
    <w:rsid w:val="00A96BDC"/>
    <w:rsid w:val="00A979CF"/>
    <w:rsid w:val="00AA0C2F"/>
    <w:rsid w:val="00AA22D1"/>
    <w:rsid w:val="00AA3E80"/>
    <w:rsid w:val="00AA51B0"/>
    <w:rsid w:val="00AA6DC6"/>
    <w:rsid w:val="00AA70E3"/>
    <w:rsid w:val="00AB409F"/>
    <w:rsid w:val="00AB44C3"/>
    <w:rsid w:val="00AB5B06"/>
    <w:rsid w:val="00AC3E61"/>
    <w:rsid w:val="00AC47DE"/>
    <w:rsid w:val="00AC75BF"/>
    <w:rsid w:val="00AD1348"/>
    <w:rsid w:val="00AD32F4"/>
    <w:rsid w:val="00AD4C8C"/>
    <w:rsid w:val="00AD4F67"/>
    <w:rsid w:val="00AD5FFC"/>
    <w:rsid w:val="00AD655A"/>
    <w:rsid w:val="00AD6881"/>
    <w:rsid w:val="00AD759C"/>
    <w:rsid w:val="00AE487B"/>
    <w:rsid w:val="00AE591E"/>
    <w:rsid w:val="00AF0AD5"/>
    <w:rsid w:val="00AF126A"/>
    <w:rsid w:val="00AF2FE3"/>
    <w:rsid w:val="00AF5FCE"/>
    <w:rsid w:val="00AF7ADE"/>
    <w:rsid w:val="00B01C0D"/>
    <w:rsid w:val="00B03DCA"/>
    <w:rsid w:val="00B058F3"/>
    <w:rsid w:val="00B072ED"/>
    <w:rsid w:val="00B110D9"/>
    <w:rsid w:val="00B1299B"/>
    <w:rsid w:val="00B14475"/>
    <w:rsid w:val="00B157DD"/>
    <w:rsid w:val="00B24F7C"/>
    <w:rsid w:val="00B24FBE"/>
    <w:rsid w:val="00B2503D"/>
    <w:rsid w:val="00B266BE"/>
    <w:rsid w:val="00B27269"/>
    <w:rsid w:val="00B2798D"/>
    <w:rsid w:val="00B27A62"/>
    <w:rsid w:val="00B31EFB"/>
    <w:rsid w:val="00B34583"/>
    <w:rsid w:val="00B37F02"/>
    <w:rsid w:val="00B474E8"/>
    <w:rsid w:val="00B478D2"/>
    <w:rsid w:val="00B51372"/>
    <w:rsid w:val="00B53B37"/>
    <w:rsid w:val="00B55813"/>
    <w:rsid w:val="00B62933"/>
    <w:rsid w:val="00B63D9F"/>
    <w:rsid w:val="00B63DC4"/>
    <w:rsid w:val="00B6415C"/>
    <w:rsid w:val="00B6481E"/>
    <w:rsid w:val="00B6578A"/>
    <w:rsid w:val="00B65904"/>
    <w:rsid w:val="00B675C4"/>
    <w:rsid w:val="00B715E7"/>
    <w:rsid w:val="00B7326C"/>
    <w:rsid w:val="00B74551"/>
    <w:rsid w:val="00B76814"/>
    <w:rsid w:val="00B801AB"/>
    <w:rsid w:val="00B80AE5"/>
    <w:rsid w:val="00B84782"/>
    <w:rsid w:val="00B84BD7"/>
    <w:rsid w:val="00B85D55"/>
    <w:rsid w:val="00B86720"/>
    <w:rsid w:val="00B903A6"/>
    <w:rsid w:val="00B90D40"/>
    <w:rsid w:val="00B91326"/>
    <w:rsid w:val="00BA3AE7"/>
    <w:rsid w:val="00BA4CA3"/>
    <w:rsid w:val="00BA5E1F"/>
    <w:rsid w:val="00BB15EB"/>
    <w:rsid w:val="00BB23C1"/>
    <w:rsid w:val="00BB4550"/>
    <w:rsid w:val="00BB4F5C"/>
    <w:rsid w:val="00BB7F49"/>
    <w:rsid w:val="00BC578A"/>
    <w:rsid w:val="00BD1037"/>
    <w:rsid w:val="00BD3A1C"/>
    <w:rsid w:val="00BD55EC"/>
    <w:rsid w:val="00BD7804"/>
    <w:rsid w:val="00BE235C"/>
    <w:rsid w:val="00BE3716"/>
    <w:rsid w:val="00BE49A2"/>
    <w:rsid w:val="00BF054D"/>
    <w:rsid w:val="00BF0E66"/>
    <w:rsid w:val="00BF4C2E"/>
    <w:rsid w:val="00C014E7"/>
    <w:rsid w:val="00C016F6"/>
    <w:rsid w:val="00C01922"/>
    <w:rsid w:val="00C04A6B"/>
    <w:rsid w:val="00C05088"/>
    <w:rsid w:val="00C06754"/>
    <w:rsid w:val="00C1139C"/>
    <w:rsid w:val="00C22E09"/>
    <w:rsid w:val="00C259B6"/>
    <w:rsid w:val="00C25C1C"/>
    <w:rsid w:val="00C3219B"/>
    <w:rsid w:val="00C411E7"/>
    <w:rsid w:val="00C44E9B"/>
    <w:rsid w:val="00C45C9C"/>
    <w:rsid w:val="00C4703E"/>
    <w:rsid w:val="00C47A82"/>
    <w:rsid w:val="00C5174C"/>
    <w:rsid w:val="00C51835"/>
    <w:rsid w:val="00C56B85"/>
    <w:rsid w:val="00C6135C"/>
    <w:rsid w:val="00C63A60"/>
    <w:rsid w:val="00C656C3"/>
    <w:rsid w:val="00C71943"/>
    <w:rsid w:val="00C843C1"/>
    <w:rsid w:val="00C84B20"/>
    <w:rsid w:val="00C87F91"/>
    <w:rsid w:val="00C9110B"/>
    <w:rsid w:val="00C9322A"/>
    <w:rsid w:val="00C94676"/>
    <w:rsid w:val="00C95582"/>
    <w:rsid w:val="00CA10CF"/>
    <w:rsid w:val="00CA6DAB"/>
    <w:rsid w:val="00CB040E"/>
    <w:rsid w:val="00CB187C"/>
    <w:rsid w:val="00CB1B2B"/>
    <w:rsid w:val="00CB39D9"/>
    <w:rsid w:val="00CB450C"/>
    <w:rsid w:val="00CC1A24"/>
    <w:rsid w:val="00CC2B6E"/>
    <w:rsid w:val="00CC6D6D"/>
    <w:rsid w:val="00CD06A0"/>
    <w:rsid w:val="00CD604C"/>
    <w:rsid w:val="00CD6F68"/>
    <w:rsid w:val="00CE0B3C"/>
    <w:rsid w:val="00CE2510"/>
    <w:rsid w:val="00CE3340"/>
    <w:rsid w:val="00CE36E7"/>
    <w:rsid w:val="00CE457B"/>
    <w:rsid w:val="00CE5DAC"/>
    <w:rsid w:val="00CE71DF"/>
    <w:rsid w:val="00CF1E50"/>
    <w:rsid w:val="00CF6B60"/>
    <w:rsid w:val="00CF76EE"/>
    <w:rsid w:val="00D02264"/>
    <w:rsid w:val="00D02682"/>
    <w:rsid w:val="00D04887"/>
    <w:rsid w:val="00D06C99"/>
    <w:rsid w:val="00D13FC6"/>
    <w:rsid w:val="00D168B0"/>
    <w:rsid w:val="00D213B7"/>
    <w:rsid w:val="00D22AF3"/>
    <w:rsid w:val="00D240DB"/>
    <w:rsid w:val="00D25967"/>
    <w:rsid w:val="00D27CB9"/>
    <w:rsid w:val="00D30667"/>
    <w:rsid w:val="00D31183"/>
    <w:rsid w:val="00D31962"/>
    <w:rsid w:val="00D3287E"/>
    <w:rsid w:val="00D34A00"/>
    <w:rsid w:val="00D3721C"/>
    <w:rsid w:val="00D37BCB"/>
    <w:rsid w:val="00D40D4B"/>
    <w:rsid w:val="00D446DF"/>
    <w:rsid w:val="00D50029"/>
    <w:rsid w:val="00D541E8"/>
    <w:rsid w:val="00D56E66"/>
    <w:rsid w:val="00D57208"/>
    <w:rsid w:val="00D577AA"/>
    <w:rsid w:val="00D57DF3"/>
    <w:rsid w:val="00D57F65"/>
    <w:rsid w:val="00D656CB"/>
    <w:rsid w:val="00D66172"/>
    <w:rsid w:val="00D6658B"/>
    <w:rsid w:val="00D71E63"/>
    <w:rsid w:val="00D80B77"/>
    <w:rsid w:val="00D81061"/>
    <w:rsid w:val="00D81660"/>
    <w:rsid w:val="00D81866"/>
    <w:rsid w:val="00D84C94"/>
    <w:rsid w:val="00D86BF0"/>
    <w:rsid w:val="00D87DC1"/>
    <w:rsid w:val="00D95186"/>
    <w:rsid w:val="00D960E3"/>
    <w:rsid w:val="00DA01D8"/>
    <w:rsid w:val="00DA070E"/>
    <w:rsid w:val="00DA3BD9"/>
    <w:rsid w:val="00DA3CE5"/>
    <w:rsid w:val="00DA4279"/>
    <w:rsid w:val="00DB2E03"/>
    <w:rsid w:val="00DB5322"/>
    <w:rsid w:val="00DB630B"/>
    <w:rsid w:val="00DB6C55"/>
    <w:rsid w:val="00DB7F65"/>
    <w:rsid w:val="00DC3899"/>
    <w:rsid w:val="00DC3BC8"/>
    <w:rsid w:val="00DD0FB0"/>
    <w:rsid w:val="00DD100F"/>
    <w:rsid w:val="00DD1B3F"/>
    <w:rsid w:val="00DD5923"/>
    <w:rsid w:val="00DD599F"/>
    <w:rsid w:val="00DE4BB3"/>
    <w:rsid w:val="00DE6ABB"/>
    <w:rsid w:val="00DE75E2"/>
    <w:rsid w:val="00DF19B1"/>
    <w:rsid w:val="00DF4120"/>
    <w:rsid w:val="00DF56CB"/>
    <w:rsid w:val="00E01030"/>
    <w:rsid w:val="00E10836"/>
    <w:rsid w:val="00E11343"/>
    <w:rsid w:val="00E13412"/>
    <w:rsid w:val="00E15796"/>
    <w:rsid w:val="00E20EC3"/>
    <w:rsid w:val="00E23336"/>
    <w:rsid w:val="00E3272D"/>
    <w:rsid w:val="00E36930"/>
    <w:rsid w:val="00E42B88"/>
    <w:rsid w:val="00E46A8F"/>
    <w:rsid w:val="00E51F1E"/>
    <w:rsid w:val="00E577A9"/>
    <w:rsid w:val="00E67ECB"/>
    <w:rsid w:val="00E73497"/>
    <w:rsid w:val="00E7456B"/>
    <w:rsid w:val="00E750DB"/>
    <w:rsid w:val="00E76607"/>
    <w:rsid w:val="00E80E85"/>
    <w:rsid w:val="00E85E11"/>
    <w:rsid w:val="00E870DD"/>
    <w:rsid w:val="00E9054A"/>
    <w:rsid w:val="00E91E57"/>
    <w:rsid w:val="00EA51C0"/>
    <w:rsid w:val="00EA7329"/>
    <w:rsid w:val="00EB5CD6"/>
    <w:rsid w:val="00EB61B0"/>
    <w:rsid w:val="00EC6205"/>
    <w:rsid w:val="00EC65F0"/>
    <w:rsid w:val="00ED153D"/>
    <w:rsid w:val="00EE4337"/>
    <w:rsid w:val="00EE57B2"/>
    <w:rsid w:val="00EE5F35"/>
    <w:rsid w:val="00EE6255"/>
    <w:rsid w:val="00EF13BA"/>
    <w:rsid w:val="00F0238C"/>
    <w:rsid w:val="00F078CA"/>
    <w:rsid w:val="00F135CB"/>
    <w:rsid w:val="00F1596F"/>
    <w:rsid w:val="00F17A79"/>
    <w:rsid w:val="00F2699B"/>
    <w:rsid w:val="00F35B9D"/>
    <w:rsid w:val="00F36EA0"/>
    <w:rsid w:val="00F40978"/>
    <w:rsid w:val="00F42876"/>
    <w:rsid w:val="00F45101"/>
    <w:rsid w:val="00F452C6"/>
    <w:rsid w:val="00F45C2D"/>
    <w:rsid w:val="00F50C6B"/>
    <w:rsid w:val="00F51A34"/>
    <w:rsid w:val="00F520E2"/>
    <w:rsid w:val="00F5237D"/>
    <w:rsid w:val="00F527AF"/>
    <w:rsid w:val="00F53C31"/>
    <w:rsid w:val="00F5509B"/>
    <w:rsid w:val="00F57830"/>
    <w:rsid w:val="00F57D67"/>
    <w:rsid w:val="00F632C4"/>
    <w:rsid w:val="00F712F6"/>
    <w:rsid w:val="00F718FB"/>
    <w:rsid w:val="00F74172"/>
    <w:rsid w:val="00F74693"/>
    <w:rsid w:val="00F8033E"/>
    <w:rsid w:val="00F81C4A"/>
    <w:rsid w:val="00F8315C"/>
    <w:rsid w:val="00F83357"/>
    <w:rsid w:val="00F83505"/>
    <w:rsid w:val="00F852D0"/>
    <w:rsid w:val="00F9053D"/>
    <w:rsid w:val="00F90780"/>
    <w:rsid w:val="00F90BA8"/>
    <w:rsid w:val="00F96916"/>
    <w:rsid w:val="00F97D41"/>
    <w:rsid w:val="00FA02EF"/>
    <w:rsid w:val="00FA0665"/>
    <w:rsid w:val="00FA1F15"/>
    <w:rsid w:val="00FA314D"/>
    <w:rsid w:val="00FA6355"/>
    <w:rsid w:val="00FA6451"/>
    <w:rsid w:val="00FB2A8C"/>
    <w:rsid w:val="00FB3D77"/>
    <w:rsid w:val="00FC1281"/>
    <w:rsid w:val="00FC2095"/>
    <w:rsid w:val="00FC6CF7"/>
    <w:rsid w:val="00FD0096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7A3CCD"/>
    <w:pPr>
      <w:bidi/>
      <w:spacing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F5509B"/>
    <w:pPr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aa">
    <w:name w:val="annotation reference"/>
    <w:basedOn w:val="a0"/>
    <w:uiPriority w:val="99"/>
    <w:semiHidden/>
    <w:unhideWhenUsed/>
    <w:rsid w:val="0031794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7948"/>
  </w:style>
  <w:style w:type="character" w:customStyle="1" w:styleId="ac">
    <w:name w:val="טקסט הערה תו"/>
    <w:basedOn w:val="a0"/>
    <w:link w:val="ab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794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317948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paragraph" w:styleId="af">
    <w:name w:val="footnote text"/>
    <w:basedOn w:val="a"/>
    <w:link w:val="af0"/>
    <w:uiPriority w:val="99"/>
    <w:semiHidden/>
    <w:unhideWhenUsed/>
    <w:rsid w:val="00317948"/>
  </w:style>
  <w:style w:type="character" w:customStyle="1" w:styleId="af0">
    <w:name w:val="טקסט הערת שוליים תו"/>
    <w:basedOn w:val="a0"/>
    <w:link w:val="af"/>
    <w:uiPriority w:val="99"/>
    <w:semiHidden/>
    <w:rsid w:val="00317948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f1">
    <w:name w:val="footnote reference"/>
    <w:basedOn w:val="a0"/>
    <w:uiPriority w:val="99"/>
    <w:semiHidden/>
    <w:unhideWhenUsed/>
    <w:rsid w:val="00317948"/>
    <w:rPr>
      <w:vertAlign w:val="superscript"/>
    </w:rPr>
  </w:style>
  <w:style w:type="paragraph" w:styleId="af2">
    <w:name w:val="Plain Text"/>
    <w:basedOn w:val="a"/>
    <w:link w:val="af3"/>
    <w:uiPriority w:val="99"/>
    <w:semiHidden/>
    <w:unhideWhenUsed/>
    <w:rsid w:val="00A80AE3"/>
    <w:pPr>
      <w:bidi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טקסט רגיל תו"/>
    <w:basedOn w:val="a0"/>
    <w:link w:val="af2"/>
    <w:uiPriority w:val="99"/>
    <w:semiHidden/>
    <w:rsid w:val="00A80AE3"/>
    <w:rPr>
      <w:rFonts w:ascii="Calibri" w:hAnsi="Calibri"/>
      <w:szCs w:val="21"/>
    </w:rPr>
  </w:style>
  <w:style w:type="paragraph" w:styleId="af4">
    <w:name w:val="Title"/>
    <w:basedOn w:val="a"/>
    <w:next w:val="a"/>
    <w:link w:val="af5"/>
    <w:uiPriority w:val="10"/>
    <w:qFormat/>
    <w:rsid w:val="0088314F"/>
    <w:pPr>
      <w:bidi/>
      <w:spacing w:line="360" w:lineRule="auto"/>
      <w:ind w:right="-10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כותרת טקסט תו"/>
    <w:basedOn w:val="a0"/>
    <w:link w:val="af4"/>
    <w:uiPriority w:val="10"/>
    <w:rsid w:val="0088314F"/>
    <w:rPr>
      <w:rFonts w:ascii="Arial" w:eastAsia="Times New Roman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7A3CCD"/>
    <w:rPr>
      <w:rFonts w:ascii="Arial" w:eastAsia="Times New Roman" w:hAnsi="Arial" w:cs="Arial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.boi.org.il/he/BankingSupervision/Data/Pages/Tables.aspx?ChapterId=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yperlink" Target="https://e.boi.org.il/he/DataAndStatistics/Pages/MainPage.aspx?Level=4&amp;Sid=53&amp;SubjectType=2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yperlink" Target="https://e.boi.org.il/he/BankingSupervision/Data/Pages/Tables.aspx?ChapterId=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DE90EA9-427B-4F37-BDA1-CDA9AF665B10}"/>
</file>

<file path=customXml/itemProps2.xml><?xml version="1.0" encoding="utf-8"?>
<ds:datastoreItem xmlns:ds="http://schemas.openxmlformats.org/officeDocument/2006/customXml" ds:itemID="{0AABD13C-BE77-4934-8548-672687D85510}"/>
</file>

<file path=customXml/itemProps3.xml><?xml version="1.0" encoding="utf-8"?>
<ds:datastoreItem xmlns:ds="http://schemas.openxmlformats.org/officeDocument/2006/customXml" ds:itemID="{C9AA1E8D-FBD2-4F50-9833-113E4584D479}"/>
</file>

<file path=customXml/itemProps4.xml><?xml version="1.0" encoding="utf-8"?>
<ds:datastoreItem xmlns:ds="http://schemas.openxmlformats.org/officeDocument/2006/customXml" ds:itemID="{6A39F937-DD2F-4344-9A28-6673EF5E5E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2016-08-31T06:19:00Z</dcterms:created>
  <dcterms:modified xsi:type="dcterms:W3CDTF">2016-08-31T06:19:00Z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