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21"/>
        <w:bidiVisual/>
        <w:tblW w:w="0" w:type="auto"/>
        <w:tblLayout w:type="fixed"/>
        <w:tblLook w:val="0000" w:firstRow="0" w:lastRow="0" w:firstColumn="0" w:lastColumn="0" w:noHBand="0" w:noVBand="0"/>
      </w:tblPr>
      <w:tblGrid>
        <w:gridCol w:w="3392"/>
        <w:gridCol w:w="2596"/>
        <w:gridCol w:w="3084"/>
      </w:tblGrid>
      <w:tr w:rsidR="00463DF9" w:rsidRPr="00891A31" w:rsidTr="000B2663">
        <w:trPr>
          <w:cantSplit/>
        </w:trPr>
        <w:tc>
          <w:tcPr>
            <w:tcW w:w="3392" w:type="dxa"/>
            <w:tcBorders>
              <w:top w:val="nil"/>
              <w:left w:val="nil"/>
              <w:bottom w:val="nil"/>
              <w:right w:val="nil"/>
            </w:tcBorders>
            <w:vAlign w:val="center"/>
          </w:tcPr>
          <w:p w:rsidR="00463DF9" w:rsidRPr="00891A31" w:rsidRDefault="00463DF9" w:rsidP="007B0741">
            <w:pPr>
              <w:jc w:val="center"/>
              <w:rPr>
                <w:rFonts w:cstheme="minorHAnsi"/>
                <w:b/>
                <w:bCs/>
                <w:sz w:val="24"/>
                <w:szCs w:val="24"/>
              </w:rPr>
            </w:pPr>
            <w:r w:rsidRPr="00891A31">
              <w:rPr>
                <w:rFonts w:cstheme="minorHAnsi"/>
                <w:b/>
                <w:bCs/>
                <w:sz w:val="24"/>
                <w:szCs w:val="24"/>
                <w:rtl/>
              </w:rPr>
              <w:t>בנק ישראל</w:t>
            </w:r>
          </w:p>
          <w:p w:rsidR="00463DF9" w:rsidRPr="00891A31" w:rsidRDefault="00463DF9" w:rsidP="007B0741">
            <w:pPr>
              <w:ind w:right="-101"/>
              <w:jc w:val="center"/>
              <w:rPr>
                <w:rFonts w:cstheme="minorHAnsi"/>
                <w:sz w:val="24"/>
                <w:szCs w:val="24"/>
              </w:rPr>
            </w:pPr>
            <w:r w:rsidRPr="00891A31">
              <w:rPr>
                <w:rFonts w:cstheme="minorHAnsi"/>
                <w:sz w:val="24"/>
                <w:szCs w:val="24"/>
                <w:rtl/>
              </w:rPr>
              <w:t>דוברות והסברה כלכלית</w:t>
            </w:r>
          </w:p>
        </w:tc>
        <w:tc>
          <w:tcPr>
            <w:tcW w:w="2596" w:type="dxa"/>
            <w:tcBorders>
              <w:top w:val="nil"/>
              <w:left w:val="nil"/>
              <w:bottom w:val="nil"/>
              <w:right w:val="nil"/>
            </w:tcBorders>
          </w:tcPr>
          <w:p w:rsidR="00463DF9" w:rsidRPr="00891A31" w:rsidRDefault="00463DF9" w:rsidP="007B0741">
            <w:pPr>
              <w:jc w:val="center"/>
              <w:rPr>
                <w:rFonts w:cstheme="minorHAnsi"/>
                <w:sz w:val="24"/>
                <w:szCs w:val="24"/>
              </w:rPr>
            </w:pPr>
            <w:r w:rsidRPr="00891A31">
              <w:rPr>
                <w:rFonts w:cstheme="minorHAnsi"/>
                <w:noProof/>
                <w:sz w:val="24"/>
                <w:szCs w:val="24"/>
                <w:rtl/>
              </w:rPr>
              <w:drawing>
                <wp:anchor distT="0" distB="0" distL="114300" distR="114300" simplePos="0" relativeHeight="251659264" behindDoc="0" locked="0" layoutInCell="1" allowOverlap="1" wp14:anchorId="24A0942E" wp14:editId="3F6164F4">
                  <wp:simplePos x="0" y="0"/>
                  <wp:positionH relativeFrom="column">
                    <wp:posOffset>338455</wp:posOffset>
                  </wp:positionH>
                  <wp:positionV relativeFrom="paragraph">
                    <wp:posOffset>166370</wp:posOffset>
                  </wp:positionV>
                  <wp:extent cx="1051200" cy="1051200"/>
                  <wp:effectExtent l="0" t="0" r="0" b="0"/>
                  <wp:wrapSquare wrapText="bothSides"/>
                  <wp:docPr id="14" name="תמונה 14"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1200" cy="105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84" w:type="dxa"/>
            <w:tcBorders>
              <w:top w:val="nil"/>
              <w:left w:val="nil"/>
              <w:bottom w:val="nil"/>
              <w:right w:val="nil"/>
            </w:tcBorders>
            <w:vAlign w:val="center"/>
          </w:tcPr>
          <w:p w:rsidR="003B0333" w:rsidRPr="00891A31" w:rsidRDefault="003B0333" w:rsidP="00891A31">
            <w:pPr>
              <w:jc w:val="right"/>
              <w:rPr>
                <w:rFonts w:cstheme="minorHAnsi"/>
                <w:sz w:val="24"/>
                <w:szCs w:val="24"/>
              </w:rPr>
            </w:pPr>
            <w:r w:rsidRPr="00891A31">
              <w:rPr>
                <w:rFonts w:cstheme="minorHAnsi"/>
                <w:sz w:val="24"/>
                <w:szCs w:val="24"/>
                <w:rtl/>
              </w:rPr>
              <w:t xml:space="preserve">‏ ירושלים, </w:t>
            </w:r>
            <w:r w:rsidR="00552FAD" w:rsidRPr="00891A31">
              <w:rPr>
                <w:rFonts w:cstheme="minorHAnsi"/>
                <w:sz w:val="24"/>
                <w:szCs w:val="24"/>
                <w:rtl/>
              </w:rPr>
              <w:t>‏</w:t>
            </w:r>
            <w:r w:rsidR="00B956DE" w:rsidRPr="00891A31">
              <w:rPr>
                <w:rFonts w:cstheme="minorHAnsi"/>
                <w:sz w:val="24"/>
                <w:szCs w:val="24"/>
                <w:rtl/>
              </w:rPr>
              <w:t>‏י"</w:t>
            </w:r>
            <w:r w:rsidR="00891A31">
              <w:rPr>
                <w:rFonts w:cstheme="minorHAnsi" w:hint="cs"/>
                <w:sz w:val="24"/>
                <w:szCs w:val="24"/>
                <w:rtl/>
              </w:rPr>
              <w:t>ט</w:t>
            </w:r>
            <w:r w:rsidR="00B956DE" w:rsidRPr="00891A31">
              <w:rPr>
                <w:rFonts w:cstheme="minorHAnsi"/>
                <w:sz w:val="24"/>
                <w:szCs w:val="24"/>
                <w:rtl/>
              </w:rPr>
              <w:t xml:space="preserve"> אלול, תשפ"ד</w:t>
            </w:r>
          </w:p>
          <w:p w:rsidR="00463DF9" w:rsidRPr="00891A31" w:rsidRDefault="003B0333" w:rsidP="00891A31">
            <w:pPr>
              <w:jc w:val="right"/>
              <w:rPr>
                <w:rFonts w:cstheme="minorHAnsi"/>
                <w:sz w:val="24"/>
                <w:szCs w:val="24"/>
                <w:highlight w:val="yellow"/>
              </w:rPr>
            </w:pPr>
            <w:r w:rsidRPr="00891A31">
              <w:rPr>
                <w:rFonts w:cstheme="minorHAnsi"/>
                <w:sz w:val="24"/>
                <w:szCs w:val="24"/>
                <w:rtl/>
              </w:rPr>
              <w:t>‏‏‏‏‏</w:t>
            </w:r>
            <w:r w:rsidR="00E95A07" w:rsidRPr="00891A31">
              <w:rPr>
                <w:rFonts w:cstheme="minorHAnsi"/>
                <w:sz w:val="24"/>
                <w:szCs w:val="24"/>
                <w:rtl/>
              </w:rPr>
              <w:t>‏</w:t>
            </w:r>
            <w:r w:rsidR="005720F6" w:rsidRPr="00891A31">
              <w:rPr>
                <w:rFonts w:cstheme="minorHAnsi"/>
                <w:sz w:val="24"/>
                <w:szCs w:val="24"/>
                <w:rtl/>
              </w:rPr>
              <w:t>‏</w:t>
            </w:r>
            <w:r w:rsidR="00F432C0" w:rsidRPr="00891A31">
              <w:rPr>
                <w:rFonts w:cstheme="minorHAnsi"/>
                <w:sz w:val="24"/>
                <w:szCs w:val="24"/>
                <w:rtl/>
              </w:rPr>
              <w:t>‏</w:t>
            </w:r>
            <w:r w:rsidR="00CC78A4" w:rsidRPr="00891A31">
              <w:rPr>
                <w:rFonts w:cstheme="minorHAnsi"/>
                <w:sz w:val="24"/>
                <w:szCs w:val="24"/>
                <w:rtl/>
              </w:rPr>
              <w:t>‏</w:t>
            </w:r>
            <w:r w:rsidR="00276A46" w:rsidRPr="00891A31">
              <w:rPr>
                <w:rFonts w:cstheme="minorHAnsi"/>
                <w:sz w:val="24"/>
                <w:szCs w:val="24"/>
                <w:rtl/>
              </w:rPr>
              <w:t>‏</w:t>
            </w:r>
            <w:r w:rsidR="00515070" w:rsidRPr="00891A31">
              <w:rPr>
                <w:rFonts w:cstheme="minorHAnsi"/>
                <w:sz w:val="24"/>
                <w:szCs w:val="24"/>
                <w:rtl/>
              </w:rPr>
              <w:t>‏</w:t>
            </w:r>
            <w:r w:rsidR="00552FAD" w:rsidRPr="00891A31">
              <w:rPr>
                <w:rFonts w:cstheme="minorHAnsi"/>
                <w:sz w:val="24"/>
                <w:szCs w:val="24"/>
                <w:rtl/>
              </w:rPr>
              <w:t>‏</w:t>
            </w:r>
            <w:r w:rsidR="00B956DE" w:rsidRPr="00891A31">
              <w:rPr>
                <w:rFonts w:cstheme="minorHAnsi"/>
                <w:sz w:val="24"/>
                <w:szCs w:val="24"/>
                <w:rtl/>
              </w:rPr>
              <w:t>‏</w:t>
            </w:r>
            <w:r w:rsidR="00891A31">
              <w:rPr>
                <w:rFonts w:cstheme="minorHAnsi" w:hint="cs"/>
                <w:sz w:val="24"/>
                <w:szCs w:val="24"/>
                <w:rtl/>
              </w:rPr>
              <w:t xml:space="preserve">22 </w:t>
            </w:r>
            <w:r w:rsidR="00B956DE" w:rsidRPr="00891A31">
              <w:rPr>
                <w:rFonts w:cstheme="minorHAnsi"/>
                <w:sz w:val="24"/>
                <w:szCs w:val="24"/>
                <w:rtl/>
              </w:rPr>
              <w:t>ספטמבר, 2024</w:t>
            </w:r>
          </w:p>
        </w:tc>
      </w:tr>
    </w:tbl>
    <w:p w:rsidR="008E761A" w:rsidRPr="00891A31" w:rsidRDefault="008E761A" w:rsidP="007B0741">
      <w:pPr>
        <w:tabs>
          <w:tab w:val="left" w:pos="2315"/>
        </w:tabs>
        <w:rPr>
          <w:rFonts w:cstheme="minorHAnsi"/>
          <w:sz w:val="24"/>
          <w:szCs w:val="24"/>
          <w:rtl/>
        </w:rPr>
      </w:pPr>
      <w:r w:rsidRPr="00891A31">
        <w:rPr>
          <w:rFonts w:cstheme="minorHAnsi"/>
          <w:sz w:val="24"/>
          <w:szCs w:val="24"/>
          <w:rtl/>
        </w:rPr>
        <w:t>הודעה לעיתונות:</w:t>
      </w:r>
    </w:p>
    <w:p w:rsidR="00D66255" w:rsidRPr="00891A31" w:rsidRDefault="00D66255" w:rsidP="00276A46">
      <w:pPr>
        <w:tabs>
          <w:tab w:val="left" w:pos="2315"/>
        </w:tabs>
        <w:spacing w:after="0" w:line="360" w:lineRule="auto"/>
        <w:jc w:val="center"/>
        <w:rPr>
          <w:rFonts w:cstheme="minorHAnsi"/>
          <w:b/>
          <w:bCs/>
          <w:sz w:val="28"/>
          <w:szCs w:val="28"/>
          <w:rtl/>
        </w:rPr>
      </w:pPr>
    </w:p>
    <w:p w:rsidR="00F432C0" w:rsidRPr="00891A31" w:rsidRDefault="00F432C0" w:rsidP="00CA1D8B">
      <w:pPr>
        <w:tabs>
          <w:tab w:val="left" w:pos="2315"/>
        </w:tabs>
        <w:spacing w:after="0" w:line="360" w:lineRule="auto"/>
        <w:jc w:val="center"/>
        <w:rPr>
          <w:rFonts w:cstheme="minorHAnsi"/>
          <w:b/>
          <w:bCs/>
          <w:sz w:val="28"/>
          <w:szCs w:val="28"/>
          <w:rtl/>
        </w:rPr>
      </w:pPr>
      <w:r w:rsidRPr="00891A31">
        <w:rPr>
          <w:rFonts w:cstheme="minorHAnsi"/>
          <w:b/>
          <w:bCs/>
          <w:sz w:val="28"/>
          <w:szCs w:val="28"/>
          <w:rtl/>
        </w:rPr>
        <w:t xml:space="preserve">בנק ישראל מאריך את מתווה הסיוע המקיף שאומץ על ידי הבנקים </w:t>
      </w:r>
    </w:p>
    <w:p w:rsidR="000C2F0B" w:rsidRPr="00891A31" w:rsidRDefault="00B35B0F" w:rsidP="00B35B0F">
      <w:pPr>
        <w:tabs>
          <w:tab w:val="left" w:pos="2315"/>
        </w:tabs>
        <w:spacing w:after="0" w:line="360" w:lineRule="auto"/>
        <w:jc w:val="center"/>
        <w:rPr>
          <w:rFonts w:cstheme="minorHAnsi"/>
          <w:b/>
          <w:bCs/>
          <w:sz w:val="28"/>
          <w:szCs w:val="28"/>
          <w:rtl/>
        </w:rPr>
      </w:pPr>
      <w:r w:rsidRPr="00891A31">
        <w:rPr>
          <w:rFonts w:cstheme="minorHAnsi"/>
          <w:b/>
          <w:bCs/>
          <w:sz w:val="28"/>
          <w:szCs w:val="28"/>
          <w:rtl/>
        </w:rPr>
        <w:t>לטובת לקוחות המערכת הבנקאית ב</w:t>
      </w:r>
      <w:r w:rsidR="000C2F0B" w:rsidRPr="00891A31">
        <w:rPr>
          <w:rFonts w:cstheme="minorHAnsi"/>
          <w:b/>
          <w:bCs/>
          <w:sz w:val="28"/>
          <w:szCs w:val="28"/>
          <w:rtl/>
        </w:rPr>
        <w:t xml:space="preserve">התמודדות עם השלכות מלחמת "חרבות הברזל"  </w:t>
      </w:r>
    </w:p>
    <w:p w:rsidR="007C27A7" w:rsidRPr="00891A31" w:rsidRDefault="007C27A7" w:rsidP="005720F6">
      <w:pPr>
        <w:spacing w:line="360" w:lineRule="auto"/>
        <w:ind w:right="-102"/>
        <w:jc w:val="both"/>
        <w:rPr>
          <w:rFonts w:cstheme="minorHAnsi"/>
          <w:b/>
          <w:bCs/>
          <w:sz w:val="28"/>
          <w:szCs w:val="28"/>
          <w:rtl/>
        </w:rPr>
      </w:pPr>
    </w:p>
    <w:p w:rsidR="0016061D" w:rsidRPr="00891A31" w:rsidRDefault="00B84705" w:rsidP="00582213">
      <w:pPr>
        <w:spacing w:line="360" w:lineRule="auto"/>
        <w:jc w:val="both"/>
        <w:rPr>
          <w:rFonts w:cstheme="minorHAnsi"/>
          <w:color w:val="000000"/>
          <w:sz w:val="24"/>
          <w:szCs w:val="24"/>
          <w:shd w:val="clear" w:color="auto" w:fill="FFFFFF"/>
          <w:rtl/>
        </w:rPr>
      </w:pPr>
      <w:r w:rsidRPr="00891A31">
        <w:rPr>
          <w:rFonts w:cstheme="minorHAnsi"/>
          <w:b/>
          <w:bCs/>
          <w:color w:val="000000"/>
          <w:sz w:val="24"/>
          <w:szCs w:val="24"/>
          <w:shd w:val="clear" w:color="auto" w:fill="FFFFFF"/>
          <w:rtl/>
        </w:rPr>
        <w:t>נגיד בנק ישראל, פרופ' אמיר ירון:</w:t>
      </w:r>
      <w:r w:rsidRPr="00891A31">
        <w:rPr>
          <w:rFonts w:cstheme="minorHAnsi"/>
          <w:color w:val="000000"/>
          <w:sz w:val="24"/>
          <w:szCs w:val="24"/>
          <w:shd w:val="clear" w:color="auto" w:fill="FFFFFF"/>
          <w:rtl/>
        </w:rPr>
        <w:t xml:space="preserve"> </w:t>
      </w:r>
      <w:r w:rsidR="0016061D" w:rsidRPr="00891A31">
        <w:rPr>
          <w:rFonts w:cstheme="minorHAnsi"/>
          <w:color w:val="000000"/>
          <w:sz w:val="24"/>
          <w:szCs w:val="24"/>
          <w:shd w:val="clear" w:color="auto" w:fill="FFFFFF"/>
          <w:rtl/>
        </w:rPr>
        <w:t>"</w:t>
      </w:r>
      <w:r w:rsidR="00CA1D8B" w:rsidRPr="00891A31">
        <w:rPr>
          <w:rFonts w:cstheme="minorHAnsi"/>
          <w:color w:val="000000"/>
          <w:sz w:val="24"/>
          <w:szCs w:val="24"/>
          <w:shd w:val="clear" w:color="auto" w:fill="FFFFFF"/>
          <w:rtl/>
        </w:rPr>
        <w:t>מאז תחילת מלחמת חרבות ברזל, בנק ישראל נוקט במגוון פעולות כדי לתמוך בפעילות הכלכלית ולסייע למשקי בית</w:t>
      </w:r>
      <w:r w:rsidR="00830B39" w:rsidRPr="00891A31">
        <w:rPr>
          <w:rFonts w:cstheme="minorHAnsi"/>
          <w:color w:val="000000"/>
          <w:sz w:val="24"/>
          <w:szCs w:val="24"/>
          <w:shd w:val="clear" w:color="auto" w:fill="FFFFFF"/>
          <w:rtl/>
        </w:rPr>
        <w:t>, חיילי המילואים</w:t>
      </w:r>
      <w:r w:rsidR="00CA1D8B" w:rsidRPr="00891A31">
        <w:rPr>
          <w:rFonts w:cstheme="minorHAnsi"/>
          <w:color w:val="000000"/>
          <w:sz w:val="24"/>
          <w:szCs w:val="24"/>
          <w:shd w:val="clear" w:color="auto" w:fill="FFFFFF"/>
          <w:rtl/>
        </w:rPr>
        <w:t xml:space="preserve"> ולעסקים שנפגעו. הארכת המתווה פעם נוספת מאפשרת לנו להעניק סיוע נוסף לאלו שחווים קשיים כלכליים, תוך מיקוד הסיוע הניתן לאוכלוסיות השונות בהתאם להתפתחויות המלחמה. אנו מחויבים להמשיך ולעקוב אחר מצב המשק על רקע המלחמה, ולפעול ככל שיידרש כדי לתמוך בהתאוששות הכלכלה. אני מודה לצוות המקצועי בפיקוח על הבנקים ולמערכת הבנקאית על שיתוף הפעולה והמאמצים להארכת המתווה</w:t>
      </w:r>
      <w:r w:rsidR="0016061D" w:rsidRPr="00891A31">
        <w:rPr>
          <w:rFonts w:cstheme="minorHAnsi"/>
          <w:color w:val="000000"/>
          <w:sz w:val="24"/>
          <w:szCs w:val="24"/>
          <w:shd w:val="clear" w:color="auto" w:fill="FFFFFF"/>
          <w:rtl/>
        </w:rPr>
        <w:t xml:space="preserve">". </w:t>
      </w:r>
    </w:p>
    <w:p w:rsidR="000D439D" w:rsidRPr="00891A31" w:rsidRDefault="00DC6480" w:rsidP="00582213">
      <w:pPr>
        <w:spacing w:line="360" w:lineRule="auto"/>
        <w:jc w:val="both"/>
        <w:rPr>
          <w:rFonts w:cstheme="minorHAnsi"/>
          <w:color w:val="000000"/>
          <w:sz w:val="24"/>
          <w:szCs w:val="24"/>
          <w:shd w:val="clear" w:color="auto" w:fill="FFFFFF"/>
        </w:rPr>
      </w:pPr>
      <w:r w:rsidRPr="00891A31">
        <w:rPr>
          <w:rFonts w:cstheme="minorHAnsi"/>
          <w:b/>
          <w:bCs/>
          <w:color w:val="000000"/>
          <w:sz w:val="24"/>
          <w:szCs w:val="24"/>
          <w:shd w:val="clear" w:color="auto" w:fill="FFFFFF"/>
          <w:rtl/>
        </w:rPr>
        <w:t xml:space="preserve">המפקח על הבנקים, מר דניאל חחיאשוילי: </w:t>
      </w:r>
      <w:r w:rsidRPr="00891A31">
        <w:rPr>
          <w:rFonts w:cstheme="minorHAnsi"/>
          <w:color w:val="000000"/>
          <w:sz w:val="24"/>
          <w:szCs w:val="24"/>
          <w:shd w:val="clear" w:color="auto" w:fill="FFFFFF"/>
          <w:rtl/>
        </w:rPr>
        <w:t>"</w:t>
      </w:r>
      <w:r w:rsidR="00294509" w:rsidRPr="00891A31">
        <w:rPr>
          <w:rFonts w:cstheme="minorHAnsi"/>
          <w:color w:val="000000"/>
          <w:sz w:val="24"/>
          <w:szCs w:val="24"/>
          <w:shd w:val="clear" w:color="auto" w:fill="FFFFFF"/>
          <w:rtl/>
        </w:rPr>
        <w:t xml:space="preserve">פעלנו </w:t>
      </w:r>
      <w:r w:rsidR="000109E1" w:rsidRPr="00891A31">
        <w:rPr>
          <w:rFonts w:cstheme="minorHAnsi"/>
          <w:color w:val="000000"/>
          <w:sz w:val="24"/>
          <w:szCs w:val="24"/>
          <w:shd w:val="clear" w:color="auto" w:fill="FFFFFF"/>
          <w:rtl/>
        </w:rPr>
        <w:t xml:space="preserve"> להאריך את המתווה</w:t>
      </w:r>
      <w:r w:rsidR="00BC7D0B" w:rsidRPr="00891A31">
        <w:rPr>
          <w:rFonts w:cstheme="minorHAnsi"/>
          <w:color w:val="000000"/>
          <w:sz w:val="24"/>
          <w:szCs w:val="24"/>
          <w:shd w:val="clear" w:color="auto" w:fill="FFFFFF"/>
          <w:rtl/>
        </w:rPr>
        <w:t xml:space="preserve"> שאומץ על ידי הבנקים</w:t>
      </w:r>
      <w:r w:rsidR="000109E1" w:rsidRPr="00891A31">
        <w:rPr>
          <w:rFonts w:cstheme="minorHAnsi"/>
          <w:color w:val="000000"/>
          <w:sz w:val="24"/>
          <w:szCs w:val="24"/>
          <w:shd w:val="clear" w:color="auto" w:fill="FFFFFF"/>
          <w:rtl/>
        </w:rPr>
        <w:t xml:space="preserve"> לתקופה של שלושה חודשים נוספים</w:t>
      </w:r>
      <w:r w:rsidR="00294509" w:rsidRPr="00891A31">
        <w:rPr>
          <w:rFonts w:cstheme="minorHAnsi"/>
          <w:color w:val="000000"/>
          <w:sz w:val="24"/>
          <w:szCs w:val="24"/>
          <w:shd w:val="clear" w:color="auto" w:fill="FFFFFF"/>
          <w:rtl/>
        </w:rPr>
        <w:t xml:space="preserve">, מתוך </w:t>
      </w:r>
      <w:r w:rsidR="000109E1" w:rsidRPr="00891A31">
        <w:rPr>
          <w:rFonts w:cstheme="minorHAnsi"/>
          <w:color w:val="000000"/>
          <w:sz w:val="24"/>
          <w:szCs w:val="24"/>
          <w:shd w:val="clear" w:color="auto" w:fill="FFFFFF"/>
          <w:rtl/>
        </w:rPr>
        <w:t>מטרה להמשיך ולהקל על האוכלוסייה הזקוקה לכך. בעת הז</w:t>
      </w:r>
      <w:r w:rsidR="000D07B1" w:rsidRPr="00891A31">
        <w:rPr>
          <w:rFonts w:cstheme="minorHAnsi"/>
          <w:color w:val="000000"/>
          <w:sz w:val="24"/>
          <w:szCs w:val="24"/>
          <w:shd w:val="clear" w:color="auto" w:fill="FFFFFF"/>
          <w:rtl/>
        </w:rPr>
        <w:t>ו</w:t>
      </w:r>
      <w:r w:rsidR="000109E1" w:rsidRPr="00891A31">
        <w:rPr>
          <w:rFonts w:cstheme="minorHAnsi"/>
          <w:color w:val="000000"/>
          <w:sz w:val="24"/>
          <w:szCs w:val="24"/>
          <w:shd w:val="clear" w:color="auto" w:fill="FFFFFF"/>
          <w:rtl/>
        </w:rPr>
        <w:t xml:space="preserve">, ובהתאם לניתוח הנתונים שברשותנו, </w:t>
      </w:r>
      <w:r w:rsidR="00D77FD5" w:rsidRPr="00891A31">
        <w:rPr>
          <w:rFonts w:cstheme="minorHAnsi"/>
          <w:color w:val="000000"/>
          <w:sz w:val="24"/>
          <w:szCs w:val="24"/>
          <w:shd w:val="clear" w:color="auto" w:fill="FFFFFF"/>
          <w:rtl/>
        </w:rPr>
        <w:t>מצאנו ל</w:t>
      </w:r>
      <w:r w:rsidR="00BB44DD" w:rsidRPr="00891A31">
        <w:rPr>
          <w:rFonts w:cstheme="minorHAnsi"/>
          <w:color w:val="000000"/>
          <w:sz w:val="24"/>
          <w:szCs w:val="24"/>
          <w:shd w:val="clear" w:color="auto" w:fill="FFFFFF"/>
          <w:rtl/>
        </w:rPr>
        <w:t>נכון לבצע התאמות במתווה ו</w:t>
      </w:r>
      <w:r w:rsidR="000109E1" w:rsidRPr="00891A31">
        <w:rPr>
          <w:rFonts w:cstheme="minorHAnsi"/>
          <w:color w:val="000000"/>
          <w:sz w:val="24"/>
          <w:szCs w:val="24"/>
          <w:shd w:val="clear" w:color="auto" w:fill="FFFFFF"/>
          <w:rtl/>
        </w:rPr>
        <w:t xml:space="preserve">למקד את הסיוע </w:t>
      </w:r>
      <w:r w:rsidR="00BB44DD" w:rsidRPr="00891A31">
        <w:rPr>
          <w:rFonts w:cstheme="minorHAnsi"/>
          <w:color w:val="000000"/>
          <w:sz w:val="24"/>
          <w:szCs w:val="24"/>
          <w:shd w:val="clear" w:color="auto" w:fill="FFFFFF"/>
          <w:rtl/>
        </w:rPr>
        <w:t>הניתן לאוכלוסיית הזכאים</w:t>
      </w:r>
      <w:r w:rsidR="00D77FD5" w:rsidRPr="00891A31">
        <w:rPr>
          <w:rFonts w:cstheme="minorHAnsi"/>
          <w:color w:val="000000"/>
          <w:sz w:val="24"/>
          <w:szCs w:val="24"/>
          <w:shd w:val="clear" w:color="auto" w:fill="FFFFFF"/>
          <w:rtl/>
        </w:rPr>
        <w:t xml:space="preserve"> לפי הצורך</w:t>
      </w:r>
      <w:r w:rsidR="00551484" w:rsidRPr="00891A31">
        <w:rPr>
          <w:rFonts w:cstheme="minorHAnsi"/>
          <w:color w:val="000000"/>
          <w:sz w:val="24"/>
          <w:szCs w:val="24"/>
          <w:shd w:val="clear" w:color="auto" w:fill="FFFFFF"/>
          <w:rtl/>
        </w:rPr>
        <w:t>,</w:t>
      </w:r>
      <w:r w:rsidR="00BB44DD" w:rsidRPr="00891A31">
        <w:rPr>
          <w:rFonts w:cstheme="minorHAnsi"/>
          <w:color w:val="000000"/>
          <w:sz w:val="24"/>
          <w:szCs w:val="24"/>
          <w:shd w:val="clear" w:color="auto" w:fill="FFFFFF"/>
          <w:rtl/>
        </w:rPr>
        <w:t xml:space="preserve"> </w:t>
      </w:r>
      <w:r w:rsidR="00874FB2" w:rsidRPr="00891A31">
        <w:rPr>
          <w:rFonts w:cstheme="minorHAnsi"/>
          <w:color w:val="000000"/>
          <w:sz w:val="24"/>
          <w:szCs w:val="24"/>
          <w:shd w:val="clear" w:color="auto" w:fill="FFFFFF"/>
          <w:rtl/>
        </w:rPr>
        <w:t xml:space="preserve">זאת </w:t>
      </w:r>
      <w:r w:rsidR="00BB44DD" w:rsidRPr="00891A31">
        <w:rPr>
          <w:rFonts w:cstheme="minorHAnsi"/>
          <w:color w:val="000000"/>
          <w:sz w:val="24"/>
          <w:szCs w:val="24"/>
          <w:shd w:val="clear" w:color="auto" w:fill="FFFFFF"/>
          <w:rtl/>
        </w:rPr>
        <w:t>ב</w:t>
      </w:r>
      <w:r w:rsidR="000109E1" w:rsidRPr="00891A31">
        <w:rPr>
          <w:rFonts w:cstheme="minorHAnsi"/>
          <w:color w:val="000000"/>
          <w:sz w:val="24"/>
          <w:szCs w:val="24"/>
          <w:shd w:val="clear" w:color="auto" w:fill="FFFFFF"/>
          <w:rtl/>
        </w:rPr>
        <w:t xml:space="preserve">הלימה לחזרת המשק </w:t>
      </w:r>
      <w:r w:rsidR="00F90CF5" w:rsidRPr="00891A31">
        <w:rPr>
          <w:rFonts w:cstheme="minorHAnsi"/>
          <w:color w:val="000000"/>
          <w:sz w:val="24"/>
          <w:szCs w:val="24"/>
          <w:shd w:val="clear" w:color="auto" w:fill="FFFFFF"/>
          <w:rtl/>
        </w:rPr>
        <w:t xml:space="preserve">בחלקו </w:t>
      </w:r>
      <w:r w:rsidR="000109E1" w:rsidRPr="00891A31">
        <w:rPr>
          <w:rFonts w:cstheme="minorHAnsi"/>
          <w:color w:val="000000"/>
          <w:sz w:val="24"/>
          <w:szCs w:val="24"/>
          <w:shd w:val="clear" w:color="auto" w:fill="FFFFFF"/>
          <w:rtl/>
        </w:rPr>
        <w:t xml:space="preserve">לפעילות </w:t>
      </w:r>
      <w:r w:rsidR="00874FB2" w:rsidRPr="00891A31">
        <w:rPr>
          <w:rFonts w:cstheme="minorHAnsi"/>
          <w:color w:val="000000"/>
          <w:sz w:val="24"/>
          <w:szCs w:val="24"/>
          <w:shd w:val="clear" w:color="auto" w:fill="FFFFFF"/>
          <w:rtl/>
        </w:rPr>
        <w:t xml:space="preserve">שגרתית </w:t>
      </w:r>
      <w:r w:rsidR="000109E1" w:rsidRPr="00891A31">
        <w:rPr>
          <w:rFonts w:cstheme="minorHAnsi"/>
          <w:color w:val="000000"/>
          <w:sz w:val="24"/>
          <w:szCs w:val="24"/>
          <w:shd w:val="clear" w:color="auto" w:fill="FFFFFF"/>
          <w:rtl/>
        </w:rPr>
        <w:t>באזורים שונים</w:t>
      </w:r>
      <w:r w:rsidR="00BC7D0B" w:rsidRPr="00891A31">
        <w:rPr>
          <w:rFonts w:cstheme="minorHAnsi"/>
          <w:color w:val="000000"/>
          <w:sz w:val="24"/>
          <w:szCs w:val="24"/>
          <w:shd w:val="clear" w:color="auto" w:fill="FFFFFF"/>
          <w:rtl/>
        </w:rPr>
        <w:t xml:space="preserve"> ב</w:t>
      </w:r>
      <w:r w:rsidR="004E4B2A" w:rsidRPr="00891A31">
        <w:rPr>
          <w:rFonts w:cstheme="minorHAnsi"/>
          <w:color w:val="000000"/>
          <w:sz w:val="24"/>
          <w:szCs w:val="24"/>
          <w:shd w:val="clear" w:color="auto" w:fill="FFFFFF"/>
          <w:rtl/>
        </w:rPr>
        <w:t>רחבי ה</w:t>
      </w:r>
      <w:r w:rsidR="00BC7D0B" w:rsidRPr="00891A31">
        <w:rPr>
          <w:rFonts w:cstheme="minorHAnsi"/>
          <w:color w:val="000000"/>
          <w:sz w:val="24"/>
          <w:szCs w:val="24"/>
          <w:shd w:val="clear" w:color="auto" w:fill="FFFFFF"/>
          <w:rtl/>
        </w:rPr>
        <w:t>ארץ</w:t>
      </w:r>
      <w:r w:rsidR="00874FB2" w:rsidRPr="00891A31">
        <w:rPr>
          <w:rFonts w:cstheme="minorHAnsi"/>
          <w:color w:val="000000"/>
          <w:sz w:val="24"/>
          <w:szCs w:val="24"/>
          <w:shd w:val="clear" w:color="auto" w:fill="FFFFFF"/>
          <w:rtl/>
        </w:rPr>
        <w:t>.</w:t>
      </w:r>
      <w:r w:rsidR="000109E1" w:rsidRPr="00891A31">
        <w:rPr>
          <w:rFonts w:cstheme="minorHAnsi"/>
          <w:color w:val="000000"/>
          <w:sz w:val="24"/>
          <w:szCs w:val="24"/>
          <w:shd w:val="clear" w:color="auto" w:fill="FFFFFF"/>
          <w:rtl/>
        </w:rPr>
        <w:t xml:space="preserve"> </w:t>
      </w:r>
      <w:r w:rsidRPr="00891A31">
        <w:rPr>
          <w:rFonts w:cstheme="minorHAnsi"/>
          <w:color w:val="000000"/>
          <w:sz w:val="24"/>
          <w:szCs w:val="24"/>
          <w:shd w:val="clear" w:color="auto" w:fill="FFFFFF"/>
          <w:rtl/>
        </w:rPr>
        <w:t xml:space="preserve">אני מברך את המערכת הבנקאית על </w:t>
      </w:r>
      <w:r w:rsidR="00B35B0F" w:rsidRPr="00891A31">
        <w:rPr>
          <w:rFonts w:cstheme="minorHAnsi"/>
          <w:color w:val="000000"/>
          <w:sz w:val="24"/>
          <w:szCs w:val="24"/>
          <w:shd w:val="clear" w:color="auto" w:fill="FFFFFF"/>
          <w:rtl/>
        </w:rPr>
        <w:t xml:space="preserve">המשך </w:t>
      </w:r>
      <w:r w:rsidRPr="00891A31">
        <w:rPr>
          <w:rFonts w:cstheme="minorHAnsi"/>
          <w:color w:val="000000"/>
          <w:sz w:val="24"/>
          <w:szCs w:val="24"/>
          <w:shd w:val="clear" w:color="auto" w:fill="FFFFFF"/>
          <w:rtl/>
        </w:rPr>
        <w:t>הירתמותה להרחב</w:t>
      </w:r>
      <w:r w:rsidR="002D76F6" w:rsidRPr="00891A31">
        <w:rPr>
          <w:rFonts w:cstheme="minorHAnsi"/>
          <w:color w:val="000000"/>
          <w:sz w:val="24"/>
          <w:szCs w:val="24"/>
          <w:shd w:val="clear" w:color="auto" w:fill="FFFFFF"/>
          <w:rtl/>
        </w:rPr>
        <w:t xml:space="preserve">ה הנוספת של </w:t>
      </w:r>
      <w:r w:rsidRPr="00891A31">
        <w:rPr>
          <w:rFonts w:cstheme="minorHAnsi"/>
          <w:color w:val="000000"/>
          <w:sz w:val="24"/>
          <w:szCs w:val="24"/>
          <w:shd w:val="clear" w:color="auto" w:fill="FFFFFF"/>
          <w:rtl/>
        </w:rPr>
        <w:t>המתווה</w:t>
      </w:r>
      <w:r w:rsidR="008A423C" w:rsidRPr="00891A31">
        <w:rPr>
          <w:rFonts w:cstheme="minorHAnsi"/>
          <w:color w:val="000000"/>
          <w:sz w:val="24"/>
          <w:szCs w:val="24"/>
          <w:shd w:val="clear" w:color="auto" w:fill="FFFFFF"/>
          <w:rtl/>
        </w:rPr>
        <w:t>,</w:t>
      </w:r>
      <w:r w:rsidR="00294509" w:rsidRPr="00891A31">
        <w:rPr>
          <w:rFonts w:cstheme="minorHAnsi"/>
          <w:color w:val="000000"/>
          <w:sz w:val="24"/>
          <w:szCs w:val="24"/>
          <w:shd w:val="clear" w:color="auto" w:fill="FFFFFF"/>
          <w:rtl/>
        </w:rPr>
        <w:t xml:space="preserve"> ובאותה הזדמנות מ</w:t>
      </w:r>
      <w:r w:rsidR="00F90CF5" w:rsidRPr="00891A31">
        <w:rPr>
          <w:rFonts w:cstheme="minorHAnsi"/>
          <w:color w:val="000000"/>
          <w:sz w:val="24"/>
          <w:szCs w:val="24"/>
          <w:shd w:val="clear" w:color="auto" w:fill="FFFFFF"/>
          <w:rtl/>
        </w:rPr>
        <w:t xml:space="preserve">דגיש </w:t>
      </w:r>
      <w:r w:rsidR="00294509" w:rsidRPr="00891A31">
        <w:rPr>
          <w:rFonts w:cstheme="minorHAnsi"/>
          <w:color w:val="000000"/>
          <w:sz w:val="24"/>
          <w:szCs w:val="24"/>
          <w:shd w:val="clear" w:color="auto" w:fill="FFFFFF"/>
          <w:rtl/>
        </w:rPr>
        <w:t>את הציפי</w:t>
      </w:r>
      <w:r w:rsidR="000D07B1" w:rsidRPr="00891A31">
        <w:rPr>
          <w:rFonts w:cstheme="minorHAnsi"/>
          <w:color w:val="000000"/>
          <w:sz w:val="24"/>
          <w:szCs w:val="24"/>
          <w:shd w:val="clear" w:color="auto" w:fill="FFFFFF"/>
          <w:rtl/>
        </w:rPr>
        <w:t>י</w:t>
      </w:r>
      <w:r w:rsidR="00294509" w:rsidRPr="00891A31">
        <w:rPr>
          <w:rFonts w:cstheme="minorHAnsi"/>
          <w:color w:val="000000"/>
          <w:sz w:val="24"/>
          <w:szCs w:val="24"/>
          <w:shd w:val="clear" w:color="auto" w:fill="FFFFFF"/>
          <w:rtl/>
        </w:rPr>
        <w:t xml:space="preserve">ה להמשיך </w:t>
      </w:r>
      <w:r w:rsidR="000358D1" w:rsidRPr="00891A31">
        <w:rPr>
          <w:rFonts w:cstheme="minorHAnsi"/>
          <w:color w:val="000000"/>
          <w:sz w:val="24"/>
          <w:szCs w:val="24"/>
          <w:shd w:val="clear" w:color="auto" w:fill="FFFFFF"/>
          <w:rtl/>
        </w:rPr>
        <w:t>לנקוט בצעדים נוספים</w:t>
      </w:r>
      <w:r w:rsidR="000D07B1" w:rsidRPr="00891A31">
        <w:rPr>
          <w:rFonts w:cstheme="minorHAnsi"/>
          <w:color w:val="000000"/>
          <w:sz w:val="24"/>
          <w:szCs w:val="24"/>
          <w:shd w:val="clear" w:color="auto" w:fill="FFFFFF"/>
          <w:rtl/>
        </w:rPr>
        <w:t xml:space="preserve"> מעבר למתווה </w:t>
      </w:r>
      <w:r w:rsidR="000358D1" w:rsidRPr="00891A31">
        <w:rPr>
          <w:rFonts w:cstheme="minorHAnsi"/>
          <w:color w:val="000000"/>
          <w:sz w:val="24"/>
          <w:szCs w:val="24"/>
          <w:shd w:val="clear" w:color="auto" w:fill="FFFFFF"/>
          <w:rtl/>
        </w:rPr>
        <w:t xml:space="preserve">לטובת </w:t>
      </w:r>
      <w:r w:rsidR="008A423C" w:rsidRPr="00891A31">
        <w:rPr>
          <w:rFonts w:cstheme="minorHAnsi"/>
          <w:color w:val="000000"/>
          <w:sz w:val="24"/>
          <w:szCs w:val="24"/>
          <w:shd w:val="clear" w:color="auto" w:fill="FFFFFF"/>
          <w:rtl/>
        </w:rPr>
        <w:t>ה</w:t>
      </w:r>
      <w:r w:rsidR="000358D1" w:rsidRPr="00891A31">
        <w:rPr>
          <w:rFonts w:cstheme="minorHAnsi"/>
          <w:color w:val="000000"/>
          <w:sz w:val="24"/>
          <w:szCs w:val="24"/>
          <w:shd w:val="clear" w:color="auto" w:fill="FFFFFF"/>
          <w:rtl/>
        </w:rPr>
        <w:t xml:space="preserve">לקוחות, המותאמים להתפתחויות השונות ולמצב הביטחוני הקיים ולמציאת פתרונות יצירתיים ורגישים אשר יסייעו לאוכלוסיית הזכאים להתמודד עם השלכות המלחמה".  </w:t>
      </w:r>
    </w:p>
    <w:p w:rsidR="004C13EB" w:rsidRPr="00891A31" w:rsidRDefault="004C13EB" w:rsidP="003B743B">
      <w:pPr>
        <w:spacing w:line="360" w:lineRule="auto"/>
        <w:ind w:right="-102"/>
        <w:jc w:val="both"/>
        <w:rPr>
          <w:rFonts w:cstheme="minorHAnsi"/>
          <w:color w:val="002060"/>
          <w:sz w:val="28"/>
          <w:szCs w:val="28"/>
          <w:shd w:val="clear" w:color="auto" w:fill="FFFFFF"/>
          <w:rtl/>
        </w:rPr>
      </w:pPr>
      <w:r w:rsidRPr="00891A31">
        <w:rPr>
          <w:rFonts w:cstheme="minorHAnsi"/>
          <w:b/>
          <w:bCs/>
          <w:color w:val="002060"/>
          <w:sz w:val="28"/>
          <w:szCs w:val="28"/>
          <w:shd w:val="clear" w:color="auto" w:fill="FFFFFF"/>
          <w:rtl/>
        </w:rPr>
        <w:t>רקע</w:t>
      </w:r>
      <w:r w:rsidRPr="00891A31">
        <w:rPr>
          <w:rFonts w:cstheme="minorHAnsi"/>
          <w:color w:val="002060"/>
          <w:sz w:val="28"/>
          <w:szCs w:val="28"/>
          <w:shd w:val="clear" w:color="auto" w:fill="FFFFFF"/>
          <w:rtl/>
        </w:rPr>
        <w:t xml:space="preserve"> </w:t>
      </w:r>
    </w:p>
    <w:p w:rsidR="00A11E73" w:rsidRPr="00891A31" w:rsidRDefault="005326A1" w:rsidP="0095051F">
      <w:pPr>
        <w:spacing w:line="360" w:lineRule="auto"/>
        <w:ind w:right="-102"/>
        <w:jc w:val="both"/>
        <w:rPr>
          <w:rFonts w:cstheme="minorHAnsi"/>
          <w:color w:val="000000" w:themeColor="text1"/>
          <w:sz w:val="24"/>
          <w:szCs w:val="24"/>
          <w:shd w:val="clear" w:color="auto" w:fill="FFFFFF"/>
          <w:rtl/>
        </w:rPr>
      </w:pPr>
      <w:r w:rsidRPr="00891A31">
        <w:rPr>
          <w:rFonts w:cstheme="minorHAnsi"/>
          <w:sz w:val="24"/>
          <w:szCs w:val="24"/>
          <w:shd w:val="clear" w:color="auto" w:fill="FFFFFF"/>
          <w:rtl/>
        </w:rPr>
        <w:t xml:space="preserve">במטרה </w:t>
      </w:r>
      <w:r w:rsidRPr="00891A31">
        <w:rPr>
          <w:rFonts w:cstheme="minorHAnsi"/>
          <w:color w:val="000000" w:themeColor="text1"/>
          <w:sz w:val="24"/>
          <w:szCs w:val="24"/>
          <w:shd w:val="clear" w:color="auto" w:fill="FFFFFF"/>
          <w:rtl/>
        </w:rPr>
        <w:t>לסייע ללקוחות</w:t>
      </w:r>
      <w:r w:rsidR="00A80250" w:rsidRPr="00891A31">
        <w:rPr>
          <w:rFonts w:cstheme="minorHAnsi"/>
          <w:color w:val="000000" w:themeColor="text1"/>
          <w:sz w:val="24"/>
          <w:szCs w:val="24"/>
          <w:shd w:val="clear" w:color="auto" w:fill="FFFFFF"/>
          <w:rtl/>
        </w:rPr>
        <w:t xml:space="preserve"> המערכת הבנקאית</w:t>
      </w:r>
      <w:r w:rsidRPr="00891A31">
        <w:rPr>
          <w:rFonts w:cstheme="minorHAnsi"/>
          <w:color w:val="000000" w:themeColor="text1"/>
          <w:sz w:val="24"/>
          <w:szCs w:val="24"/>
          <w:shd w:val="clear" w:color="auto" w:fill="FFFFFF"/>
          <w:rtl/>
        </w:rPr>
        <w:t xml:space="preserve"> בהתמודדות עם השלכות מלחמת "חרבות ברזל", </w:t>
      </w:r>
      <w:r w:rsidR="00900D44" w:rsidRPr="00891A31">
        <w:rPr>
          <w:rFonts w:cstheme="minorHAnsi"/>
          <w:color w:val="000000" w:themeColor="text1"/>
          <w:sz w:val="24"/>
          <w:szCs w:val="24"/>
          <w:shd w:val="clear" w:color="auto" w:fill="FFFFFF"/>
          <w:rtl/>
        </w:rPr>
        <w:t>כ</w:t>
      </w:r>
      <w:r w:rsidR="00DA2078" w:rsidRPr="00891A31">
        <w:rPr>
          <w:rFonts w:cstheme="minorHAnsi"/>
          <w:color w:val="000000" w:themeColor="text1"/>
          <w:sz w:val="24"/>
          <w:szCs w:val="24"/>
          <w:shd w:val="clear" w:color="auto" w:fill="FFFFFF"/>
          <w:rtl/>
        </w:rPr>
        <w:t>שבוע לאחר פרוץ</w:t>
      </w:r>
      <w:r w:rsidR="005720F6" w:rsidRPr="00891A31">
        <w:rPr>
          <w:rFonts w:cstheme="minorHAnsi"/>
          <w:color w:val="000000" w:themeColor="text1"/>
          <w:sz w:val="24"/>
          <w:szCs w:val="24"/>
          <w:shd w:val="clear" w:color="auto" w:fill="FFFFFF"/>
          <w:rtl/>
        </w:rPr>
        <w:t xml:space="preserve"> </w:t>
      </w:r>
      <w:r w:rsidRPr="00891A31">
        <w:rPr>
          <w:rFonts w:cstheme="minorHAnsi"/>
          <w:color w:val="000000" w:themeColor="text1"/>
          <w:sz w:val="24"/>
          <w:szCs w:val="24"/>
          <w:shd w:val="clear" w:color="auto" w:fill="FFFFFF"/>
          <w:rtl/>
        </w:rPr>
        <w:t>ה</w:t>
      </w:r>
      <w:r w:rsidR="005720F6" w:rsidRPr="00891A31">
        <w:rPr>
          <w:rFonts w:cstheme="minorHAnsi"/>
          <w:color w:val="000000" w:themeColor="text1"/>
          <w:sz w:val="24"/>
          <w:szCs w:val="24"/>
          <w:shd w:val="clear" w:color="auto" w:fill="FFFFFF"/>
          <w:rtl/>
        </w:rPr>
        <w:t>מלחמ</w:t>
      </w:r>
      <w:r w:rsidRPr="00891A31">
        <w:rPr>
          <w:rFonts w:cstheme="minorHAnsi"/>
          <w:color w:val="000000" w:themeColor="text1"/>
          <w:sz w:val="24"/>
          <w:szCs w:val="24"/>
          <w:shd w:val="clear" w:color="auto" w:fill="FFFFFF"/>
          <w:rtl/>
        </w:rPr>
        <w:t>ה</w:t>
      </w:r>
      <w:r w:rsidR="005720F6" w:rsidRPr="00891A31">
        <w:rPr>
          <w:rFonts w:cstheme="minorHAnsi"/>
          <w:color w:val="000000" w:themeColor="text1"/>
          <w:sz w:val="24"/>
          <w:szCs w:val="24"/>
          <w:shd w:val="clear" w:color="auto" w:fill="FFFFFF"/>
          <w:rtl/>
        </w:rPr>
        <w:t xml:space="preserve"> הודיע בנק ישראל על </w:t>
      </w:r>
      <w:hyperlink r:id="rId9" w:history="1">
        <w:r w:rsidR="005720F6" w:rsidRPr="00891A31">
          <w:rPr>
            <w:rStyle w:val="Hyperlink"/>
            <w:rFonts w:cstheme="minorHAnsi"/>
            <w:sz w:val="24"/>
            <w:szCs w:val="24"/>
            <w:shd w:val="clear" w:color="auto" w:fill="FFFFFF"/>
            <w:rtl/>
          </w:rPr>
          <w:t>מתווה מקיף</w:t>
        </w:r>
      </w:hyperlink>
      <w:r w:rsidR="005720F6" w:rsidRPr="00891A31">
        <w:rPr>
          <w:rFonts w:cstheme="minorHAnsi"/>
          <w:color w:val="000000" w:themeColor="text1"/>
          <w:sz w:val="24"/>
          <w:szCs w:val="24"/>
          <w:shd w:val="clear" w:color="auto" w:fill="FFFFFF"/>
          <w:rtl/>
        </w:rPr>
        <w:t xml:space="preserve"> </w:t>
      </w:r>
      <w:r w:rsidR="005A1F96" w:rsidRPr="00891A31">
        <w:rPr>
          <w:rFonts w:cstheme="minorHAnsi"/>
          <w:color w:val="000000" w:themeColor="text1"/>
          <w:sz w:val="24"/>
          <w:szCs w:val="24"/>
          <w:shd w:val="clear" w:color="auto" w:fill="FFFFFF"/>
          <w:rtl/>
        </w:rPr>
        <w:t>להקלה על נטל האשראי והעמלות</w:t>
      </w:r>
      <w:r w:rsidR="00DA2078" w:rsidRPr="00891A31">
        <w:rPr>
          <w:rFonts w:cstheme="minorHAnsi"/>
          <w:color w:val="000000" w:themeColor="text1"/>
          <w:sz w:val="24"/>
          <w:szCs w:val="24"/>
          <w:shd w:val="clear" w:color="auto" w:fill="FFFFFF"/>
          <w:rtl/>
        </w:rPr>
        <w:t>,</w:t>
      </w:r>
      <w:r w:rsidR="005A1F96" w:rsidRPr="00891A31">
        <w:rPr>
          <w:rFonts w:cstheme="minorHAnsi"/>
          <w:color w:val="000000" w:themeColor="text1"/>
          <w:sz w:val="24"/>
          <w:szCs w:val="24"/>
          <w:shd w:val="clear" w:color="auto" w:fill="FFFFFF"/>
          <w:rtl/>
        </w:rPr>
        <w:t xml:space="preserve"> </w:t>
      </w:r>
      <w:r w:rsidR="00DA2078" w:rsidRPr="00891A31">
        <w:rPr>
          <w:rFonts w:cstheme="minorHAnsi"/>
          <w:sz w:val="24"/>
          <w:szCs w:val="24"/>
          <w:shd w:val="clear" w:color="auto" w:fill="FFFFFF"/>
          <w:rtl/>
        </w:rPr>
        <w:t>ש</w:t>
      </w:r>
      <w:r w:rsidR="005720F6" w:rsidRPr="00891A31">
        <w:rPr>
          <w:rFonts w:cstheme="minorHAnsi"/>
          <w:sz w:val="24"/>
          <w:szCs w:val="24"/>
          <w:shd w:val="clear" w:color="auto" w:fill="FFFFFF"/>
          <w:rtl/>
        </w:rPr>
        <w:t>אומץ על ידי הבנקים</w:t>
      </w:r>
      <w:r w:rsidR="00C40482" w:rsidRPr="00891A31">
        <w:rPr>
          <w:rFonts w:cstheme="minorHAnsi"/>
          <w:sz w:val="24"/>
          <w:szCs w:val="24"/>
          <w:shd w:val="clear" w:color="auto" w:fill="FFFFFF"/>
          <w:rtl/>
        </w:rPr>
        <w:t xml:space="preserve">. </w:t>
      </w:r>
      <w:r w:rsidRPr="00891A31">
        <w:rPr>
          <w:rFonts w:cstheme="minorHAnsi"/>
          <w:color w:val="000000" w:themeColor="text1"/>
          <w:sz w:val="24"/>
          <w:szCs w:val="24"/>
          <w:shd w:val="clear" w:color="auto" w:fill="FFFFFF"/>
          <w:rtl/>
        </w:rPr>
        <w:t>בחלוף מספר שבועות</w:t>
      </w:r>
      <w:r w:rsidR="004C13EB" w:rsidRPr="00891A31">
        <w:rPr>
          <w:rFonts w:cstheme="minorHAnsi"/>
          <w:color w:val="000000" w:themeColor="text1"/>
          <w:sz w:val="24"/>
          <w:szCs w:val="24"/>
          <w:shd w:val="clear" w:color="auto" w:fill="FFFFFF"/>
          <w:rtl/>
        </w:rPr>
        <w:t xml:space="preserve"> מתחילת המלחמה</w:t>
      </w:r>
      <w:r w:rsidRPr="00891A31">
        <w:rPr>
          <w:rFonts w:cstheme="minorHAnsi"/>
          <w:color w:val="000000" w:themeColor="text1"/>
          <w:sz w:val="24"/>
          <w:szCs w:val="24"/>
          <w:shd w:val="clear" w:color="auto" w:fill="FFFFFF"/>
          <w:rtl/>
        </w:rPr>
        <w:t xml:space="preserve"> ו</w:t>
      </w:r>
      <w:r w:rsidR="00BF4445" w:rsidRPr="00891A31">
        <w:rPr>
          <w:rFonts w:cstheme="minorHAnsi"/>
          <w:color w:val="000000" w:themeColor="text1"/>
          <w:sz w:val="24"/>
          <w:szCs w:val="24"/>
          <w:shd w:val="clear" w:color="auto" w:fill="FFFFFF"/>
          <w:rtl/>
        </w:rPr>
        <w:t xml:space="preserve">נוכח העובדה כי תושבי הצפון פונו מביתם, </w:t>
      </w:r>
      <w:hyperlink r:id="rId10" w:history="1">
        <w:r w:rsidR="00BF4445" w:rsidRPr="00891A31">
          <w:rPr>
            <w:rStyle w:val="Hyperlink"/>
            <w:rFonts w:cstheme="minorHAnsi"/>
            <w:sz w:val="24"/>
            <w:szCs w:val="24"/>
            <w:shd w:val="clear" w:color="auto" w:fill="FFFFFF"/>
            <w:rtl/>
          </w:rPr>
          <w:t>הורחב המתווה</w:t>
        </w:r>
      </w:hyperlink>
      <w:r w:rsidR="00BF4445" w:rsidRPr="00891A31">
        <w:rPr>
          <w:rFonts w:cstheme="minorHAnsi"/>
          <w:color w:val="000000" w:themeColor="text1"/>
          <w:sz w:val="24"/>
          <w:szCs w:val="24"/>
          <w:shd w:val="clear" w:color="auto" w:fill="FFFFFF"/>
          <w:rtl/>
        </w:rPr>
        <w:t xml:space="preserve"> ונכללו בו גם תושבי הצפון. </w:t>
      </w:r>
      <w:r w:rsidR="000D07B1" w:rsidRPr="00891A31">
        <w:rPr>
          <w:rFonts w:cstheme="minorHAnsi"/>
          <w:color w:val="000000" w:themeColor="text1"/>
          <w:sz w:val="24"/>
          <w:szCs w:val="24"/>
          <w:shd w:val="clear" w:color="auto" w:fill="FFFFFF"/>
          <w:rtl/>
        </w:rPr>
        <w:lastRenderedPageBreak/>
        <w:t>בשל</w:t>
      </w:r>
      <w:r w:rsidR="00BF4445" w:rsidRPr="00891A31">
        <w:rPr>
          <w:rFonts w:cstheme="minorHAnsi"/>
          <w:color w:val="000000" w:themeColor="text1"/>
          <w:sz w:val="24"/>
          <w:szCs w:val="24"/>
          <w:shd w:val="clear" w:color="auto" w:fill="FFFFFF"/>
          <w:rtl/>
        </w:rPr>
        <w:t xml:space="preserve"> הימשכות המלחמה, הודיע בנק ישראל</w:t>
      </w:r>
      <w:r w:rsidR="00276A46" w:rsidRPr="00891A31">
        <w:rPr>
          <w:rFonts w:cstheme="minorHAnsi"/>
          <w:color w:val="000000" w:themeColor="text1"/>
          <w:sz w:val="24"/>
          <w:szCs w:val="24"/>
          <w:shd w:val="clear" w:color="auto" w:fill="FFFFFF"/>
          <w:rtl/>
        </w:rPr>
        <w:t xml:space="preserve"> בח</w:t>
      </w:r>
      <w:r w:rsidR="000D07B1" w:rsidRPr="00891A31">
        <w:rPr>
          <w:rFonts w:cstheme="minorHAnsi"/>
          <w:color w:val="000000" w:themeColor="text1"/>
          <w:sz w:val="24"/>
          <w:szCs w:val="24"/>
          <w:shd w:val="clear" w:color="auto" w:fill="FFFFFF"/>
          <w:rtl/>
        </w:rPr>
        <w:t>ו</w:t>
      </w:r>
      <w:r w:rsidR="00276A46" w:rsidRPr="00891A31">
        <w:rPr>
          <w:rFonts w:cstheme="minorHAnsi"/>
          <w:color w:val="000000" w:themeColor="text1"/>
          <w:sz w:val="24"/>
          <w:szCs w:val="24"/>
          <w:shd w:val="clear" w:color="auto" w:fill="FFFFFF"/>
          <w:rtl/>
        </w:rPr>
        <w:t>דש דצמבר 2023</w:t>
      </w:r>
      <w:r w:rsidR="00BF4445" w:rsidRPr="00891A31">
        <w:rPr>
          <w:rFonts w:cstheme="minorHAnsi"/>
          <w:color w:val="000000" w:themeColor="text1"/>
          <w:sz w:val="24"/>
          <w:szCs w:val="24"/>
          <w:shd w:val="clear" w:color="auto" w:fill="FFFFFF"/>
          <w:rtl/>
        </w:rPr>
        <w:t xml:space="preserve"> על </w:t>
      </w:r>
      <w:hyperlink r:id="rId11" w:history="1">
        <w:r w:rsidR="00BF4445" w:rsidRPr="00891A31">
          <w:rPr>
            <w:rStyle w:val="Hyperlink"/>
            <w:rFonts w:cstheme="minorHAnsi"/>
            <w:sz w:val="24"/>
            <w:szCs w:val="24"/>
            <w:shd w:val="clear" w:color="auto" w:fill="FFFFFF"/>
            <w:rtl/>
          </w:rPr>
          <w:t>הארכת המתווה שאומץ על ידי הבנקים</w:t>
        </w:r>
      </w:hyperlink>
      <w:r w:rsidRPr="00891A31">
        <w:rPr>
          <w:rFonts w:cstheme="minorHAnsi"/>
          <w:color w:val="000000" w:themeColor="text1"/>
          <w:sz w:val="24"/>
          <w:szCs w:val="24"/>
          <w:shd w:val="clear" w:color="auto" w:fill="FFFFFF"/>
          <w:rtl/>
        </w:rPr>
        <w:t xml:space="preserve"> </w:t>
      </w:r>
      <w:r w:rsidR="00BF4445" w:rsidRPr="00891A31">
        <w:rPr>
          <w:rFonts w:cstheme="minorHAnsi"/>
          <w:color w:val="000000" w:themeColor="text1"/>
          <w:sz w:val="24"/>
          <w:szCs w:val="24"/>
          <w:shd w:val="clear" w:color="auto" w:fill="FFFFFF"/>
          <w:rtl/>
        </w:rPr>
        <w:t>בשלושה חודשים</w:t>
      </w:r>
      <w:r w:rsidR="00576D55" w:rsidRPr="00891A31">
        <w:rPr>
          <w:rFonts w:cstheme="minorHAnsi"/>
          <w:color w:val="000000" w:themeColor="text1"/>
          <w:sz w:val="24"/>
          <w:szCs w:val="24"/>
          <w:shd w:val="clear" w:color="auto" w:fill="FFFFFF"/>
          <w:rtl/>
        </w:rPr>
        <w:t>,</w:t>
      </w:r>
      <w:r w:rsidR="00BF4445" w:rsidRPr="00891A31">
        <w:rPr>
          <w:rFonts w:cstheme="minorHAnsi"/>
          <w:color w:val="000000" w:themeColor="text1"/>
          <w:sz w:val="24"/>
          <w:szCs w:val="24"/>
          <w:shd w:val="clear" w:color="auto" w:fill="FFFFFF"/>
          <w:rtl/>
        </w:rPr>
        <w:t xml:space="preserve"> ועל הרחבת</w:t>
      </w:r>
      <w:r w:rsidRPr="00891A31">
        <w:rPr>
          <w:rFonts w:cstheme="minorHAnsi"/>
          <w:color w:val="000000" w:themeColor="text1"/>
          <w:sz w:val="24"/>
          <w:szCs w:val="24"/>
          <w:shd w:val="clear" w:color="auto" w:fill="FFFFFF"/>
          <w:rtl/>
        </w:rPr>
        <w:t>ו</w:t>
      </w:r>
      <w:r w:rsidR="00BF4445" w:rsidRPr="00891A31">
        <w:rPr>
          <w:rFonts w:cstheme="minorHAnsi"/>
          <w:color w:val="000000" w:themeColor="text1"/>
          <w:sz w:val="24"/>
          <w:szCs w:val="24"/>
          <w:shd w:val="clear" w:color="auto" w:fill="FFFFFF"/>
          <w:rtl/>
        </w:rPr>
        <w:t xml:space="preserve"> לאוכלוסיות נוספות</w:t>
      </w:r>
      <w:r w:rsidR="004C13EB" w:rsidRPr="00891A31">
        <w:rPr>
          <w:rFonts w:cstheme="minorHAnsi"/>
          <w:color w:val="000000" w:themeColor="text1"/>
          <w:sz w:val="24"/>
          <w:szCs w:val="24"/>
          <w:shd w:val="clear" w:color="auto" w:fill="FFFFFF"/>
          <w:rtl/>
        </w:rPr>
        <w:t xml:space="preserve">. </w:t>
      </w:r>
      <w:r w:rsidR="002333C8" w:rsidRPr="00891A31">
        <w:rPr>
          <w:rFonts w:cstheme="minorHAnsi"/>
          <w:color w:val="000000" w:themeColor="text1"/>
          <w:sz w:val="24"/>
          <w:szCs w:val="24"/>
          <w:shd w:val="clear" w:color="auto" w:fill="FFFFFF"/>
          <w:rtl/>
        </w:rPr>
        <w:t xml:space="preserve">בהתאם למצב הביטחוני </w:t>
      </w:r>
      <w:r w:rsidR="00276A46" w:rsidRPr="00891A31">
        <w:rPr>
          <w:rFonts w:cstheme="minorHAnsi"/>
          <w:color w:val="000000" w:themeColor="text1"/>
          <w:sz w:val="24"/>
          <w:szCs w:val="24"/>
          <w:shd w:val="clear" w:color="auto" w:fill="FFFFFF"/>
          <w:rtl/>
        </w:rPr>
        <w:t xml:space="preserve">ומתוך רצון להעניק הקלות ייחודיות לחיילי המילואים, הודיע בנק ישראל בחודש מרץ 2024 על </w:t>
      </w:r>
      <w:hyperlink r:id="rId12" w:history="1">
        <w:r w:rsidR="00276A46" w:rsidRPr="00891A31">
          <w:rPr>
            <w:rStyle w:val="Hyperlink"/>
            <w:rFonts w:cstheme="minorHAnsi"/>
            <w:sz w:val="24"/>
            <w:szCs w:val="24"/>
            <w:shd w:val="clear" w:color="auto" w:fill="FFFFFF"/>
            <w:rtl/>
          </w:rPr>
          <w:t>הארכה והרחבה נוספת של המתווה</w:t>
        </w:r>
      </w:hyperlink>
      <w:r w:rsidR="00276A46" w:rsidRPr="00891A31">
        <w:rPr>
          <w:rFonts w:cstheme="minorHAnsi"/>
          <w:color w:val="000000" w:themeColor="text1"/>
          <w:sz w:val="24"/>
          <w:szCs w:val="24"/>
          <w:shd w:val="clear" w:color="auto" w:fill="FFFFFF"/>
          <w:rtl/>
        </w:rPr>
        <w:t xml:space="preserve">. </w:t>
      </w:r>
      <w:r w:rsidR="00874FB2" w:rsidRPr="00891A31">
        <w:rPr>
          <w:rFonts w:cstheme="minorHAnsi"/>
          <w:color w:val="000000" w:themeColor="text1"/>
          <w:sz w:val="24"/>
          <w:szCs w:val="24"/>
          <w:shd w:val="clear" w:color="auto" w:fill="FFFFFF"/>
          <w:rtl/>
        </w:rPr>
        <w:t>נוכח הימשכות המתיחות הביטחונית ו</w:t>
      </w:r>
      <w:r w:rsidR="00552FAD" w:rsidRPr="00891A31">
        <w:rPr>
          <w:rFonts w:cstheme="minorHAnsi"/>
          <w:color w:val="000000" w:themeColor="text1"/>
          <w:sz w:val="24"/>
          <w:szCs w:val="24"/>
          <w:shd w:val="clear" w:color="auto" w:fill="FFFFFF"/>
          <w:rtl/>
        </w:rPr>
        <w:t>בהתאם</w:t>
      </w:r>
      <w:r w:rsidR="0095051F" w:rsidRPr="00891A31">
        <w:rPr>
          <w:rFonts w:cstheme="minorHAnsi"/>
          <w:color w:val="000000" w:themeColor="text1"/>
          <w:sz w:val="24"/>
          <w:szCs w:val="24"/>
          <w:shd w:val="clear" w:color="auto" w:fill="FFFFFF"/>
          <w:rtl/>
        </w:rPr>
        <w:t xml:space="preserve"> להערכות מצב </w:t>
      </w:r>
      <w:r w:rsidR="00552FAD" w:rsidRPr="00891A31">
        <w:rPr>
          <w:rFonts w:cstheme="minorHAnsi"/>
          <w:color w:val="000000" w:themeColor="text1"/>
          <w:sz w:val="24"/>
          <w:szCs w:val="24"/>
          <w:shd w:val="clear" w:color="auto" w:fill="FFFFFF"/>
          <w:rtl/>
        </w:rPr>
        <w:t xml:space="preserve">הודיע בנק ישראל בחודש יוני 2024 על </w:t>
      </w:r>
      <w:hyperlink r:id="rId13" w:history="1">
        <w:r w:rsidR="00552FAD" w:rsidRPr="00891A31">
          <w:rPr>
            <w:rStyle w:val="Hyperlink"/>
            <w:rFonts w:cstheme="minorHAnsi"/>
            <w:sz w:val="24"/>
            <w:szCs w:val="24"/>
            <w:shd w:val="clear" w:color="auto" w:fill="FFFFFF"/>
            <w:rtl/>
          </w:rPr>
          <w:t>הארכה נוספת של המתווה</w:t>
        </w:r>
      </w:hyperlink>
      <w:r w:rsidR="00552FAD" w:rsidRPr="00891A31">
        <w:rPr>
          <w:rFonts w:cstheme="minorHAnsi"/>
          <w:color w:val="000000" w:themeColor="text1"/>
          <w:sz w:val="24"/>
          <w:szCs w:val="24"/>
          <w:shd w:val="clear" w:color="auto" w:fill="FFFFFF"/>
          <w:rtl/>
        </w:rPr>
        <w:t xml:space="preserve">.  </w:t>
      </w:r>
      <w:r w:rsidR="00C8724D" w:rsidRPr="00891A31">
        <w:rPr>
          <w:rFonts w:cstheme="minorHAnsi"/>
          <w:color w:val="000000" w:themeColor="text1"/>
          <w:sz w:val="24"/>
          <w:szCs w:val="24"/>
          <w:shd w:val="clear" w:color="auto" w:fill="FFFFFF"/>
          <w:rtl/>
        </w:rPr>
        <w:t xml:space="preserve"> </w:t>
      </w:r>
    </w:p>
    <w:p w:rsidR="00A80250" w:rsidRPr="00891A31" w:rsidRDefault="00A80250" w:rsidP="000D07B1">
      <w:pPr>
        <w:spacing w:line="360" w:lineRule="auto"/>
        <w:ind w:right="-102"/>
        <w:jc w:val="both"/>
        <w:rPr>
          <w:rFonts w:cstheme="minorHAnsi"/>
          <w:color w:val="000000" w:themeColor="text1"/>
          <w:sz w:val="24"/>
          <w:szCs w:val="24"/>
          <w:shd w:val="clear" w:color="auto" w:fill="FFFFFF"/>
          <w:rtl/>
        </w:rPr>
      </w:pPr>
      <w:r w:rsidRPr="00891A31">
        <w:rPr>
          <w:rFonts w:cstheme="minorHAnsi"/>
          <w:sz w:val="24"/>
          <w:szCs w:val="24"/>
          <w:shd w:val="clear" w:color="auto" w:fill="FFFFFF"/>
          <w:rtl/>
        </w:rPr>
        <w:t>המתווה הקיים, אשר בתוקף עד לתאריך 30.9.24, מאפשר ללקוחות שנפגעו באופן ישיר מנזקי ה</w:t>
      </w:r>
      <w:r w:rsidR="000D07B1" w:rsidRPr="00891A31">
        <w:rPr>
          <w:rFonts w:cstheme="minorHAnsi"/>
          <w:sz w:val="24"/>
          <w:szCs w:val="24"/>
          <w:shd w:val="clear" w:color="auto" w:fill="FFFFFF"/>
          <w:rtl/>
        </w:rPr>
        <w:t>מ</w:t>
      </w:r>
      <w:r w:rsidRPr="00891A31">
        <w:rPr>
          <w:rFonts w:cstheme="minorHAnsi"/>
          <w:sz w:val="24"/>
          <w:szCs w:val="24"/>
          <w:shd w:val="clear" w:color="auto" w:fill="FFFFFF"/>
          <w:rtl/>
        </w:rPr>
        <w:t>לחמה</w:t>
      </w:r>
      <w:r w:rsidRPr="00891A31">
        <w:rPr>
          <w:rStyle w:val="FootnoteReference"/>
          <w:rFonts w:cstheme="minorHAnsi"/>
          <w:sz w:val="24"/>
          <w:szCs w:val="24"/>
          <w:shd w:val="clear" w:color="auto" w:fill="FFFFFF"/>
          <w:rtl/>
        </w:rPr>
        <w:footnoteReference w:id="1"/>
      </w:r>
      <w:r w:rsidRPr="00891A31">
        <w:rPr>
          <w:rFonts w:cstheme="minorHAnsi"/>
          <w:sz w:val="24"/>
          <w:szCs w:val="24"/>
          <w:shd w:val="clear" w:color="auto" w:fill="FFFFFF"/>
          <w:rtl/>
        </w:rPr>
        <w:t xml:space="preserve"> לדחות ללא חיוב בריבית ובעמלות את תשלומי ההלוואות והמשכנתאות</w:t>
      </w:r>
      <w:r w:rsidRPr="00891A31">
        <w:rPr>
          <w:rStyle w:val="FootnoteReference"/>
          <w:rFonts w:cstheme="minorHAnsi"/>
          <w:sz w:val="24"/>
          <w:szCs w:val="24"/>
          <w:shd w:val="clear" w:color="auto" w:fill="FFFFFF"/>
          <w:rtl/>
        </w:rPr>
        <w:footnoteReference w:id="2"/>
      </w:r>
      <w:r w:rsidRPr="00891A31">
        <w:rPr>
          <w:rFonts w:cstheme="minorHAnsi"/>
          <w:sz w:val="24"/>
          <w:szCs w:val="24"/>
          <w:shd w:val="clear" w:color="auto" w:fill="FFFFFF"/>
          <w:rtl/>
        </w:rPr>
        <w:t xml:space="preserve">, ולקבל פטור </w:t>
      </w:r>
      <w:r w:rsidRPr="00891A31">
        <w:rPr>
          <w:rFonts w:cstheme="minorHAnsi"/>
          <w:color w:val="000000" w:themeColor="text1"/>
          <w:sz w:val="24"/>
          <w:szCs w:val="24"/>
          <w:shd w:val="clear" w:color="auto" w:fill="FFFFFF"/>
          <w:rtl/>
        </w:rPr>
        <w:t>ממרבית העמלות המשמשות לניהול השוטף של חשבון העו"ש ופטור בחשבונות עו"ש מריבית על יתרת החובה עד לסכומים קצובים, וזאת למשך שלושה חודשים מרגע הצטרפותם, בהתאם לתנאי המתווה</w:t>
      </w:r>
      <w:r w:rsidRPr="00891A31">
        <w:rPr>
          <w:rFonts w:cstheme="minorHAnsi"/>
          <w:sz w:val="24"/>
          <w:szCs w:val="24"/>
          <w:shd w:val="clear" w:color="auto" w:fill="FFFFFF"/>
          <w:rtl/>
        </w:rPr>
        <w:t>.</w:t>
      </w:r>
      <w:r w:rsidRPr="00891A31">
        <w:rPr>
          <w:rFonts w:cstheme="minorHAnsi"/>
          <w:color w:val="000000" w:themeColor="text1"/>
          <w:sz w:val="24"/>
          <w:szCs w:val="24"/>
          <w:shd w:val="clear" w:color="auto" w:fill="FFFFFF"/>
          <w:rtl/>
        </w:rPr>
        <w:t xml:space="preserve"> </w:t>
      </w:r>
    </w:p>
    <w:p w:rsidR="00A80250" w:rsidRPr="00891A31" w:rsidRDefault="00A80250" w:rsidP="00A80250">
      <w:pPr>
        <w:spacing w:line="360" w:lineRule="auto"/>
        <w:ind w:right="-102"/>
        <w:jc w:val="both"/>
        <w:rPr>
          <w:rFonts w:cstheme="minorHAnsi"/>
          <w:color w:val="000000" w:themeColor="text1"/>
          <w:sz w:val="24"/>
          <w:szCs w:val="24"/>
          <w:shd w:val="clear" w:color="auto" w:fill="FFFFFF"/>
          <w:rtl/>
        </w:rPr>
      </w:pPr>
      <w:r w:rsidRPr="00891A31">
        <w:rPr>
          <w:rFonts w:cstheme="minorHAnsi"/>
          <w:color w:val="000000" w:themeColor="text1"/>
          <w:sz w:val="24"/>
          <w:szCs w:val="24"/>
          <w:shd w:val="clear" w:color="auto" w:fill="FFFFFF"/>
          <w:rtl/>
        </w:rPr>
        <w:t xml:space="preserve">ליתר הלקוחות, ניתנת האפשרות לדחות, ללא חיוב בעמלות, את תשלומי ההלוואות והמשכנתאות למשך שלושה חודשים, </w:t>
      </w:r>
      <w:r w:rsidRPr="00891A31">
        <w:rPr>
          <w:rFonts w:cstheme="minorHAnsi"/>
          <w:sz w:val="24"/>
          <w:szCs w:val="24"/>
          <w:rtl/>
        </w:rPr>
        <w:t>כאשר התשלומים הנדחים</w:t>
      </w:r>
      <w:r w:rsidRPr="00891A31">
        <w:rPr>
          <w:rFonts w:cstheme="minorHAnsi"/>
          <w:color w:val="000000" w:themeColor="text1"/>
          <w:sz w:val="24"/>
          <w:szCs w:val="24"/>
          <w:shd w:val="clear" w:color="auto" w:fill="FFFFFF"/>
          <w:rtl/>
        </w:rPr>
        <w:t xml:space="preserve"> </w:t>
      </w:r>
      <w:r w:rsidRPr="00891A31">
        <w:rPr>
          <w:rFonts w:cstheme="minorHAnsi"/>
          <w:sz w:val="24"/>
          <w:szCs w:val="24"/>
          <w:rtl/>
        </w:rPr>
        <w:t>יישאו ריבית שלא תעלה על שיעור הריבית בחוזה ההלוואה.</w:t>
      </w:r>
    </w:p>
    <w:p w:rsidR="00E96BCD" w:rsidRPr="00891A31" w:rsidRDefault="00E96BCD" w:rsidP="0095051F">
      <w:pPr>
        <w:spacing w:line="360" w:lineRule="auto"/>
        <w:ind w:right="-102"/>
        <w:jc w:val="both"/>
        <w:rPr>
          <w:rFonts w:cstheme="minorHAnsi"/>
          <w:color w:val="000000" w:themeColor="text1"/>
          <w:sz w:val="24"/>
          <w:szCs w:val="24"/>
          <w:shd w:val="clear" w:color="auto" w:fill="FFFFFF"/>
          <w:rtl/>
        </w:rPr>
      </w:pPr>
      <w:r w:rsidRPr="00891A31">
        <w:rPr>
          <w:rFonts w:cstheme="minorHAnsi"/>
          <w:color w:val="000000" w:themeColor="text1"/>
          <w:sz w:val="24"/>
          <w:szCs w:val="24"/>
          <w:u w:val="single"/>
          <w:shd w:val="clear" w:color="auto" w:fill="FFFFFF"/>
          <w:rtl/>
        </w:rPr>
        <w:t xml:space="preserve">נתוני רקע </w:t>
      </w:r>
      <w:r w:rsidR="008F21C6" w:rsidRPr="00891A31">
        <w:rPr>
          <w:rFonts w:cstheme="minorHAnsi"/>
          <w:color w:val="000000" w:themeColor="text1"/>
          <w:sz w:val="24"/>
          <w:szCs w:val="24"/>
          <w:u w:val="single"/>
          <w:shd w:val="clear" w:color="auto" w:fill="FFFFFF"/>
          <w:rtl/>
        </w:rPr>
        <w:t>נכון ליום</w:t>
      </w:r>
      <w:r w:rsidR="001D1076" w:rsidRPr="00891A31">
        <w:rPr>
          <w:rFonts w:cstheme="minorHAnsi"/>
          <w:color w:val="000000" w:themeColor="text1"/>
          <w:sz w:val="24"/>
          <w:szCs w:val="24"/>
          <w:u w:val="single"/>
          <w:shd w:val="clear" w:color="auto" w:fill="FFFFFF"/>
          <w:rtl/>
        </w:rPr>
        <w:t xml:space="preserve"> 31.8.24</w:t>
      </w:r>
      <w:r w:rsidRPr="00891A31">
        <w:rPr>
          <w:rFonts w:cstheme="minorHAnsi"/>
          <w:color w:val="000000" w:themeColor="text1"/>
          <w:sz w:val="24"/>
          <w:szCs w:val="24"/>
          <w:shd w:val="clear" w:color="auto" w:fill="FFFFFF"/>
          <w:rtl/>
        </w:rPr>
        <w:t>:</w:t>
      </w:r>
    </w:p>
    <w:p w:rsidR="001D1076" w:rsidRPr="00891A31" w:rsidRDefault="001D1076" w:rsidP="005A71B1">
      <w:pPr>
        <w:rPr>
          <w:rFonts w:cstheme="minorHAnsi"/>
          <w:color w:val="000000" w:themeColor="text1"/>
          <w:sz w:val="24"/>
          <w:szCs w:val="24"/>
          <w:shd w:val="clear" w:color="auto" w:fill="FFFFFF"/>
          <w:rtl/>
        </w:rPr>
      </w:pPr>
      <w:r w:rsidRPr="00891A31">
        <w:rPr>
          <w:rFonts w:cstheme="minorHAnsi"/>
          <w:color w:val="000000" w:themeColor="text1"/>
          <w:sz w:val="24"/>
          <w:szCs w:val="24"/>
          <w:shd w:val="clear" w:color="auto" w:fill="FFFFFF"/>
          <w:rtl/>
        </w:rPr>
        <w:t>נדחו, במצטבר, כ- 460 אלף הלוואות, בסכום כולל של כ-9 מיליארדי ₪</w:t>
      </w:r>
      <w:r w:rsidRPr="00891A31">
        <w:rPr>
          <w:rFonts w:cstheme="minorHAnsi"/>
          <w:color w:val="000000" w:themeColor="text1"/>
          <w:sz w:val="24"/>
          <w:szCs w:val="24"/>
          <w:shd w:val="clear" w:color="auto" w:fill="FFFFFF"/>
        </w:rPr>
        <w:t>.</w:t>
      </w:r>
    </w:p>
    <w:p w:rsidR="001D1076" w:rsidRPr="00891A31" w:rsidRDefault="001D1076" w:rsidP="005A71B1">
      <w:pPr>
        <w:rPr>
          <w:rFonts w:cstheme="minorHAnsi"/>
          <w:color w:val="000000" w:themeColor="text1"/>
          <w:sz w:val="24"/>
          <w:szCs w:val="24"/>
          <w:shd w:val="clear" w:color="auto" w:fill="FFFFFF"/>
          <w:rtl/>
        </w:rPr>
      </w:pPr>
      <w:r w:rsidRPr="00891A31">
        <w:rPr>
          <w:rFonts w:cstheme="minorHAnsi"/>
          <w:color w:val="000000" w:themeColor="text1"/>
          <w:sz w:val="24"/>
          <w:szCs w:val="24"/>
          <w:shd w:val="clear" w:color="auto" w:fill="FFFFFF"/>
          <w:rtl/>
        </w:rPr>
        <w:t> כ-40% מהסכומים שנדחו התבצעו בקרב משקי הבית והיתר ב</w:t>
      </w:r>
      <w:r w:rsidR="00291EE0" w:rsidRPr="00891A31">
        <w:rPr>
          <w:rFonts w:cstheme="minorHAnsi"/>
          <w:color w:val="000000" w:themeColor="text1"/>
          <w:sz w:val="24"/>
          <w:szCs w:val="24"/>
          <w:shd w:val="clear" w:color="auto" w:fill="FFFFFF"/>
          <w:rtl/>
        </w:rPr>
        <w:t>קרב ה</w:t>
      </w:r>
      <w:r w:rsidRPr="00891A31">
        <w:rPr>
          <w:rFonts w:cstheme="minorHAnsi"/>
          <w:color w:val="000000" w:themeColor="text1"/>
          <w:sz w:val="24"/>
          <w:szCs w:val="24"/>
          <w:shd w:val="clear" w:color="auto" w:fill="FFFFFF"/>
          <w:rtl/>
        </w:rPr>
        <w:t>מגזר העסקי, כאשר כ-73% מההלוואות שנדחו היו עבור מגזר משקי הבית.</w:t>
      </w:r>
    </w:p>
    <w:p w:rsidR="00291EE0" w:rsidRPr="00891A31" w:rsidRDefault="001D1076" w:rsidP="005A71B1">
      <w:pPr>
        <w:rPr>
          <w:rFonts w:cstheme="minorHAnsi"/>
          <w:color w:val="000000" w:themeColor="text1"/>
          <w:sz w:val="24"/>
          <w:szCs w:val="24"/>
          <w:shd w:val="clear" w:color="auto" w:fill="FFFFFF"/>
          <w:rtl/>
        </w:rPr>
      </w:pPr>
      <w:r w:rsidRPr="00891A31">
        <w:rPr>
          <w:rFonts w:cstheme="minorHAnsi"/>
          <w:color w:val="000000" w:themeColor="text1"/>
          <w:sz w:val="24"/>
          <w:szCs w:val="24"/>
          <w:shd w:val="clear" w:color="auto" w:fill="FFFFFF"/>
          <w:rtl/>
        </w:rPr>
        <w:t> נציין כי כ-80% מכלל הסכום שנדחה שייך להלוואות שדחייתן הסתיימה. הלוואות אלו מהוות כ-83% ממספר הדחיות</w:t>
      </w:r>
      <w:r w:rsidRPr="00891A31">
        <w:rPr>
          <w:rFonts w:cstheme="minorHAnsi"/>
          <w:color w:val="000000" w:themeColor="text1"/>
          <w:sz w:val="24"/>
          <w:szCs w:val="24"/>
          <w:shd w:val="clear" w:color="auto" w:fill="FFFFFF"/>
        </w:rPr>
        <w:t>.</w:t>
      </w:r>
      <w:r w:rsidR="00291EE0" w:rsidRPr="00891A31">
        <w:rPr>
          <w:rFonts w:cstheme="minorHAnsi"/>
          <w:color w:val="000000" w:themeColor="text1"/>
          <w:sz w:val="24"/>
          <w:szCs w:val="24"/>
          <w:shd w:val="clear" w:color="auto" w:fill="FFFFFF"/>
          <w:rtl/>
        </w:rPr>
        <w:t xml:space="preserve">  </w:t>
      </w:r>
    </w:p>
    <w:p w:rsidR="00291EE0" w:rsidRPr="00891A31" w:rsidRDefault="00291EE0" w:rsidP="00291EE0">
      <w:pPr>
        <w:rPr>
          <w:rFonts w:cstheme="minorHAnsi"/>
          <w:color w:val="000000" w:themeColor="text1"/>
          <w:sz w:val="24"/>
          <w:szCs w:val="24"/>
          <w:shd w:val="clear" w:color="auto" w:fill="FFFFFF"/>
          <w:rtl/>
        </w:rPr>
      </w:pPr>
      <w:r w:rsidRPr="00891A31">
        <w:rPr>
          <w:rFonts w:cstheme="minorHAnsi"/>
          <w:color w:val="000000" w:themeColor="text1"/>
          <w:sz w:val="24"/>
          <w:szCs w:val="24"/>
          <w:shd w:val="clear" w:color="auto" w:fill="FFFFFF"/>
          <w:rtl/>
        </w:rPr>
        <w:t xml:space="preserve">עוד יצוין כי הרוב המכריע של </w:t>
      </w:r>
      <w:r w:rsidR="001D1076" w:rsidRPr="00891A31">
        <w:rPr>
          <w:rFonts w:cstheme="minorHAnsi"/>
          <w:color w:val="000000" w:themeColor="text1"/>
          <w:sz w:val="24"/>
          <w:szCs w:val="24"/>
          <w:shd w:val="clear" w:color="auto" w:fill="FFFFFF"/>
          <w:rtl/>
        </w:rPr>
        <w:t>ההלוואות שדחייתן הסתיימה חזרו לתשלום סדיר</w:t>
      </w:r>
      <w:r w:rsidRPr="00891A31">
        <w:rPr>
          <w:rFonts w:cstheme="minorHAnsi"/>
          <w:color w:val="000000" w:themeColor="text1"/>
          <w:sz w:val="24"/>
          <w:szCs w:val="24"/>
          <w:shd w:val="clear" w:color="auto" w:fill="FFFFFF"/>
          <w:rtl/>
        </w:rPr>
        <w:t>.</w:t>
      </w:r>
    </w:p>
    <w:p w:rsidR="005A71B1" w:rsidRDefault="005A71B1" w:rsidP="00A80250">
      <w:pPr>
        <w:spacing w:line="360" w:lineRule="auto"/>
        <w:ind w:right="-102"/>
        <w:jc w:val="both"/>
        <w:rPr>
          <w:rFonts w:cstheme="minorHAnsi"/>
          <w:b/>
          <w:bCs/>
          <w:color w:val="002060"/>
          <w:sz w:val="28"/>
          <w:szCs w:val="28"/>
          <w:shd w:val="clear" w:color="auto" w:fill="FFFFFF"/>
          <w:rtl/>
        </w:rPr>
      </w:pPr>
    </w:p>
    <w:p w:rsidR="005A71B1" w:rsidRDefault="005A71B1" w:rsidP="00A80250">
      <w:pPr>
        <w:spacing w:line="360" w:lineRule="auto"/>
        <w:ind w:right="-102"/>
        <w:jc w:val="both"/>
        <w:rPr>
          <w:rFonts w:cstheme="minorHAnsi"/>
          <w:b/>
          <w:bCs/>
          <w:color w:val="002060"/>
          <w:sz w:val="28"/>
          <w:szCs w:val="28"/>
          <w:shd w:val="clear" w:color="auto" w:fill="FFFFFF"/>
          <w:rtl/>
        </w:rPr>
      </w:pPr>
    </w:p>
    <w:p w:rsidR="005A71B1" w:rsidRDefault="005A71B1" w:rsidP="00A80250">
      <w:pPr>
        <w:spacing w:line="360" w:lineRule="auto"/>
        <w:ind w:right="-102"/>
        <w:jc w:val="both"/>
        <w:rPr>
          <w:rFonts w:cstheme="minorHAnsi"/>
          <w:b/>
          <w:bCs/>
          <w:color w:val="002060"/>
          <w:sz w:val="28"/>
          <w:szCs w:val="28"/>
          <w:shd w:val="clear" w:color="auto" w:fill="FFFFFF"/>
          <w:rtl/>
        </w:rPr>
      </w:pPr>
    </w:p>
    <w:p w:rsidR="005A71B1" w:rsidRDefault="005A71B1" w:rsidP="00A80250">
      <w:pPr>
        <w:spacing w:line="360" w:lineRule="auto"/>
        <w:ind w:right="-102"/>
        <w:jc w:val="both"/>
        <w:rPr>
          <w:rFonts w:cstheme="minorHAnsi"/>
          <w:b/>
          <w:bCs/>
          <w:color w:val="002060"/>
          <w:sz w:val="28"/>
          <w:szCs w:val="28"/>
          <w:shd w:val="clear" w:color="auto" w:fill="FFFFFF"/>
          <w:rtl/>
        </w:rPr>
      </w:pPr>
    </w:p>
    <w:p w:rsidR="00726D5F" w:rsidRPr="00891A31" w:rsidRDefault="00877B56" w:rsidP="00A80250">
      <w:pPr>
        <w:spacing w:line="360" w:lineRule="auto"/>
        <w:ind w:right="-102"/>
        <w:jc w:val="both"/>
        <w:rPr>
          <w:rFonts w:cstheme="minorHAnsi"/>
          <w:b/>
          <w:bCs/>
          <w:color w:val="002060"/>
          <w:sz w:val="28"/>
          <w:szCs w:val="28"/>
          <w:shd w:val="clear" w:color="auto" w:fill="FFFFFF"/>
          <w:rtl/>
        </w:rPr>
      </w:pPr>
      <w:r w:rsidRPr="00891A31">
        <w:rPr>
          <w:rFonts w:cstheme="minorHAnsi"/>
          <w:b/>
          <w:bCs/>
          <w:color w:val="002060"/>
          <w:sz w:val="28"/>
          <w:szCs w:val="28"/>
          <w:shd w:val="clear" w:color="auto" w:fill="FFFFFF"/>
          <w:rtl/>
        </w:rPr>
        <w:lastRenderedPageBreak/>
        <w:t xml:space="preserve">הארכת </w:t>
      </w:r>
      <w:r w:rsidR="00E326F3" w:rsidRPr="00891A31">
        <w:rPr>
          <w:rFonts w:cstheme="minorHAnsi"/>
          <w:b/>
          <w:bCs/>
          <w:color w:val="002060"/>
          <w:sz w:val="28"/>
          <w:szCs w:val="28"/>
          <w:shd w:val="clear" w:color="auto" w:fill="FFFFFF"/>
          <w:rtl/>
        </w:rPr>
        <w:t>המתווה</w:t>
      </w:r>
      <w:r w:rsidR="004C13EB" w:rsidRPr="00891A31">
        <w:rPr>
          <w:rFonts w:cstheme="minorHAnsi"/>
          <w:b/>
          <w:bCs/>
          <w:color w:val="002060"/>
          <w:sz w:val="28"/>
          <w:szCs w:val="28"/>
          <w:shd w:val="clear" w:color="auto" w:fill="FFFFFF"/>
          <w:rtl/>
        </w:rPr>
        <w:t xml:space="preserve"> </w:t>
      </w:r>
      <w:r w:rsidR="00A80250" w:rsidRPr="00891A31">
        <w:rPr>
          <w:rFonts w:cstheme="minorHAnsi"/>
          <w:b/>
          <w:bCs/>
          <w:color w:val="002060"/>
          <w:sz w:val="28"/>
          <w:szCs w:val="28"/>
          <w:shd w:val="clear" w:color="auto" w:fill="FFFFFF"/>
          <w:rtl/>
        </w:rPr>
        <w:t xml:space="preserve">עד לסוף שנת 2024 </w:t>
      </w:r>
    </w:p>
    <w:p w:rsidR="00F774D1" w:rsidRPr="00891A31" w:rsidRDefault="004F0AD1" w:rsidP="004F0AD1">
      <w:pPr>
        <w:spacing w:after="0" w:line="360" w:lineRule="auto"/>
        <w:jc w:val="both"/>
        <w:rPr>
          <w:rFonts w:cstheme="minorHAnsi"/>
          <w:color w:val="000000"/>
          <w:sz w:val="24"/>
          <w:szCs w:val="24"/>
          <w:shd w:val="clear" w:color="auto" w:fill="FFFFFF"/>
          <w:rtl/>
        </w:rPr>
      </w:pPr>
      <w:r w:rsidRPr="00891A31">
        <w:rPr>
          <w:rFonts w:cstheme="minorHAnsi"/>
          <w:color w:val="000000"/>
          <w:sz w:val="24"/>
          <w:szCs w:val="24"/>
          <w:shd w:val="clear" w:color="auto" w:fill="FFFFFF"/>
          <w:rtl/>
        </w:rPr>
        <w:t>במטרה להמשיך ולסייע לאוכלוסייה בהקלות התזרימיות לצד ההיערכות ל</w:t>
      </w:r>
      <w:r w:rsidR="00211A0B" w:rsidRPr="00891A31">
        <w:rPr>
          <w:rFonts w:cstheme="minorHAnsi"/>
          <w:color w:val="000000"/>
          <w:sz w:val="24"/>
          <w:szCs w:val="24"/>
          <w:shd w:val="clear" w:color="auto" w:fill="FFFFFF"/>
          <w:rtl/>
        </w:rPr>
        <w:t>חזרת הלקוחות ל</w:t>
      </w:r>
      <w:r w:rsidRPr="00891A31">
        <w:rPr>
          <w:rFonts w:cstheme="minorHAnsi"/>
          <w:color w:val="000000"/>
          <w:sz w:val="24"/>
          <w:szCs w:val="24"/>
          <w:shd w:val="clear" w:color="auto" w:fill="FFFFFF"/>
          <w:rtl/>
        </w:rPr>
        <w:t xml:space="preserve">שגרת תשלומים סדרה, </w:t>
      </w:r>
    </w:p>
    <w:p w:rsidR="00A80250" w:rsidRPr="00891A31" w:rsidRDefault="00A80250" w:rsidP="00F90CF5">
      <w:pPr>
        <w:spacing w:after="0" w:line="360" w:lineRule="auto"/>
        <w:jc w:val="both"/>
        <w:rPr>
          <w:rFonts w:cstheme="minorHAnsi"/>
          <w:sz w:val="24"/>
          <w:szCs w:val="24"/>
          <w:rtl/>
        </w:rPr>
      </w:pPr>
      <w:r w:rsidRPr="00891A31">
        <w:rPr>
          <w:rFonts w:cstheme="minorHAnsi"/>
          <w:color w:val="000000"/>
          <w:sz w:val="24"/>
          <w:szCs w:val="24"/>
          <w:shd w:val="clear" w:color="auto" w:fill="FFFFFF"/>
          <w:rtl/>
        </w:rPr>
        <w:t>ה</w:t>
      </w:r>
      <w:r w:rsidR="001C623A" w:rsidRPr="00891A31">
        <w:rPr>
          <w:rFonts w:cstheme="minorHAnsi"/>
          <w:color w:val="000000"/>
          <w:sz w:val="24"/>
          <w:szCs w:val="24"/>
          <w:shd w:val="clear" w:color="auto" w:fill="FFFFFF"/>
          <w:rtl/>
        </w:rPr>
        <w:t xml:space="preserve">וחלט </w:t>
      </w:r>
      <w:r w:rsidR="00BF559D" w:rsidRPr="00891A31">
        <w:rPr>
          <w:rFonts w:cstheme="minorHAnsi"/>
          <w:color w:val="000000"/>
          <w:sz w:val="24"/>
          <w:szCs w:val="24"/>
          <w:shd w:val="clear" w:color="auto" w:fill="FFFFFF"/>
          <w:rtl/>
        </w:rPr>
        <w:t>להאריך את המתווה שאומץ ע"י הבנקים בשלושה חודשים נוספים עד לסוף שנת 2024, ו</w:t>
      </w:r>
      <w:r w:rsidR="001C623A" w:rsidRPr="00891A31">
        <w:rPr>
          <w:rFonts w:cstheme="minorHAnsi"/>
          <w:color w:val="000000"/>
          <w:sz w:val="24"/>
          <w:szCs w:val="24"/>
          <w:shd w:val="clear" w:color="auto" w:fill="FFFFFF"/>
          <w:rtl/>
        </w:rPr>
        <w:t xml:space="preserve">לבצע </w:t>
      </w:r>
      <w:r w:rsidR="00BF559D" w:rsidRPr="00891A31">
        <w:rPr>
          <w:rFonts w:cstheme="minorHAnsi"/>
          <w:color w:val="000000"/>
          <w:sz w:val="24"/>
          <w:szCs w:val="24"/>
          <w:shd w:val="clear" w:color="auto" w:fill="FFFFFF"/>
          <w:rtl/>
        </w:rPr>
        <w:t xml:space="preserve">התאמות באוכלוסיית המעגל הראשון </w:t>
      </w:r>
      <w:r w:rsidR="00F90CF5" w:rsidRPr="00891A31">
        <w:rPr>
          <w:rFonts w:cstheme="minorHAnsi"/>
          <w:color w:val="000000"/>
          <w:sz w:val="24"/>
          <w:szCs w:val="24"/>
          <w:shd w:val="clear" w:color="auto" w:fill="FFFFFF"/>
          <w:rtl/>
        </w:rPr>
        <w:t>באופן הבא:</w:t>
      </w:r>
      <w:r w:rsidRPr="00891A31">
        <w:rPr>
          <w:rFonts w:cstheme="minorHAnsi"/>
          <w:sz w:val="24"/>
          <w:szCs w:val="24"/>
          <w:rtl/>
        </w:rPr>
        <w:t xml:space="preserve"> </w:t>
      </w:r>
    </w:p>
    <w:p w:rsidR="00BF559D" w:rsidRPr="00891A31" w:rsidRDefault="00BF559D" w:rsidP="00552FAD">
      <w:pPr>
        <w:spacing w:line="360" w:lineRule="auto"/>
        <w:jc w:val="both"/>
        <w:rPr>
          <w:rFonts w:cstheme="minorHAnsi"/>
          <w:sz w:val="24"/>
          <w:szCs w:val="24"/>
          <w:shd w:val="clear" w:color="auto" w:fill="FFFFFF"/>
          <w:rtl/>
        </w:rPr>
      </w:pPr>
    </w:p>
    <w:p w:rsidR="00144CD6" w:rsidRPr="00891A31" w:rsidRDefault="00144CD6" w:rsidP="00144CD6">
      <w:pPr>
        <w:spacing w:line="360" w:lineRule="auto"/>
        <w:jc w:val="both"/>
        <w:rPr>
          <w:rFonts w:cstheme="minorHAnsi"/>
          <w:b/>
          <w:bCs/>
          <w:sz w:val="24"/>
          <w:szCs w:val="24"/>
          <w:u w:val="single"/>
        </w:rPr>
      </w:pPr>
      <w:r w:rsidRPr="00891A31">
        <w:rPr>
          <w:rFonts w:cstheme="minorHAnsi"/>
          <w:b/>
          <w:bCs/>
          <w:sz w:val="24"/>
          <w:szCs w:val="24"/>
          <w:u w:val="single"/>
          <w:rtl/>
        </w:rPr>
        <w:t>הארכת תקופת המתווה בשלושה חודשים נוספים (עד ה- 31.12.2024), בכפוף להחרגות כמפורט להלן:</w:t>
      </w:r>
    </w:p>
    <w:p w:rsidR="00144CD6" w:rsidRPr="00891A31" w:rsidRDefault="00144CD6" w:rsidP="00F90CF5">
      <w:pPr>
        <w:pStyle w:val="ListParagraph"/>
        <w:numPr>
          <w:ilvl w:val="0"/>
          <w:numId w:val="13"/>
        </w:numPr>
        <w:spacing w:after="0" w:line="360" w:lineRule="auto"/>
        <w:contextualSpacing w:val="0"/>
        <w:jc w:val="both"/>
        <w:rPr>
          <w:rFonts w:cstheme="minorHAnsi"/>
          <w:sz w:val="24"/>
          <w:szCs w:val="24"/>
        </w:rPr>
      </w:pPr>
      <w:r w:rsidRPr="00891A31">
        <w:rPr>
          <w:rFonts w:cstheme="minorHAnsi"/>
          <w:b/>
          <w:bCs/>
          <w:sz w:val="24"/>
          <w:szCs w:val="24"/>
          <w:rtl/>
        </w:rPr>
        <w:t xml:space="preserve">ביצוע התאמות באוכלוסיית הזכאים במעגל הראשון בהתייחס לתושבי הדרום - </w:t>
      </w:r>
      <w:r w:rsidRPr="00891A31">
        <w:rPr>
          <w:rFonts w:cstheme="minorHAnsi"/>
          <w:sz w:val="24"/>
          <w:szCs w:val="24"/>
          <w:rtl/>
        </w:rPr>
        <w:t>ההקלות הניתנות במסגרת המתווה יינתנו לאוכלוסייה המתגוררת או בעלת עסק הממוקם בטווח של עד 7 ק"מ מרצועת עזה</w:t>
      </w:r>
      <w:r w:rsidR="00F90CF5" w:rsidRPr="00891A31">
        <w:rPr>
          <w:rFonts w:cstheme="minorHAnsi"/>
          <w:sz w:val="24"/>
          <w:szCs w:val="24"/>
          <w:rtl/>
        </w:rPr>
        <w:t xml:space="preserve"> (במקום עד 30 ק"מ מרצועת עזה).</w:t>
      </w:r>
    </w:p>
    <w:p w:rsidR="00144CD6" w:rsidRPr="00891A31" w:rsidRDefault="00144CD6" w:rsidP="00A32FB3">
      <w:pPr>
        <w:pStyle w:val="ListParagraph"/>
        <w:numPr>
          <w:ilvl w:val="0"/>
          <w:numId w:val="13"/>
        </w:numPr>
        <w:spacing w:after="0" w:line="360" w:lineRule="auto"/>
        <w:contextualSpacing w:val="0"/>
        <w:jc w:val="both"/>
        <w:rPr>
          <w:rFonts w:cstheme="minorHAnsi"/>
          <w:sz w:val="24"/>
          <w:szCs w:val="24"/>
        </w:rPr>
      </w:pPr>
      <w:r w:rsidRPr="00891A31">
        <w:rPr>
          <w:rFonts w:cstheme="minorHAnsi"/>
          <w:b/>
          <w:bCs/>
          <w:sz w:val="24"/>
          <w:szCs w:val="24"/>
          <w:rtl/>
        </w:rPr>
        <w:t>שאר קבוצות האוכלוסייה במעגל הראשון נשארו ללא שינוי</w:t>
      </w:r>
      <w:r w:rsidR="00F90CF5" w:rsidRPr="00891A31">
        <w:rPr>
          <w:rFonts w:cstheme="minorHAnsi"/>
          <w:sz w:val="24"/>
          <w:szCs w:val="24"/>
          <w:rtl/>
        </w:rPr>
        <w:t xml:space="preserve"> - </w:t>
      </w:r>
      <w:r w:rsidRPr="00891A31">
        <w:rPr>
          <w:rFonts w:cstheme="minorHAnsi"/>
          <w:sz w:val="24"/>
          <w:szCs w:val="24"/>
          <w:rtl/>
        </w:rPr>
        <w:t xml:space="preserve">תושבי הצפון שפונו מביתם; חשבונות חטופים ונעדרים ובעלי קרבה ראשונה להרוגי המלחמה, חטופים או נעדרים; חיילי מילואים; חיילי מילואים שאושפזו לתקופה של 7 ימים לפחות בשל פציעה שנגרמה מהמלחמה; נפגעי מסיבת נובה, פסיידק ומידברן. </w:t>
      </w:r>
    </w:p>
    <w:p w:rsidR="00144CD6" w:rsidRPr="00891A31" w:rsidRDefault="00144CD6" w:rsidP="000D07B1">
      <w:pPr>
        <w:pStyle w:val="ListParagraph"/>
        <w:numPr>
          <w:ilvl w:val="0"/>
          <w:numId w:val="13"/>
        </w:numPr>
        <w:spacing w:after="0" w:line="360" w:lineRule="auto"/>
        <w:contextualSpacing w:val="0"/>
        <w:jc w:val="both"/>
        <w:rPr>
          <w:rFonts w:cstheme="minorHAnsi"/>
          <w:sz w:val="24"/>
          <w:szCs w:val="24"/>
          <w:rtl/>
        </w:rPr>
      </w:pPr>
      <w:r w:rsidRPr="00891A31">
        <w:rPr>
          <w:rFonts w:cstheme="minorHAnsi"/>
          <w:b/>
          <w:bCs/>
          <w:sz w:val="24"/>
          <w:szCs w:val="24"/>
          <w:rtl/>
        </w:rPr>
        <w:t xml:space="preserve">אין שינוי גם לגבי אופן תחולת המתווה על </w:t>
      </w:r>
      <w:r w:rsidR="000D07B1" w:rsidRPr="00891A31">
        <w:rPr>
          <w:rFonts w:cstheme="minorHAnsi"/>
          <w:b/>
          <w:bCs/>
          <w:sz w:val="24"/>
          <w:szCs w:val="24"/>
          <w:rtl/>
        </w:rPr>
        <w:t>קבוצות האוכלוסייה ב</w:t>
      </w:r>
      <w:r w:rsidRPr="00891A31">
        <w:rPr>
          <w:rFonts w:cstheme="minorHAnsi"/>
          <w:b/>
          <w:bCs/>
          <w:sz w:val="24"/>
          <w:szCs w:val="24"/>
          <w:rtl/>
        </w:rPr>
        <w:t>מעגל השני</w:t>
      </w:r>
      <w:r w:rsidRPr="00891A31">
        <w:rPr>
          <w:rFonts w:cstheme="minorHAnsi"/>
          <w:sz w:val="24"/>
          <w:szCs w:val="24"/>
          <w:rtl/>
        </w:rPr>
        <w:t xml:space="preserve">. </w:t>
      </w:r>
    </w:p>
    <w:p w:rsidR="00144CD6" w:rsidRPr="00891A31" w:rsidRDefault="00144CD6" w:rsidP="000D07B1">
      <w:pPr>
        <w:pStyle w:val="ListParagraph"/>
        <w:numPr>
          <w:ilvl w:val="0"/>
          <w:numId w:val="13"/>
        </w:numPr>
        <w:spacing w:after="0" w:line="360" w:lineRule="auto"/>
        <w:contextualSpacing w:val="0"/>
        <w:jc w:val="both"/>
        <w:rPr>
          <w:rFonts w:cstheme="minorHAnsi"/>
          <w:sz w:val="24"/>
          <w:szCs w:val="24"/>
        </w:rPr>
      </w:pPr>
      <w:r w:rsidRPr="00891A31">
        <w:rPr>
          <w:rFonts w:cstheme="minorHAnsi"/>
          <w:b/>
          <w:bCs/>
          <w:sz w:val="24"/>
          <w:szCs w:val="24"/>
          <w:rtl/>
        </w:rPr>
        <w:t xml:space="preserve">דחיית תשלומי הלוואות ומשכנתאות - </w:t>
      </w:r>
      <w:r w:rsidRPr="00891A31">
        <w:rPr>
          <w:rFonts w:cstheme="minorHAnsi"/>
          <w:sz w:val="24"/>
          <w:szCs w:val="24"/>
          <w:rtl/>
        </w:rPr>
        <w:t xml:space="preserve">התקופה להגשת הבקשות לדחיית הלוואות במסגרת המתווה, תוארך בשלושה חודשים נוספים עד לסוף שנת 2024. עם זאת, תקופת דחיית התשלומים המצטברת המקסימלית במסגרת המתווה תהיה 9 חודשים לכל הלוואה. לקוחות שדחו את התשלומים לתקופה של 9 חודשים ועדיין מתקשים מבחינה כספית לעמוד בתשלומי ההלוואה, יפנו לבנק בו מתנהל חשבונם בבקשה לבחינת הקלות. כל מקרה ייבחן </w:t>
      </w:r>
      <w:r w:rsidR="000D07B1" w:rsidRPr="00891A31">
        <w:rPr>
          <w:rFonts w:cstheme="minorHAnsi"/>
          <w:sz w:val="24"/>
          <w:szCs w:val="24"/>
          <w:rtl/>
        </w:rPr>
        <w:t xml:space="preserve">לגופו </w:t>
      </w:r>
      <w:r w:rsidRPr="00891A31">
        <w:rPr>
          <w:rFonts w:cstheme="minorHAnsi"/>
          <w:sz w:val="24"/>
          <w:szCs w:val="24"/>
          <w:rtl/>
        </w:rPr>
        <w:t xml:space="preserve">על ידי הבנק ברגישות המתאימה. </w:t>
      </w:r>
    </w:p>
    <w:p w:rsidR="00593B4F" w:rsidRPr="00891A31" w:rsidRDefault="00F90CF5" w:rsidP="00A32FB3">
      <w:pPr>
        <w:spacing w:line="360" w:lineRule="auto"/>
        <w:ind w:left="720"/>
        <w:jc w:val="both"/>
        <w:rPr>
          <w:rFonts w:cstheme="minorHAnsi"/>
          <w:sz w:val="24"/>
          <w:szCs w:val="24"/>
          <w:rtl/>
        </w:rPr>
      </w:pPr>
      <w:r w:rsidRPr="00891A31">
        <w:rPr>
          <w:rFonts w:cstheme="minorHAnsi"/>
          <w:b/>
          <w:bCs/>
          <w:sz w:val="24"/>
          <w:szCs w:val="24"/>
          <w:rtl/>
        </w:rPr>
        <w:t xml:space="preserve">חרף האמור, </w:t>
      </w:r>
      <w:r w:rsidR="003715E4" w:rsidRPr="00891A31">
        <w:rPr>
          <w:rFonts w:cstheme="minorHAnsi"/>
          <w:b/>
          <w:bCs/>
          <w:sz w:val="24"/>
          <w:szCs w:val="24"/>
          <w:rtl/>
        </w:rPr>
        <w:t xml:space="preserve">תתאפשר דחיית תשלומי הלוואות ומשכנתאות לתקופה </w:t>
      </w:r>
      <w:r w:rsidR="00BF559D" w:rsidRPr="00891A31">
        <w:rPr>
          <w:rFonts w:cstheme="minorHAnsi"/>
          <w:b/>
          <w:bCs/>
          <w:sz w:val="24"/>
          <w:szCs w:val="24"/>
          <w:rtl/>
        </w:rPr>
        <w:t xml:space="preserve">של עד 12 חודשים </w:t>
      </w:r>
      <w:r w:rsidR="00144CD6" w:rsidRPr="00891A31">
        <w:rPr>
          <w:rFonts w:cstheme="minorHAnsi"/>
          <w:b/>
          <w:bCs/>
          <w:sz w:val="24"/>
          <w:szCs w:val="24"/>
          <w:rtl/>
        </w:rPr>
        <w:t xml:space="preserve">במצטבר </w:t>
      </w:r>
      <w:r w:rsidR="003715E4" w:rsidRPr="00891A31">
        <w:rPr>
          <w:rFonts w:cstheme="minorHAnsi"/>
          <w:b/>
          <w:bCs/>
          <w:sz w:val="24"/>
          <w:szCs w:val="24"/>
          <w:rtl/>
        </w:rPr>
        <w:t>לאוכלוסייה הבאה-</w:t>
      </w:r>
      <w:r w:rsidR="003715E4" w:rsidRPr="00891A31">
        <w:rPr>
          <w:rFonts w:cstheme="minorHAnsi"/>
          <w:sz w:val="24"/>
          <w:szCs w:val="24"/>
          <w:rtl/>
        </w:rPr>
        <w:t xml:space="preserve"> </w:t>
      </w:r>
    </w:p>
    <w:p w:rsidR="003715E4" w:rsidRPr="00891A31" w:rsidRDefault="003715E4" w:rsidP="00593B4F">
      <w:pPr>
        <w:pStyle w:val="ListParagraph"/>
        <w:numPr>
          <w:ilvl w:val="0"/>
          <w:numId w:val="11"/>
        </w:numPr>
        <w:spacing w:line="360" w:lineRule="auto"/>
        <w:jc w:val="both"/>
        <w:rPr>
          <w:rFonts w:cstheme="minorHAnsi"/>
          <w:sz w:val="24"/>
          <w:szCs w:val="24"/>
          <w:rtl/>
        </w:rPr>
      </w:pPr>
      <w:r w:rsidRPr="00891A31">
        <w:rPr>
          <w:rFonts w:cstheme="minorHAnsi"/>
          <w:sz w:val="24"/>
          <w:szCs w:val="24"/>
          <w:rtl/>
        </w:rPr>
        <w:t xml:space="preserve">אוכלוסייה שמתגוררת או בעלת עסק באחד מהיישובים בצפון אשר </w:t>
      </w:r>
      <w:r w:rsidR="00593B4F" w:rsidRPr="00891A31">
        <w:rPr>
          <w:rFonts w:cstheme="minorHAnsi"/>
          <w:sz w:val="24"/>
          <w:szCs w:val="24"/>
          <w:rtl/>
        </w:rPr>
        <w:t>פונו על ידי גורם רשמי נכון לתאריך 7.11.23 ו</w:t>
      </w:r>
      <w:r w:rsidRPr="00891A31">
        <w:rPr>
          <w:rFonts w:cstheme="minorHAnsi"/>
          <w:sz w:val="24"/>
          <w:szCs w:val="24"/>
          <w:rtl/>
        </w:rPr>
        <w:t xml:space="preserve">אוכלוסייה שמתגוררת באחד מהיישובים </w:t>
      </w:r>
      <w:r w:rsidR="00FD2074" w:rsidRPr="00891A31">
        <w:rPr>
          <w:rFonts w:cstheme="minorHAnsi"/>
          <w:sz w:val="24"/>
          <w:szCs w:val="24"/>
          <w:rtl/>
        </w:rPr>
        <w:t xml:space="preserve">בצפון </w:t>
      </w:r>
      <w:r w:rsidRPr="00891A31">
        <w:rPr>
          <w:rFonts w:cstheme="minorHAnsi"/>
          <w:sz w:val="24"/>
          <w:szCs w:val="24"/>
          <w:rtl/>
        </w:rPr>
        <w:t>אשר התקבלה החלטת ממשלה לפנות את היישוב אך טרם פונה בפועל, בהתאם לרשימה המופיעה באתר בנק ישראל</w:t>
      </w:r>
      <w:r w:rsidRPr="00891A31">
        <w:rPr>
          <w:rFonts w:cstheme="minorHAnsi"/>
          <w:sz w:val="24"/>
          <w:szCs w:val="24"/>
        </w:rPr>
        <w:t>.</w:t>
      </w:r>
      <w:r w:rsidRPr="00891A31">
        <w:rPr>
          <w:rFonts w:cstheme="minorHAnsi"/>
          <w:sz w:val="24"/>
          <w:szCs w:val="24"/>
          <w:rtl/>
        </w:rPr>
        <w:t xml:space="preserve"> </w:t>
      </w:r>
    </w:p>
    <w:p w:rsidR="00593B4F" w:rsidRPr="00891A31" w:rsidRDefault="00593B4F" w:rsidP="00BF559D">
      <w:pPr>
        <w:pStyle w:val="ListParagraph"/>
        <w:numPr>
          <w:ilvl w:val="0"/>
          <w:numId w:val="11"/>
        </w:numPr>
        <w:spacing w:line="360" w:lineRule="auto"/>
        <w:jc w:val="both"/>
        <w:rPr>
          <w:rFonts w:cstheme="minorHAnsi"/>
          <w:sz w:val="24"/>
          <w:szCs w:val="24"/>
        </w:rPr>
      </w:pPr>
      <w:r w:rsidRPr="00891A31">
        <w:rPr>
          <w:rFonts w:cstheme="minorHAnsi"/>
          <w:sz w:val="24"/>
          <w:szCs w:val="24"/>
          <w:rtl/>
        </w:rPr>
        <w:t>חיילי מילואים הנמצאים בשירות מילואים פעיל בתקופת המתווה המעודכן, קרי</w:t>
      </w:r>
      <w:r w:rsidR="00BF559D" w:rsidRPr="00891A31">
        <w:rPr>
          <w:rFonts w:cstheme="minorHAnsi"/>
          <w:sz w:val="24"/>
          <w:szCs w:val="24"/>
          <w:rtl/>
        </w:rPr>
        <w:t xml:space="preserve"> בין התאריכים 1.10.24-31.12.24. </w:t>
      </w:r>
    </w:p>
    <w:p w:rsidR="00CA1D8B" w:rsidRPr="00891A31" w:rsidRDefault="00CA1D8B" w:rsidP="00891A31">
      <w:pPr>
        <w:pStyle w:val="ListParagraph"/>
        <w:spacing w:after="0" w:line="360" w:lineRule="auto"/>
        <w:ind w:left="360"/>
        <w:contextualSpacing w:val="0"/>
        <w:jc w:val="both"/>
        <w:rPr>
          <w:rFonts w:cstheme="minorHAnsi"/>
          <w:b/>
          <w:bCs/>
          <w:sz w:val="24"/>
          <w:szCs w:val="24"/>
          <w:rtl/>
        </w:rPr>
      </w:pPr>
    </w:p>
    <w:p w:rsidR="00652E0E" w:rsidRPr="00891A31" w:rsidRDefault="00652E0E" w:rsidP="00891A31">
      <w:pPr>
        <w:pStyle w:val="ListParagraph"/>
        <w:numPr>
          <w:ilvl w:val="0"/>
          <w:numId w:val="14"/>
        </w:numPr>
        <w:spacing w:after="0" w:line="360" w:lineRule="auto"/>
        <w:contextualSpacing w:val="0"/>
        <w:jc w:val="both"/>
        <w:rPr>
          <w:rFonts w:cstheme="minorHAnsi"/>
          <w:sz w:val="28"/>
          <w:szCs w:val="28"/>
        </w:rPr>
      </w:pPr>
      <w:r w:rsidRPr="00891A31">
        <w:rPr>
          <w:rFonts w:cstheme="minorHAnsi"/>
          <w:b/>
          <w:bCs/>
          <w:sz w:val="24"/>
          <w:szCs w:val="24"/>
          <w:rtl/>
        </w:rPr>
        <w:lastRenderedPageBreak/>
        <w:t xml:space="preserve">פטור מתשלום מרבית העמלות </w:t>
      </w:r>
      <w:r w:rsidR="00733A21" w:rsidRPr="00891A31">
        <w:rPr>
          <w:rFonts w:cstheme="minorHAnsi"/>
          <w:b/>
          <w:bCs/>
          <w:sz w:val="24"/>
          <w:szCs w:val="24"/>
          <w:rtl/>
        </w:rPr>
        <w:t>המשמשות לניהול השוטף של חשבון העו"ש</w:t>
      </w:r>
      <w:r w:rsidR="00593B4F" w:rsidRPr="00891A31">
        <w:rPr>
          <w:rFonts w:cstheme="minorHAnsi"/>
          <w:b/>
          <w:bCs/>
          <w:sz w:val="24"/>
          <w:szCs w:val="24"/>
          <w:rtl/>
        </w:rPr>
        <w:t xml:space="preserve"> </w:t>
      </w:r>
      <w:r w:rsidRPr="00891A31">
        <w:rPr>
          <w:rFonts w:cstheme="minorHAnsi"/>
          <w:b/>
          <w:bCs/>
          <w:sz w:val="24"/>
          <w:szCs w:val="24"/>
          <w:rtl/>
        </w:rPr>
        <w:t xml:space="preserve">ולפטור </w:t>
      </w:r>
      <w:r w:rsidR="00BF559D" w:rsidRPr="00891A31">
        <w:rPr>
          <w:rFonts w:cstheme="minorHAnsi"/>
          <w:b/>
          <w:bCs/>
          <w:sz w:val="24"/>
          <w:szCs w:val="24"/>
          <w:rtl/>
        </w:rPr>
        <w:t>מריבית על יתרת חובה בחשבון עו"ש</w:t>
      </w:r>
      <w:r w:rsidRPr="00891A31">
        <w:rPr>
          <w:rFonts w:cstheme="minorHAnsi"/>
          <w:b/>
          <w:bCs/>
          <w:sz w:val="24"/>
          <w:szCs w:val="24"/>
          <w:rtl/>
        </w:rPr>
        <w:t xml:space="preserve">- </w:t>
      </w:r>
      <w:r w:rsidRPr="00891A31">
        <w:rPr>
          <w:rFonts w:cstheme="minorHAnsi"/>
          <w:sz w:val="24"/>
          <w:szCs w:val="24"/>
          <w:rtl/>
        </w:rPr>
        <w:t xml:space="preserve">הקלות אלו יוארכו במסגרת המתווה בשלושה חודשים נוספים לאוכלוסיית המעגל הראשון, בדומה לתנאי המתווה המקוריים אשר מפורסמים </w:t>
      </w:r>
      <w:hyperlink r:id="rId14" w:history="1">
        <w:r w:rsidRPr="00BA0EB2">
          <w:rPr>
            <w:rStyle w:val="Hyperlink"/>
            <w:rFonts w:cstheme="minorHAnsi"/>
            <w:sz w:val="24"/>
            <w:szCs w:val="24"/>
            <w:rtl/>
          </w:rPr>
          <w:t>באתר האינטרנט של בנק ישראל.</w:t>
        </w:r>
      </w:hyperlink>
      <w:r w:rsidRPr="00891A31">
        <w:rPr>
          <w:rFonts w:cstheme="minorHAnsi"/>
          <w:sz w:val="24"/>
          <w:szCs w:val="24"/>
          <w:rtl/>
        </w:rPr>
        <w:t xml:space="preserve"> </w:t>
      </w:r>
    </w:p>
    <w:p w:rsidR="00BC3C04" w:rsidRPr="00891A31" w:rsidRDefault="00F61D79" w:rsidP="00891A31">
      <w:pPr>
        <w:pStyle w:val="ListParagraph"/>
        <w:numPr>
          <w:ilvl w:val="0"/>
          <w:numId w:val="14"/>
        </w:numPr>
        <w:spacing w:after="0" w:line="360" w:lineRule="auto"/>
        <w:contextualSpacing w:val="0"/>
        <w:jc w:val="both"/>
        <w:rPr>
          <w:rFonts w:cstheme="minorHAnsi"/>
        </w:rPr>
      </w:pPr>
      <w:r w:rsidRPr="00891A31">
        <w:rPr>
          <w:rFonts w:cstheme="minorHAnsi"/>
          <w:b/>
          <w:bCs/>
          <w:sz w:val="24"/>
          <w:szCs w:val="24"/>
          <w:rtl/>
        </w:rPr>
        <w:t>המשך מתן ההטבות באופן יזום ל</w:t>
      </w:r>
      <w:r w:rsidR="00733A21" w:rsidRPr="00891A31">
        <w:rPr>
          <w:rFonts w:cstheme="minorHAnsi"/>
          <w:b/>
          <w:bCs/>
          <w:sz w:val="24"/>
          <w:szCs w:val="24"/>
          <w:rtl/>
        </w:rPr>
        <w:t xml:space="preserve">חיילי מילואים שנמצאים בשירות פעיל - </w:t>
      </w:r>
      <w:r w:rsidR="00365995" w:rsidRPr="00891A31">
        <w:rPr>
          <w:rFonts w:cstheme="minorHAnsi"/>
          <w:sz w:val="24"/>
          <w:szCs w:val="24"/>
          <w:rtl/>
        </w:rPr>
        <w:t>מתן ההטבות להם ז</w:t>
      </w:r>
      <w:r w:rsidR="00733A21" w:rsidRPr="00891A31">
        <w:rPr>
          <w:rFonts w:cstheme="minorHAnsi"/>
          <w:sz w:val="24"/>
          <w:szCs w:val="24"/>
          <w:rtl/>
        </w:rPr>
        <w:t>כאים חיילי מילואי</w:t>
      </w:r>
      <w:r w:rsidR="00BC3C04" w:rsidRPr="00891A31">
        <w:rPr>
          <w:rFonts w:cstheme="minorHAnsi"/>
          <w:sz w:val="24"/>
          <w:szCs w:val="24"/>
          <w:rtl/>
        </w:rPr>
        <w:t>ם</w:t>
      </w:r>
      <w:r w:rsidR="00733A21" w:rsidRPr="00891A31">
        <w:rPr>
          <w:rFonts w:cstheme="minorHAnsi"/>
          <w:sz w:val="24"/>
          <w:szCs w:val="24"/>
          <w:rtl/>
        </w:rPr>
        <w:t xml:space="preserve"> </w:t>
      </w:r>
      <w:r w:rsidR="00D17466" w:rsidRPr="00891A31">
        <w:rPr>
          <w:rFonts w:cstheme="minorHAnsi"/>
          <w:sz w:val="24"/>
          <w:szCs w:val="24"/>
          <w:rtl/>
        </w:rPr>
        <w:t xml:space="preserve">- </w:t>
      </w:r>
      <w:r w:rsidR="00576D55" w:rsidRPr="00891A31">
        <w:rPr>
          <w:rFonts w:cstheme="minorHAnsi"/>
          <w:sz w:val="24"/>
          <w:szCs w:val="24"/>
          <w:rtl/>
        </w:rPr>
        <w:t xml:space="preserve"> </w:t>
      </w:r>
      <w:r w:rsidR="00365995" w:rsidRPr="00891A31">
        <w:rPr>
          <w:rFonts w:cstheme="minorHAnsi"/>
          <w:sz w:val="24"/>
          <w:szCs w:val="24"/>
          <w:rtl/>
        </w:rPr>
        <w:t>פטור מעמלות וספיגת ריבית ביתרת חובה ב</w:t>
      </w:r>
      <w:r w:rsidR="00BF559D" w:rsidRPr="00891A31">
        <w:rPr>
          <w:rFonts w:cstheme="minorHAnsi"/>
          <w:sz w:val="24"/>
          <w:szCs w:val="24"/>
          <w:rtl/>
        </w:rPr>
        <w:t>חשבון ה</w:t>
      </w:r>
      <w:r w:rsidR="00365995" w:rsidRPr="00891A31">
        <w:rPr>
          <w:rFonts w:cstheme="minorHAnsi"/>
          <w:sz w:val="24"/>
          <w:szCs w:val="24"/>
          <w:rtl/>
        </w:rPr>
        <w:t xml:space="preserve">עו"ש ובחשבון העסקי </w:t>
      </w:r>
      <w:r w:rsidR="00B16619" w:rsidRPr="00891A31">
        <w:rPr>
          <w:rFonts w:cstheme="minorHAnsi"/>
          <w:sz w:val="24"/>
          <w:szCs w:val="24"/>
          <w:rtl/>
        </w:rPr>
        <w:t>בהתאם לתנאי המתווה</w:t>
      </w:r>
      <w:r w:rsidR="00BC3C04" w:rsidRPr="00891A31">
        <w:rPr>
          <w:rFonts w:cstheme="minorHAnsi"/>
          <w:sz w:val="24"/>
          <w:szCs w:val="24"/>
          <w:rtl/>
        </w:rPr>
        <w:t xml:space="preserve"> (המעגל הראשון)</w:t>
      </w:r>
      <w:r w:rsidR="00D17466" w:rsidRPr="00891A31">
        <w:rPr>
          <w:rFonts w:cstheme="minorHAnsi"/>
          <w:sz w:val="24"/>
          <w:szCs w:val="24"/>
          <w:rtl/>
        </w:rPr>
        <w:t xml:space="preserve"> - </w:t>
      </w:r>
      <w:r w:rsidR="00365995" w:rsidRPr="00891A31">
        <w:rPr>
          <w:rFonts w:cstheme="minorHAnsi"/>
          <w:sz w:val="24"/>
          <w:szCs w:val="24"/>
          <w:rtl/>
        </w:rPr>
        <w:t>י</w:t>
      </w:r>
      <w:r w:rsidR="00515070" w:rsidRPr="00891A31">
        <w:rPr>
          <w:rFonts w:cstheme="minorHAnsi"/>
          <w:sz w:val="24"/>
          <w:szCs w:val="24"/>
          <w:rtl/>
        </w:rPr>
        <w:t xml:space="preserve">משיך להינתן </w:t>
      </w:r>
      <w:r w:rsidR="00365995" w:rsidRPr="00891A31">
        <w:rPr>
          <w:rFonts w:cstheme="minorHAnsi"/>
          <w:sz w:val="24"/>
          <w:szCs w:val="24"/>
          <w:rtl/>
        </w:rPr>
        <w:t>באופן יזום על ידי הבנק לתקופה של 3 חודשים</w:t>
      </w:r>
      <w:r w:rsidR="00554457" w:rsidRPr="00891A31">
        <w:rPr>
          <w:rFonts w:cstheme="minorHAnsi"/>
          <w:sz w:val="24"/>
          <w:szCs w:val="24"/>
          <w:rtl/>
        </w:rPr>
        <w:t xml:space="preserve"> נוספים. </w:t>
      </w:r>
    </w:p>
    <w:p w:rsidR="00554457" w:rsidRPr="00891A31" w:rsidRDefault="00554457" w:rsidP="00BF559D">
      <w:pPr>
        <w:pStyle w:val="ListParagraph"/>
        <w:spacing w:after="0" w:line="360" w:lineRule="auto"/>
        <w:ind w:left="360"/>
        <w:contextualSpacing w:val="0"/>
        <w:jc w:val="both"/>
        <w:rPr>
          <w:rFonts w:cstheme="minorHAnsi"/>
          <w:sz w:val="24"/>
          <w:szCs w:val="24"/>
          <w:rtl/>
        </w:rPr>
      </w:pPr>
      <w:r w:rsidRPr="00891A31">
        <w:rPr>
          <w:rFonts w:cstheme="minorHAnsi"/>
          <w:sz w:val="24"/>
          <w:szCs w:val="24"/>
          <w:rtl/>
        </w:rPr>
        <w:t xml:space="preserve">אופן זיהוי חיילי המילואים </w:t>
      </w:r>
      <w:r w:rsidR="00BC3C04" w:rsidRPr="00891A31">
        <w:rPr>
          <w:rFonts w:cstheme="minorHAnsi"/>
          <w:sz w:val="24"/>
          <w:szCs w:val="24"/>
          <w:rtl/>
        </w:rPr>
        <w:t>יהיה לפי תקבול/זיכוי שיהיה בחשבון הלקוח</w:t>
      </w:r>
      <w:r w:rsidR="000152DC" w:rsidRPr="00891A31">
        <w:rPr>
          <w:rFonts w:cstheme="minorHAnsi"/>
          <w:sz w:val="24"/>
          <w:szCs w:val="24"/>
          <w:rtl/>
        </w:rPr>
        <w:t xml:space="preserve"> בין התאריכים </w:t>
      </w:r>
      <w:r w:rsidR="00BF559D" w:rsidRPr="00891A31">
        <w:rPr>
          <w:rFonts w:cstheme="minorHAnsi"/>
          <w:sz w:val="24"/>
          <w:szCs w:val="24"/>
          <w:rtl/>
        </w:rPr>
        <w:t>1.10.24-31.12.24</w:t>
      </w:r>
      <w:r w:rsidR="00BC3C04" w:rsidRPr="00891A31">
        <w:rPr>
          <w:rFonts w:cstheme="minorHAnsi"/>
          <w:sz w:val="24"/>
          <w:szCs w:val="24"/>
          <w:rtl/>
        </w:rPr>
        <w:t xml:space="preserve"> בעקבות שירות מילואים</w:t>
      </w:r>
      <w:r w:rsidR="000152DC" w:rsidRPr="00891A31">
        <w:rPr>
          <w:rFonts w:cstheme="minorHAnsi"/>
          <w:sz w:val="24"/>
          <w:szCs w:val="24"/>
          <w:rtl/>
        </w:rPr>
        <w:t>. כ</w:t>
      </w:r>
      <w:r w:rsidRPr="00891A31">
        <w:rPr>
          <w:rFonts w:cstheme="minorHAnsi"/>
          <w:sz w:val="24"/>
          <w:szCs w:val="24"/>
          <w:rtl/>
        </w:rPr>
        <w:t>כל והלקוח שירת בשירות מילואים בתקופה האמורה ולא קיבל תקבול/זיכוי לחשבון, עליו להציג אסמכתה לבנק אודות שירות המילואים שביצע</w:t>
      </w:r>
      <w:r w:rsidR="000152DC" w:rsidRPr="00891A31">
        <w:rPr>
          <w:rFonts w:cstheme="minorHAnsi"/>
          <w:sz w:val="24"/>
          <w:szCs w:val="24"/>
          <w:rtl/>
        </w:rPr>
        <w:t xml:space="preserve"> לצורך קבלת ההטבה</w:t>
      </w:r>
      <w:r w:rsidRPr="00891A31">
        <w:rPr>
          <w:rFonts w:cstheme="minorHAnsi"/>
          <w:sz w:val="24"/>
          <w:szCs w:val="24"/>
          <w:rtl/>
        </w:rPr>
        <w:t xml:space="preserve">. </w:t>
      </w:r>
    </w:p>
    <w:p w:rsidR="00733A21" w:rsidRPr="00891A31" w:rsidRDefault="00733A21" w:rsidP="00F11EDB">
      <w:pPr>
        <w:pStyle w:val="ListParagraph"/>
        <w:spacing w:after="0" w:line="360" w:lineRule="auto"/>
        <w:contextualSpacing w:val="0"/>
        <w:jc w:val="both"/>
        <w:rPr>
          <w:rFonts w:cstheme="minorHAnsi"/>
          <w:sz w:val="24"/>
          <w:szCs w:val="24"/>
        </w:rPr>
      </w:pPr>
    </w:p>
    <w:p w:rsidR="000358D1" w:rsidRPr="00891A31" w:rsidRDefault="000358D1" w:rsidP="000358D1">
      <w:pPr>
        <w:spacing w:after="40" w:line="360" w:lineRule="auto"/>
        <w:jc w:val="both"/>
        <w:rPr>
          <w:rFonts w:cstheme="minorHAnsi"/>
          <w:b/>
          <w:bCs/>
          <w:sz w:val="24"/>
          <w:szCs w:val="24"/>
          <w:rtl/>
        </w:rPr>
      </w:pPr>
      <w:r w:rsidRPr="00891A31">
        <w:rPr>
          <w:rFonts w:cstheme="minorHAnsi"/>
          <w:b/>
          <w:bCs/>
          <w:sz w:val="24"/>
          <w:szCs w:val="24"/>
          <w:rtl/>
        </w:rPr>
        <w:t>הפיקוח על הבנקים חוזר ומבהיר, כי טרם קבלת החלטה על דחיית תשלומים נוספת בהתאם לתנאי המתווה המעודכן, ובפרט עבור לקוחות שכבר ביצעו דחיית תשלומים לתקופה ארוכה, יש לבחון היטב את הצורך בדחייה נוספת ואת מכלול השלכותיה, לרבות המחיר הכלכלי הכולל שלה.</w:t>
      </w:r>
    </w:p>
    <w:p w:rsidR="004E4B2A" w:rsidRPr="00891A31" w:rsidRDefault="004E4B2A" w:rsidP="003715E4">
      <w:pPr>
        <w:spacing w:after="40" w:line="360" w:lineRule="auto"/>
        <w:jc w:val="both"/>
        <w:rPr>
          <w:rFonts w:cstheme="minorHAnsi"/>
          <w:sz w:val="24"/>
          <w:szCs w:val="24"/>
          <w:rtl/>
        </w:rPr>
      </w:pPr>
    </w:p>
    <w:p w:rsidR="00F42389" w:rsidRPr="00891A31" w:rsidRDefault="00212EA1" w:rsidP="003715E4">
      <w:pPr>
        <w:spacing w:after="40" w:line="360" w:lineRule="auto"/>
        <w:jc w:val="both"/>
        <w:rPr>
          <w:rFonts w:cstheme="minorHAnsi"/>
          <w:sz w:val="24"/>
          <w:szCs w:val="24"/>
          <w:rtl/>
        </w:rPr>
      </w:pPr>
      <w:r w:rsidRPr="00891A31">
        <w:rPr>
          <w:rFonts w:cstheme="minorHAnsi"/>
          <w:sz w:val="24"/>
          <w:szCs w:val="24"/>
          <w:rtl/>
        </w:rPr>
        <w:t>ה</w:t>
      </w:r>
      <w:r w:rsidR="003715E4" w:rsidRPr="00891A31">
        <w:rPr>
          <w:rFonts w:cstheme="minorHAnsi"/>
          <w:sz w:val="24"/>
          <w:szCs w:val="24"/>
          <w:rtl/>
        </w:rPr>
        <w:t>ארכת</w:t>
      </w:r>
      <w:r w:rsidRPr="00891A31">
        <w:rPr>
          <w:rFonts w:cstheme="minorHAnsi"/>
          <w:sz w:val="24"/>
          <w:szCs w:val="24"/>
          <w:rtl/>
        </w:rPr>
        <w:t xml:space="preserve"> המתווה </w:t>
      </w:r>
      <w:r w:rsidR="00CE4CBD" w:rsidRPr="00891A31">
        <w:rPr>
          <w:rFonts w:cstheme="minorHAnsi"/>
          <w:sz w:val="24"/>
          <w:szCs w:val="24"/>
          <w:rtl/>
        </w:rPr>
        <w:t xml:space="preserve">לתקופה של 3 חודשים </w:t>
      </w:r>
      <w:r w:rsidR="00B16619" w:rsidRPr="00891A31">
        <w:rPr>
          <w:rFonts w:cstheme="minorHAnsi"/>
          <w:sz w:val="24"/>
          <w:szCs w:val="24"/>
          <w:rtl/>
        </w:rPr>
        <w:t xml:space="preserve">נוספים </w:t>
      </w:r>
      <w:r w:rsidRPr="00891A31">
        <w:rPr>
          <w:rFonts w:cstheme="minorHAnsi"/>
          <w:sz w:val="24"/>
          <w:szCs w:val="24"/>
          <w:rtl/>
        </w:rPr>
        <w:t>תיכנס לתוקף בתאריך 1.</w:t>
      </w:r>
      <w:r w:rsidR="00552FAD" w:rsidRPr="00891A31">
        <w:rPr>
          <w:rFonts w:cstheme="minorHAnsi"/>
          <w:sz w:val="24"/>
          <w:szCs w:val="24"/>
          <w:rtl/>
        </w:rPr>
        <w:t>10</w:t>
      </w:r>
      <w:r w:rsidRPr="00891A31">
        <w:rPr>
          <w:rFonts w:cstheme="minorHAnsi"/>
          <w:sz w:val="24"/>
          <w:szCs w:val="24"/>
          <w:rtl/>
        </w:rPr>
        <w:t xml:space="preserve">.24, </w:t>
      </w:r>
      <w:r w:rsidR="00862973" w:rsidRPr="00891A31">
        <w:rPr>
          <w:rFonts w:cstheme="minorHAnsi"/>
          <w:sz w:val="24"/>
          <w:szCs w:val="24"/>
          <w:rtl/>
        </w:rPr>
        <w:t>כמפורט בנספח א'</w:t>
      </w:r>
      <w:r w:rsidR="00F61D79" w:rsidRPr="00891A31">
        <w:rPr>
          <w:rFonts w:cstheme="minorHAnsi"/>
          <w:sz w:val="24"/>
          <w:szCs w:val="24"/>
          <w:rtl/>
        </w:rPr>
        <w:t xml:space="preserve">. </w:t>
      </w:r>
      <w:r w:rsidR="009B1264" w:rsidRPr="00891A31">
        <w:rPr>
          <w:rFonts w:cstheme="minorHAnsi"/>
          <w:sz w:val="24"/>
          <w:szCs w:val="24"/>
          <w:rtl/>
        </w:rPr>
        <w:t>ניתן להגיש</w:t>
      </w:r>
      <w:r w:rsidR="00645777" w:rsidRPr="00891A31">
        <w:rPr>
          <w:rFonts w:cstheme="minorHAnsi"/>
          <w:sz w:val="24"/>
          <w:szCs w:val="24"/>
          <w:rtl/>
        </w:rPr>
        <w:t xml:space="preserve"> בקשה להיכלל במתווה ה</w:t>
      </w:r>
      <w:r w:rsidR="003715E4" w:rsidRPr="00891A31">
        <w:rPr>
          <w:rFonts w:cstheme="minorHAnsi"/>
          <w:sz w:val="24"/>
          <w:szCs w:val="24"/>
          <w:rtl/>
        </w:rPr>
        <w:t>מעודכן</w:t>
      </w:r>
      <w:r w:rsidR="00645777" w:rsidRPr="00891A31">
        <w:rPr>
          <w:rFonts w:cstheme="minorHAnsi"/>
          <w:sz w:val="24"/>
          <w:szCs w:val="24"/>
          <w:rtl/>
        </w:rPr>
        <w:t xml:space="preserve">, </w:t>
      </w:r>
      <w:r w:rsidRPr="00891A31">
        <w:rPr>
          <w:rFonts w:cstheme="minorHAnsi"/>
          <w:sz w:val="24"/>
          <w:szCs w:val="24"/>
          <w:rtl/>
        </w:rPr>
        <w:t xml:space="preserve">בין התאריכים  </w:t>
      </w:r>
      <w:r w:rsidR="00365995" w:rsidRPr="00891A31">
        <w:rPr>
          <w:rFonts w:cstheme="minorHAnsi"/>
          <w:sz w:val="24"/>
          <w:szCs w:val="24"/>
          <w:rtl/>
        </w:rPr>
        <w:t>1.</w:t>
      </w:r>
      <w:r w:rsidR="00552FAD" w:rsidRPr="00891A31">
        <w:rPr>
          <w:rFonts w:cstheme="minorHAnsi"/>
          <w:sz w:val="24"/>
          <w:szCs w:val="24"/>
          <w:rtl/>
        </w:rPr>
        <w:t>10</w:t>
      </w:r>
      <w:r w:rsidR="00365995" w:rsidRPr="00891A31">
        <w:rPr>
          <w:rFonts w:cstheme="minorHAnsi"/>
          <w:sz w:val="24"/>
          <w:szCs w:val="24"/>
          <w:rtl/>
        </w:rPr>
        <w:t>.24-3</w:t>
      </w:r>
      <w:r w:rsidR="00552FAD" w:rsidRPr="00891A31">
        <w:rPr>
          <w:rFonts w:cstheme="minorHAnsi"/>
          <w:sz w:val="24"/>
          <w:szCs w:val="24"/>
          <w:rtl/>
        </w:rPr>
        <w:t>1</w:t>
      </w:r>
      <w:r w:rsidR="00365995" w:rsidRPr="00891A31">
        <w:rPr>
          <w:rFonts w:cstheme="minorHAnsi"/>
          <w:sz w:val="24"/>
          <w:szCs w:val="24"/>
          <w:rtl/>
        </w:rPr>
        <w:t>.</w:t>
      </w:r>
      <w:r w:rsidR="00552FAD" w:rsidRPr="00891A31">
        <w:rPr>
          <w:rFonts w:cstheme="minorHAnsi"/>
          <w:sz w:val="24"/>
          <w:szCs w:val="24"/>
          <w:rtl/>
        </w:rPr>
        <w:t>12</w:t>
      </w:r>
      <w:r w:rsidR="00365995" w:rsidRPr="00891A31">
        <w:rPr>
          <w:rFonts w:cstheme="minorHAnsi"/>
          <w:sz w:val="24"/>
          <w:szCs w:val="24"/>
          <w:rtl/>
        </w:rPr>
        <w:t>.24.</w:t>
      </w:r>
      <w:r w:rsidRPr="00891A31">
        <w:rPr>
          <w:rFonts w:cstheme="minorHAnsi"/>
          <w:sz w:val="24"/>
          <w:szCs w:val="24"/>
          <w:rtl/>
        </w:rPr>
        <w:t xml:space="preserve"> </w:t>
      </w:r>
    </w:p>
    <w:p w:rsidR="00F90CF5" w:rsidRPr="00891A31" w:rsidRDefault="00F90CF5" w:rsidP="00BC7D0B">
      <w:pPr>
        <w:spacing w:after="40" w:line="360" w:lineRule="auto"/>
        <w:jc w:val="both"/>
        <w:rPr>
          <w:rFonts w:cstheme="minorHAnsi"/>
          <w:sz w:val="24"/>
          <w:szCs w:val="24"/>
          <w:rtl/>
        </w:rPr>
      </w:pPr>
    </w:p>
    <w:p w:rsidR="00551484" w:rsidRPr="00891A31" w:rsidRDefault="00551484" w:rsidP="00A32FB3">
      <w:pPr>
        <w:spacing w:after="40" w:line="360" w:lineRule="auto"/>
        <w:jc w:val="both"/>
        <w:rPr>
          <w:rFonts w:cstheme="minorHAnsi"/>
          <w:sz w:val="24"/>
          <w:szCs w:val="24"/>
          <w:rtl/>
        </w:rPr>
      </w:pPr>
      <w:r w:rsidRPr="00891A31">
        <w:rPr>
          <w:rFonts w:cstheme="minorHAnsi"/>
          <w:sz w:val="24"/>
          <w:szCs w:val="24"/>
          <w:rtl/>
        </w:rPr>
        <w:t>המתווה שגובש מציג את תנאי המינימום</w:t>
      </w:r>
      <w:r w:rsidR="00BC7D0B" w:rsidRPr="00891A31">
        <w:rPr>
          <w:rFonts w:cstheme="minorHAnsi"/>
          <w:sz w:val="24"/>
          <w:szCs w:val="24"/>
          <w:rtl/>
        </w:rPr>
        <w:t xml:space="preserve"> וכל בנק </w:t>
      </w:r>
      <w:r w:rsidR="000358D1" w:rsidRPr="00891A31">
        <w:rPr>
          <w:rFonts w:cstheme="minorHAnsi"/>
          <w:sz w:val="24"/>
          <w:szCs w:val="24"/>
          <w:rtl/>
        </w:rPr>
        <w:t xml:space="preserve">רשאי </w:t>
      </w:r>
      <w:r w:rsidR="00BC7D0B" w:rsidRPr="00891A31">
        <w:rPr>
          <w:rFonts w:cstheme="minorHAnsi"/>
          <w:sz w:val="24"/>
          <w:szCs w:val="24"/>
          <w:rtl/>
        </w:rPr>
        <w:t xml:space="preserve">להרחיבו לטובת לקוחותיו. </w:t>
      </w:r>
      <w:r w:rsidRPr="00891A31">
        <w:rPr>
          <w:rFonts w:cstheme="minorHAnsi"/>
          <w:sz w:val="24"/>
          <w:szCs w:val="24"/>
          <w:rtl/>
        </w:rPr>
        <w:t xml:space="preserve"> </w:t>
      </w:r>
    </w:p>
    <w:p w:rsidR="00707696" w:rsidRPr="00891A31" w:rsidRDefault="00707696" w:rsidP="00707696">
      <w:pPr>
        <w:bidi w:val="0"/>
        <w:rPr>
          <w:rFonts w:cstheme="minorHAnsi"/>
          <w:b/>
          <w:bCs/>
          <w:color w:val="000000" w:themeColor="text1"/>
          <w:sz w:val="24"/>
          <w:szCs w:val="24"/>
          <w:shd w:val="clear" w:color="auto" w:fill="FFFFFF"/>
          <w:rtl/>
        </w:rPr>
      </w:pPr>
    </w:p>
    <w:p w:rsidR="00336147" w:rsidRDefault="00336147" w:rsidP="003715E4">
      <w:pPr>
        <w:tabs>
          <w:tab w:val="left" w:pos="2315"/>
        </w:tabs>
        <w:spacing w:after="0" w:line="360" w:lineRule="auto"/>
        <w:jc w:val="center"/>
        <w:rPr>
          <w:rFonts w:cstheme="minorHAnsi"/>
          <w:b/>
          <w:bCs/>
          <w:color w:val="000000" w:themeColor="text1"/>
          <w:sz w:val="24"/>
          <w:szCs w:val="24"/>
          <w:shd w:val="clear" w:color="auto" w:fill="FFFFFF"/>
          <w:rtl/>
        </w:rPr>
      </w:pPr>
    </w:p>
    <w:p w:rsidR="005A71B1" w:rsidRDefault="005A71B1" w:rsidP="003715E4">
      <w:pPr>
        <w:tabs>
          <w:tab w:val="left" w:pos="2315"/>
        </w:tabs>
        <w:spacing w:after="0" w:line="360" w:lineRule="auto"/>
        <w:jc w:val="center"/>
        <w:rPr>
          <w:rFonts w:cstheme="minorHAnsi"/>
          <w:b/>
          <w:bCs/>
          <w:color w:val="000000" w:themeColor="text1"/>
          <w:sz w:val="24"/>
          <w:szCs w:val="24"/>
          <w:shd w:val="clear" w:color="auto" w:fill="FFFFFF"/>
          <w:rtl/>
        </w:rPr>
      </w:pPr>
    </w:p>
    <w:p w:rsidR="005A71B1" w:rsidRDefault="005A71B1" w:rsidP="003715E4">
      <w:pPr>
        <w:tabs>
          <w:tab w:val="left" w:pos="2315"/>
        </w:tabs>
        <w:spacing w:after="0" w:line="360" w:lineRule="auto"/>
        <w:jc w:val="center"/>
        <w:rPr>
          <w:rFonts w:cstheme="minorHAnsi"/>
          <w:b/>
          <w:bCs/>
          <w:color w:val="000000" w:themeColor="text1"/>
          <w:sz w:val="24"/>
          <w:szCs w:val="24"/>
          <w:shd w:val="clear" w:color="auto" w:fill="FFFFFF"/>
          <w:rtl/>
        </w:rPr>
      </w:pPr>
    </w:p>
    <w:p w:rsidR="005A71B1" w:rsidRDefault="005A71B1" w:rsidP="003715E4">
      <w:pPr>
        <w:tabs>
          <w:tab w:val="left" w:pos="2315"/>
        </w:tabs>
        <w:spacing w:after="0" w:line="360" w:lineRule="auto"/>
        <w:jc w:val="center"/>
        <w:rPr>
          <w:rFonts w:cstheme="minorHAnsi"/>
          <w:b/>
          <w:bCs/>
          <w:color w:val="000000" w:themeColor="text1"/>
          <w:sz w:val="24"/>
          <w:szCs w:val="24"/>
          <w:shd w:val="clear" w:color="auto" w:fill="FFFFFF"/>
          <w:rtl/>
        </w:rPr>
      </w:pPr>
    </w:p>
    <w:p w:rsidR="005A71B1" w:rsidRDefault="005A71B1" w:rsidP="003715E4">
      <w:pPr>
        <w:tabs>
          <w:tab w:val="left" w:pos="2315"/>
        </w:tabs>
        <w:spacing w:after="0" w:line="360" w:lineRule="auto"/>
        <w:jc w:val="center"/>
        <w:rPr>
          <w:rFonts w:cstheme="minorHAnsi"/>
          <w:b/>
          <w:bCs/>
          <w:color w:val="000000" w:themeColor="text1"/>
          <w:sz w:val="24"/>
          <w:szCs w:val="24"/>
          <w:shd w:val="clear" w:color="auto" w:fill="FFFFFF"/>
          <w:rtl/>
        </w:rPr>
      </w:pPr>
    </w:p>
    <w:p w:rsidR="005A71B1" w:rsidRDefault="005A71B1" w:rsidP="003715E4">
      <w:pPr>
        <w:tabs>
          <w:tab w:val="left" w:pos="2315"/>
        </w:tabs>
        <w:spacing w:after="0" w:line="360" w:lineRule="auto"/>
        <w:jc w:val="center"/>
        <w:rPr>
          <w:rFonts w:cstheme="minorHAnsi"/>
          <w:b/>
          <w:bCs/>
          <w:color w:val="000000" w:themeColor="text1"/>
          <w:sz w:val="24"/>
          <w:szCs w:val="24"/>
          <w:shd w:val="clear" w:color="auto" w:fill="FFFFFF"/>
          <w:rtl/>
        </w:rPr>
      </w:pPr>
    </w:p>
    <w:p w:rsidR="005A71B1" w:rsidRDefault="005A71B1" w:rsidP="003715E4">
      <w:pPr>
        <w:tabs>
          <w:tab w:val="left" w:pos="2315"/>
        </w:tabs>
        <w:spacing w:after="0" w:line="360" w:lineRule="auto"/>
        <w:jc w:val="center"/>
        <w:rPr>
          <w:rFonts w:cstheme="minorHAnsi"/>
          <w:b/>
          <w:bCs/>
          <w:color w:val="000000" w:themeColor="text1"/>
          <w:sz w:val="24"/>
          <w:szCs w:val="24"/>
          <w:shd w:val="clear" w:color="auto" w:fill="FFFFFF"/>
          <w:rtl/>
        </w:rPr>
      </w:pPr>
    </w:p>
    <w:p w:rsidR="005A71B1" w:rsidRDefault="005A71B1" w:rsidP="003715E4">
      <w:pPr>
        <w:tabs>
          <w:tab w:val="left" w:pos="2315"/>
        </w:tabs>
        <w:spacing w:after="0" w:line="360" w:lineRule="auto"/>
        <w:jc w:val="center"/>
        <w:rPr>
          <w:rFonts w:cstheme="minorHAnsi"/>
          <w:b/>
          <w:bCs/>
          <w:color w:val="000000" w:themeColor="text1"/>
          <w:sz w:val="24"/>
          <w:szCs w:val="24"/>
          <w:shd w:val="clear" w:color="auto" w:fill="FFFFFF"/>
          <w:rtl/>
        </w:rPr>
      </w:pPr>
    </w:p>
    <w:p w:rsidR="005A71B1" w:rsidRPr="00891A31" w:rsidRDefault="005A71B1" w:rsidP="003715E4">
      <w:pPr>
        <w:tabs>
          <w:tab w:val="left" w:pos="2315"/>
        </w:tabs>
        <w:spacing w:after="0" w:line="360" w:lineRule="auto"/>
        <w:jc w:val="center"/>
        <w:rPr>
          <w:rFonts w:cstheme="minorHAnsi"/>
          <w:b/>
          <w:bCs/>
          <w:sz w:val="28"/>
          <w:szCs w:val="28"/>
          <w:u w:val="single"/>
          <w:rtl/>
        </w:rPr>
      </w:pPr>
    </w:p>
    <w:p w:rsidR="0027581E" w:rsidRPr="00891A31" w:rsidRDefault="002038AB" w:rsidP="003715E4">
      <w:pPr>
        <w:tabs>
          <w:tab w:val="left" w:pos="2315"/>
        </w:tabs>
        <w:spacing w:after="0" w:line="360" w:lineRule="auto"/>
        <w:jc w:val="center"/>
        <w:rPr>
          <w:rFonts w:cstheme="minorHAnsi"/>
          <w:b/>
          <w:bCs/>
          <w:sz w:val="28"/>
          <w:szCs w:val="28"/>
          <w:u w:val="single"/>
          <w:rtl/>
        </w:rPr>
      </w:pPr>
      <w:r w:rsidRPr="00891A31">
        <w:rPr>
          <w:rFonts w:cstheme="minorHAnsi"/>
          <w:b/>
          <w:bCs/>
          <w:sz w:val="28"/>
          <w:szCs w:val="28"/>
          <w:u w:val="single"/>
          <w:rtl/>
        </w:rPr>
        <w:lastRenderedPageBreak/>
        <w:t xml:space="preserve">נספח א' </w:t>
      </w:r>
      <w:r w:rsidR="00707696" w:rsidRPr="00891A31">
        <w:rPr>
          <w:rFonts w:cstheme="minorHAnsi"/>
          <w:b/>
          <w:bCs/>
          <w:sz w:val="28"/>
          <w:szCs w:val="28"/>
          <w:u w:val="single"/>
          <w:rtl/>
        </w:rPr>
        <w:t>–</w:t>
      </w:r>
      <w:r w:rsidRPr="00891A31">
        <w:rPr>
          <w:rFonts w:cstheme="minorHAnsi"/>
          <w:b/>
          <w:bCs/>
          <w:sz w:val="28"/>
          <w:szCs w:val="28"/>
          <w:u w:val="single"/>
          <w:rtl/>
        </w:rPr>
        <w:t xml:space="preserve"> </w:t>
      </w:r>
      <w:r w:rsidR="00686B6D" w:rsidRPr="00891A31">
        <w:rPr>
          <w:rFonts w:cstheme="minorHAnsi"/>
          <w:b/>
          <w:bCs/>
          <w:sz w:val="28"/>
          <w:szCs w:val="28"/>
          <w:u w:val="single"/>
          <w:rtl/>
        </w:rPr>
        <w:t>ה</w:t>
      </w:r>
      <w:r w:rsidR="00707696" w:rsidRPr="00891A31">
        <w:rPr>
          <w:rFonts w:cstheme="minorHAnsi"/>
          <w:b/>
          <w:bCs/>
          <w:sz w:val="28"/>
          <w:szCs w:val="28"/>
          <w:u w:val="single"/>
          <w:rtl/>
        </w:rPr>
        <w:t xml:space="preserve">ארכת </w:t>
      </w:r>
      <w:r w:rsidR="0027581E" w:rsidRPr="00891A31">
        <w:rPr>
          <w:rFonts w:cstheme="minorHAnsi"/>
          <w:b/>
          <w:bCs/>
          <w:sz w:val="28"/>
          <w:szCs w:val="28"/>
          <w:u w:val="single"/>
          <w:rtl/>
        </w:rPr>
        <w:t xml:space="preserve">מתווה </w:t>
      </w:r>
      <w:r w:rsidR="00686B6D" w:rsidRPr="00891A31">
        <w:rPr>
          <w:rFonts w:cstheme="minorHAnsi"/>
          <w:b/>
          <w:bCs/>
          <w:sz w:val="28"/>
          <w:szCs w:val="28"/>
          <w:u w:val="single"/>
          <w:rtl/>
        </w:rPr>
        <w:t>הסיוע ה</w:t>
      </w:r>
      <w:r w:rsidR="0027581E" w:rsidRPr="00891A31">
        <w:rPr>
          <w:rFonts w:cstheme="minorHAnsi"/>
          <w:b/>
          <w:bCs/>
          <w:sz w:val="28"/>
          <w:szCs w:val="28"/>
          <w:u w:val="single"/>
          <w:rtl/>
        </w:rPr>
        <w:t>מקיף</w:t>
      </w:r>
      <w:r w:rsidR="00686B6D" w:rsidRPr="00891A31">
        <w:rPr>
          <w:rFonts w:cstheme="minorHAnsi"/>
          <w:b/>
          <w:bCs/>
          <w:sz w:val="28"/>
          <w:szCs w:val="28"/>
          <w:u w:val="single"/>
          <w:rtl/>
        </w:rPr>
        <w:t>,</w:t>
      </w:r>
      <w:r w:rsidR="0027581E" w:rsidRPr="00891A31">
        <w:rPr>
          <w:rFonts w:cstheme="minorHAnsi"/>
          <w:b/>
          <w:bCs/>
          <w:sz w:val="28"/>
          <w:szCs w:val="28"/>
          <w:u w:val="single"/>
          <w:rtl/>
        </w:rPr>
        <w:t xml:space="preserve"> שאומץ על ידי הבנקים</w:t>
      </w:r>
      <w:r w:rsidR="00686B6D" w:rsidRPr="00891A31">
        <w:rPr>
          <w:rFonts w:cstheme="minorHAnsi"/>
          <w:b/>
          <w:bCs/>
          <w:sz w:val="28"/>
          <w:szCs w:val="28"/>
          <w:u w:val="single"/>
          <w:rtl/>
        </w:rPr>
        <w:t>,</w:t>
      </w:r>
      <w:r w:rsidR="0027581E" w:rsidRPr="00891A31">
        <w:rPr>
          <w:rFonts w:cstheme="minorHAnsi"/>
          <w:b/>
          <w:bCs/>
          <w:sz w:val="28"/>
          <w:szCs w:val="28"/>
          <w:u w:val="single"/>
          <w:rtl/>
        </w:rPr>
        <w:t xml:space="preserve"> בהתמודדות עם </w:t>
      </w:r>
    </w:p>
    <w:p w:rsidR="0027581E" w:rsidRPr="00891A31" w:rsidRDefault="0027581E" w:rsidP="003715E4">
      <w:pPr>
        <w:tabs>
          <w:tab w:val="left" w:pos="2315"/>
        </w:tabs>
        <w:spacing w:after="0" w:line="360" w:lineRule="auto"/>
        <w:jc w:val="center"/>
        <w:rPr>
          <w:rFonts w:cstheme="minorHAnsi"/>
          <w:b/>
          <w:bCs/>
          <w:sz w:val="28"/>
          <w:szCs w:val="28"/>
          <w:u w:val="single"/>
          <w:rtl/>
        </w:rPr>
      </w:pPr>
      <w:r w:rsidRPr="00891A31">
        <w:rPr>
          <w:rFonts w:cstheme="minorHAnsi"/>
          <w:b/>
          <w:bCs/>
          <w:sz w:val="28"/>
          <w:szCs w:val="28"/>
          <w:u w:val="single"/>
          <w:rtl/>
        </w:rPr>
        <w:t>השלכות מלחמת "חרבות הברזל"</w:t>
      </w:r>
      <w:r w:rsidR="00686B6D" w:rsidRPr="00891A31">
        <w:rPr>
          <w:rFonts w:cstheme="minorHAnsi"/>
          <w:b/>
          <w:bCs/>
          <w:sz w:val="28"/>
          <w:szCs w:val="28"/>
          <w:u w:val="single"/>
          <w:rtl/>
        </w:rPr>
        <w:t xml:space="preserve">, החל מתאריך </w:t>
      </w:r>
      <w:r w:rsidR="00305B79" w:rsidRPr="00891A31">
        <w:rPr>
          <w:rFonts w:cstheme="minorHAnsi"/>
          <w:b/>
          <w:bCs/>
          <w:sz w:val="28"/>
          <w:szCs w:val="28"/>
          <w:u w:val="single"/>
          <w:rtl/>
        </w:rPr>
        <w:t>1.</w:t>
      </w:r>
      <w:r w:rsidR="003715E4" w:rsidRPr="00891A31">
        <w:rPr>
          <w:rFonts w:cstheme="minorHAnsi"/>
          <w:b/>
          <w:bCs/>
          <w:sz w:val="28"/>
          <w:szCs w:val="28"/>
          <w:u w:val="single"/>
          <w:rtl/>
        </w:rPr>
        <w:t>10</w:t>
      </w:r>
      <w:r w:rsidR="00305B79" w:rsidRPr="00891A31">
        <w:rPr>
          <w:rFonts w:cstheme="minorHAnsi"/>
          <w:b/>
          <w:bCs/>
          <w:sz w:val="28"/>
          <w:szCs w:val="28"/>
          <w:u w:val="single"/>
          <w:rtl/>
        </w:rPr>
        <w:t>.24</w:t>
      </w:r>
    </w:p>
    <w:p w:rsidR="0027581E" w:rsidRPr="00891A31" w:rsidRDefault="0027581E" w:rsidP="0027581E">
      <w:pPr>
        <w:spacing w:after="0" w:line="240" w:lineRule="auto"/>
        <w:rPr>
          <w:rFonts w:eastAsia="Times New Roman" w:cstheme="minorHAnsi"/>
          <w:color w:val="000000"/>
          <w:sz w:val="24"/>
          <w:szCs w:val="24"/>
          <w:rtl/>
        </w:rPr>
      </w:pPr>
    </w:p>
    <w:tbl>
      <w:tblPr>
        <w:tblStyle w:val="TableGrid"/>
        <w:bidiVisual/>
        <w:tblW w:w="10024" w:type="dxa"/>
        <w:tblLook w:val="04A0" w:firstRow="1" w:lastRow="0" w:firstColumn="1" w:lastColumn="0" w:noHBand="0" w:noVBand="1"/>
      </w:tblPr>
      <w:tblGrid>
        <w:gridCol w:w="1297"/>
        <w:gridCol w:w="2517"/>
        <w:gridCol w:w="1784"/>
        <w:gridCol w:w="1405"/>
        <w:gridCol w:w="3021"/>
      </w:tblGrid>
      <w:tr w:rsidR="0027581E" w:rsidRPr="00891A31" w:rsidTr="000E2F81">
        <w:tc>
          <w:tcPr>
            <w:tcW w:w="10024" w:type="dxa"/>
            <w:gridSpan w:val="5"/>
          </w:tcPr>
          <w:p w:rsidR="0027581E" w:rsidRPr="00891A31" w:rsidRDefault="0027581E" w:rsidP="000E2F81">
            <w:pPr>
              <w:spacing w:line="360" w:lineRule="auto"/>
              <w:jc w:val="center"/>
              <w:rPr>
                <w:rFonts w:cstheme="minorHAnsi"/>
                <w:b/>
                <w:bCs/>
                <w:color w:val="002060"/>
                <w:sz w:val="28"/>
                <w:szCs w:val="28"/>
                <w:rtl/>
              </w:rPr>
            </w:pPr>
            <w:r w:rsidRPr="00891A31">
              <w:rPr>
                <w:rFonts w:eastAsia="Times New Roman" w:cstheme="minorHAnsi"/>
                <w:b/>
                <w:bCs/>
                <w:color w:val="C00000"/>
                <w:sz w:val="28"/>
                <w:szCs w:val="28"/>
                <w:rtl/>
              </w:rPr>
              <w:t xml:space="preserve">מעגל ראשון </w:t>
            </w:r>
          </w:p>
          <w:p w:rsidR="0027581E" w:rsidRPr="00891A31" w:rsidRDefault="0027581E" w:rsidP="00B00ACB">
            <w:pPr>
              <w:spacing w:line="360" w:lineRule="auto"/>
              <w:jc w:val="both"/>
              <w:rPr>
                <w:rFonts w:cstheme="minorHAnsi"/>
                <w:b/>
                <w:bCs/>
                <w:color w:val="002060"/>
                <w:sz w:val="28"/>
                <w:szCs w:val="28"/>
                <w:rtl/>
              </w:rPr>
            </w:pPr>
            <w:r w:rsidRPr="00891A31">
              <w:rPr>
                <w:rFonts w:cstheme="minorHAnsi"/>
                <w:b/>
                <w:bCs/>
                <w:color w:val="002060"/>
                <w:sz w:val="28"/>
                <w:szCs w:val="28"/>
                <w:rtl/>
              </w:rPr>
              <w:t xml:space="preserve">קבוצת הלקוחות: </w:t>
            </w:r>
          </w:p>
          <w:p w:rsidR="0027581E" w:rsidRPr="00891A31" w:rsidRDefault="0027581E" w:rsidP="00552FAD">
            <w:pPr>
              <w:pStyle w:val="ListParagraph"/>
              <w:numPr>
                <w:ilvl w:val="0"/>
                <w:numId w:val="1"/>
              </w:numPr>
              <w:spacing w:line="360" w:lineRule="auto"/>
              <w:jc w:val="both"/>
              <w:rPr>
                <w:rFonts w:eastAsia="Times New Roman" w:cstheme="minorHAnsi"/>
                <w:b/>
                <w:bCs/>
                <w:color w:val="002060"/>
                <w:sz w:val="28"/>
                <w:szCs w:val="28"/>
              </w:rPr>
            </w:pPr>
            <w:r w:rsidRPr="00891A31">
              <w:rPr>
                <w:rFonts w:eastAsia="Times New Roman" w:cstheme="minorHAnsi"/>
                <w:b/>
                <w:bCs/>
                <w:color w:val="002060"/>
                <w:sz w:val="28"/>
                <w:szCs w:val="28"/>
                <w:rtl/>
              </w:rPr>
              <w:t xml:space="preserve">אוכלוסייה המתגוררת </w:t>
            </w:r>
            <w:r w:rsidR="006F5C83" w:rsidRPr="00891A31">
              <w:rPr>
                <w:rFonts w:eastAsia="Times New Roman" w:cstheme="minorHAnsi"/>
                <w:b/>
                <w:bCs/>
                <w:color w:val="002060"/>
                <w:sz w:val="28"/>
                <w:szCs w:val="28"/>
                <w:rtl/>
              </w:rPr>
              <w:t xml:space="preserve">או בעלת עסק </w:t>
            </w:r>
            <w:r w:rsidRPr="00891A31">
              <w:rPr>
                <w:rFonts w:eastAsia="Times New Roman" w:cstheme="minorHAnsi"/>
                <w:b/>
                <w:bCs/>
                <w:color w:val="002060"/>
                <w:sz w:val="28"/>
                <w:szCs w:val="28"/>
                <w:rtl/>
              </w:rPr>
              <w:t xml:space="preserve">במרחק של עד </w:t>
            </w:r>
            <w:r w:rsidR="00552FAD" w:rsidRPr="00891A31">
              <w:rPr>
                <w:rFonts w:eastAsia="Times New Roman" w:cstheme="minorHAnsi"/>
                <w:b/>
                <w:bCs/>
                <w:color w:val="002060"/>
                <w:sz w:val="28"/>
                <w:szCs w:val="28"/>
                <w:rtl/>
              </w:rPr>
              <w:t>7</w:t>
            </w:r>
            <w:r w:rsidRPr="00891A31">
              <w:rPr>
                <w:rFonts w:eastAsia="Times New Roman" w:cstheme="minorHAnsi"/>
                <w:b/>
                <w:bCs/>
                <w:color w:val="002060"/>
                <w:sz w:val="28"/>
                <w:szCs w:val="28"/>
                <w:rtl/>
              </w:rPr>
              <w:t xml:space="preserve"> ק"מ מרצועת עזה</w:t>
            </w:r>
            <w:r w:rsidR="006F5C83" w:rsidRPr="00891A31">
              <w:rPr>
                <w:rFonts w:eastAsia="Times New Roman" w:cstheme="minorHAnsi"/>
                <w:b/>
                <w:bCs/>
                <w:color w:val="002060"/>
                <w:sz w:val="28"/>
                <w:szCs w:val="28"/>
                <w:rtl/>
              </w:rPr>
              <w:t>.</w:t>
            </w:r>
            <w:r w:rsidRPr="00891A31">
              <w:rPr>
                <w:rFonts w:eastAsia="Times New Roman" w:cstheme="minorHAnsi"/>
                <w:b/>
                <w:bCs/>
                <w:color w:val="002060"/>
                <w:sz w:val="28"/>
                <w:szCs w:val="28"/>
                <w:rtl/>
              </w:rPr>
              <w:t xml:space="preserve"> </w:t>
            </w:r>
          </w:p>
          <w:p w:rsidR="0027581E" w:rsidRPr="00891A31" w:rsidRDefault="0027581E" w:rsidP="003715E4">
            <w:pPr>
              <w:pStyle w:val="ListParagraph"/>
              <w:numPr>
                <w:ilvl w:val="0"/>
                <w:numId w:val="1"/>
              </w:numPr>
              <w:spacing w:line="360" w:lineRule="auto"/>
              <w:jc w:val="both"/>
              <w:rPr>
                <w:rFonts w:eastAsia="Times New Roman" w:cstheme="minorHAnsi"/>
                <w:b/>
                <w:bCs/>
                <w:color w:val="002060"/>
                <w:sz w:val="28"/>
                <w:szCs w:val="28"/>
              </w:rPr>
            </w:pPr>
            <w:r w:rsidRPr="00891A31">
              <w:rPr>
                <w:rFonts w:eastAsia="Times New Roman" w:cstheme="minorHAnsi"/>
                <w:b/>
                <w:bCs/>
                <w:color w:val="002060"/>
                <w:sz w:val="28"/>
                <w:szCs w:val="28"/>
                <w:rtl/>
              </w:rPr>
              <w:t xml:space="preserve">אוכלוסייה שפונתה </w:t>
            </w:r>
            <w:r w:rsidR="006F5C83" w:rsidRPr="00891A31">
              <w:rPr>
                <w:rFonts w:eastAsia="Times New Roman" w:cstheme="minorHAnsi"/>
                <w:b/>
                <w:bCs/>
                <w:color w:val="002060"/>
                <w:sz w:val="28"/>
                <w:szCs w:val="28"/>
                <w:rtl/>
              </w:rPr>
              <w:t xml:space="preserve">מביתה </w:t>
            </w:r>
            <w:r w:rsidRPr="00891A31">
              <w:rPr>
                <w:rFonts w:eastAsia="Times New Roman" w:cstheme="minorHAnsi"/>
                <w:b/>
                <w:bCs/>
                <w:color w:val="002060"/>
                <w:sz w:val="28"/>
                <w:szCs w:val="28"/>
                <w:rtl/>
              </w:rPr>
              <w:t>על ידי גורם רשמי</w:t>
            </w:r>
            <w:r w:rsidR="006F5C83" w:rsidRPr="00891A31">
              <w:rPr>
                <w:rFonts w:eastAsia="Times New Roman" w:cstheme="minorHAnsi"/>
                <w:b/>
                <w:bCs/>
                <w:color w:val="002060"/>
                <w:sz w:val="28"/>
                <w:szCs w:val="28"/>
                <w:rtl/>
              </w:rPr>
              <w:t xml:space="preserve"> </w:t>
            </w:r>
            <w:r w:rsidRPr="00891A31">
              <w:rPr>
                <w:rFonts w:eastAsia="Times New Roman" w:cstheme="minorHAnsi"/>
                <w:b/>
                <w:bCs/>
                <w:color w:val="002060"/>
                <w:sz w:val="28"/>
                <w:szCs w:val="28"/>
                <w:rtl/>
              </w:rPr>
              <w:t>נכון ל</w:t>
            </w:r>
            <w:r w:rsidR="006F5C83" w:rsidRPr="00891A31">
              <w:rPr>
                <w:rFonts w:eastAsia="Times New Roman" w:cstheme="minorHAnsi"/>
                <w:b/>
                <w:bCs/>
                <w:color w:val="002060"/>
                <w:sz w:val="28"/>
                <w:szCs w:val="28"/>
                <w:rtl/>
              </w:rPr>
              <w:t xml:space="preserve">תאריך 7.11.23, והמתגוררת באחד מהישובים המופיעים ברשימות המפורסמות </w:t>
            </w:r>
            <w:bookmarkStart w:id="0" w:name="_GoBack"/>
            <w:r w:rsidR="00293FC7">
              <w:rPr>
                <w:rFonts w:eastAsia="Times New Roman" w:cstheme="minorHAnsi"/>
                <w:b/>
                <w:bCs/>
                <w:color w:val="002060"/>
                <w:sz w:val="28"/>
                <w:szCs w:val="28"/>
                <w:rtl/>
              </w:rPr>
              <w:fldChar w:fldCharType="begin"/>
            </w:r>
            <w:r w:rsidR="00293FC7">
              <w:rPr>
                <w:rFonts w:eastAsia="Times New Roman" w:cstheme="minorHAnsi"/>
                <w:b/>
                <w:bCs/>
                <w:color w:val="002060"/>
                <w:sz w:val="28"/>
                <w:szCs w:val="28"/>
                <w:rtl/>
              </w:rPr>
              <w:instrText xml:space="preserve"> </w:instrText>
            </w:r>
            <w:r w:rsidR="00293FC7">
              <w:rPr>
                <w:rFonts w:eastAsia="Times New Roman" w:cstheme="minorHAnsi"/>
                <w:b/>
                <w:bCs/>
                <w:color w:val="002060"/>
                <w:sz w:val="28"/>
                <w:szCs w:val="28"/>
              </w:rPr>
              <w:instrText>HYPERLINK</w:instrText>
            </w:r>
            <w:r w:rsidR="00293FC7">
              <w:rPr>
                <w:rFonts w:eastAsia="Times New Roman" w:cstheme="minorHAnsi"/>
                <w:b/>
                <w:bCs/>
                <w:color w:val="002060"/>
                <w:sz w:val="28"/>
                <w:szCs w:val="28"/>
                <w:rtl/>
              </w:rPr>
              <w:instrText xml:space="preserve"> "</w:instrText>
            </w:r>
            <w:r w:rsidR="00293FC7">
              <w:rPr>
                <w:rFonts w:eastAsia="Times New Roman" w:cstheme="minorHAnsi"/>
                <w:b/>
                <w:bCs/>
                <w:color w:val="002060"/>
                <w:sz w:val="28"/>
                <w:szCs w:val="28"/>
              </w:rPr>
              <w:instrText>https://www.boi.org.il/bank-of-israel/iron-swords/boi-outline-banksoctober2024</w:instrText>
            </w:r>
            <w:r w:rsidR="00293FC7">
              <w:rPr>
                <w:rFonts w:eastAsia="Times New Roman" w:cstheme="minorHAnsi"/>
                <w:b/>
                <w:bCs/>
                <w:color w:val="002060"/>
                <w:sz w:val="28"/>
                <w:szCs w:val="28"/>
                <w:rtl/>
              </w:rPr>
              <w:instrText xml:space="preserve">/" </w:instrText>
            </w:r>
            <w:r w:rsidR="00293FC7">
              <w:rPr>
                <w:rFonts w:eastAsia="Times New Roman" w:cstheme="minorHAnsi"/>
                <w:b/>
                <w:bCs/>
                <w:color w:val="002060"/>
                <w:sz w:val="28"/>
                <w:szCs w:val="28"/>
                <w:rtl/>
              </w:rPr>
            </w:r>
            <w:r w:rsidR="00293FC7">
              <w:rPr>
                <w:rFonts w:eastAsia="Times New Roman" w:cstheme="minorHAnsi"/>
                <w:b/>
                <w:bCs/>
                <w:color w:val="002060"/>
                <w:sz w:val="28"/>
                <w:szCs w:val="28"/>
                <w:rtl/>
              </w:rPr>
              <w:fldChar w:fldCharType="separate"/>
            </w:r>
            <w:r w:rsidR="006F5C83" w:rsidRPr="00293FC7">
              <w:rPr>
                <w:rStyle w:val="Hyperlink"/>
                <w:rFonts w:eastAsia="Times New Roman" w:cstheme="minorHAnsi"/>
                <w:b/>
                <w:bCs/>
                <w:sz w:val="28"/>
                <w:szCs w:val="28"/>
                <w:rtl/>
              </w:rPr>
              <w:t>באתר בנק ישר</w:t>
            </w:r>
            <w:r w:rsidR="006F5C83" w:rsidRPr="00293FC7">
              <w:rPr>
                <w:rStyle w:val="Hyperlink"/>
                <w:rFonts w:eastAsia="Times New Roman" w:cstheme="minorHAnsi"/>
                <w:b/>
                <w:bCs/>
                <w:sz w:val="28"/>
                <w:szCs w:val="28"/>
                <w:rtl/>
              </w:rPr>
              <w:t>א</w:t>
            </w:r>
            <w:r w:rsidR="006F5C83" w:rsidRPr="00293FC7">
              <w:rPr>
                <w:rStyle w:val="Hyperlink"/>
                <w:rFonts w:eastAsia="Times New Roman" w:cstheme="minorHAnsi"/>
                <w:b/>
                <w:bCs/>
                <w:sz w:val="28"/>
                <w:szCs w:val="28"/>
                <w:rtl/>
              </w:rPr>
              <w:t>ל</w:t>
            </w:r>
            <w:r w:rsidR="003A4DD8" w:rsidRPr="00293FC7">
              <w:rPr>
                <w:rStyle w:val="Hyperlink"/>
                <w:rFonts w:eastAsia="Times New Roman" w:cstheme="minorHAnsi"/>
                <w:b/>
                <w:bCs/>
                <w:sz w:val="28"/>
                <w:szCs w:val="28"/>
                <w:rtl/>
              </w:rPr>
              <w:t>,</w:t>
            </w:r>
            <w:r w:rsidR="00293FC7">
              <w:rPr>
                <w:rFonts w:eastAsia="Times New Roman" w:cstheme="minorHAnsi"/>
                <w:b/>
                <w:bCs/>
                <w:color w:val="002060"/>
                <w:sz w:val="28"/>
                <w:szCs w:val="28"/>
                <w:rtl/>
              </w:rPr>
              <w:fldChar w:fldCharType="end"/>
            </w:r>
            <w:bookmarkEnd w:id="0"/>
            <w:r w:rsidR="003A4DD8" w:rsidRPr="00891A31">
              <w:rPr>
                <w:rFonts w:eastAsia="Times New Roman" w:cstheme="minorHAnsi"/>
                <w:b/>
                <w:bCs/>
                <w:color w:val="002060"/>
                <w:sz w:val="28"/>
                <w:szCs w:val="28"/>
                <w:rtl/>
              </w:rPr>
              <w:t xml:space="preserve"> או </w:t>
            </w:r>
            <w:r w:rsidR="00645777" w:rsidRPr="00891A31">
              <w:rPr>
                <w:rFonts w:eastAsia="Times New Roman" w:cstheme="minorHAnsi"/>
                <w:b/>
                <w:bCs/>
                <w:color w:val="002060"/>
                <w:sz w:val="28"/>
                <w:szCs w:val="28"/>
                <w:rtl/>
              </w:rPr>
              <w:t xml:space="preserve">שמתגוררת באחד מהיישובים אשר </w:t>
            </w:r>
            <w:r w:rsidR="003A4DD8" w:rsidRPr="00891A31">
              <w:rPr>
                <w:rFonts w:eastAsia="Times New Roman" w:cstheme="minorHAnsi"/>
                <w:b/>
                <w:bCs/>
                <w:color w:val="002060"/>
                <w:sz w:val="28"/>
                <w:szCs w:val="28"/>
                <w:rtl/>
              </w:rPr>
              <w:t>התקבלה החלטת ממשלה לפנות את היישוב</w:t>
            </w:r>
            <w:r w:rsidR="00645777" w:rsidRPr="00891A31">
              <w:rPr>
                <w:rFonts w:eastAsia="Times New Roman" w:cstheme="minorHAnsi"/>
                <w:b/>
                <w:bCs/>
                <w:color w:val="002060"/>
                <w:sz w:val="28"/>
                <w:szCs w:val="28"/>
                <w:rtl/>
              </w:rPr>
              <w:t xml:space="preserve"> אך טרם פונה בפועל</w:t>
            </w:r>
            <w:r w:rsidR="003A4DD8" w:rsidRPr="00891A31">
              <w:rPr>
                <w:rFonts w:eastAsia="Times New Roman" w:cstheme="minorHAnsi"/>
                <w:b/>
                <w:bCs/>
                <w:color w:val="002060"/>
                <w:sz w:val="28"/>
                <w:szCs w:val="28"/>
                <w:rtl/>
              </w:rPr>
              <w:t>, בהתאם לרשימה המופיעה באתר בנק ישראל</w:t>
            </w:r>
            <w:r w:rsidR="006F5C83" w:rsidRPr="00891A31">
              <w:rPr>
                <w:rFonts w:eastAsia="Times New Roman" w:cstheme="minorHAnsi"/>
                <w:b/>
                <w:bCs/>
                <w:color w:val="002060"/>
                <w:sz w:val="28"/>
                <w:szCs w:val="28"/>
              </w:rPr>
              <w:t>.</w:t>
            </w:r>
            <w:r w:rsidRPr="00891A31">
              <w:rPr>
                <w:rFonts w:eastAsia="Times New Roman" w:cstheme="minorHAnsi"/>
                <w:b/>
                <w:bCs/>
                <w:color w:val="002060"/>
                <w:sz w:val="28"/>
                <w:szCs w:val="28"/>
                <w:rtl/>
              </w:rPr>
              <w:t xml:space="preserve"> </w:t>
            </w:r>
          </w:p>
          <w:p w:rsidR="00F04298" w:rsidRPr="00891A31" w:rsidRDefault="006F5C83" w:rsidP="004B7DB7">
            <w:pPr>
              <w:pStyle w:val="ListParagraph"/>
              <w:numPr>
                <w:ilvl w:val="0"/>
                <w:numId w:val="1"/>
              </w:numPr>
              <w:spacing w:line="360" w:lineRule="auto"/>
              <w:jc w:val="both"/>
              <w:rPr>
                <w:rFonts w:eastAsia="Times New Roman" w:cstheme="minorHAnsi"/>
                <w:b/>
                <w:bCs/>
                <w:color w:val="002060"/>
                <w:sz w:val="28"/>
                <w:szCs w:val="28"/>
              </w:rPr>
            </w:pPr>
            <w:r w:rsidRPr="00891A31">
              <w:rPr>
                <w:rFonts w:eastAsia="Times New Roman" w:cstheme="minorHAnsi"/>
                <w:b/>
                <w:bCs/>
                <w:color w:val="002060"/>
                <w:sz w:val="28"/>
                <w:szCs w:val="28"/>
                <w:rtl/>
              </w:rPr>
              <w:t>חשבונות של חטופים או נעדרים</w:t>
            </w:r>
            <w:r w:rsidR="003C32EF" w:rsidRPr="00891A31">
              <w:rPr>
                <w:rFonts w:eastAsia="Times New Roman" w:cstheme="minorHAnsi"/>
                <w:b/>
                <w:bCs/>
                <w:color w:val="002060"/>
                <w:sz w:val="28"/>
                <w:szCs w:val="28"/>
                <w:rtl/>
              </w:rPr>
              <w:t>*</w:t>
            </w:r>
            <w:r w:rsidRPr="00891A31">
              <w:rPr>
                <w:rFonts w:eastAsia="Times New Roman" w:cstheme="minorHAnsi"/>
                <w:b/>
                <w:bCs/>
                <w:color w:val="002060"/>
                <w:sz w:val="28"/>
                <w:szCs w:val="28"/>
                <w:rtl/>
              </w:rPr>
              <w:t xml:space="preserve">; </w:t>
            </w:r>
          </w:p>
          <w:p w:rsidR="00F04298" w:rsidRPr="00891A31" w:rsidRDefault="0027581E" w:rsidP="004B7DB7">
            <w:pPr>
              <w:pStyle w:val="ListParagraph"/>
              <w:numPr>
                <w:ilvl w:val="0"/>
                <w:numId w:val="1"/>
              </w:numPr>
              <w:spacing w:line="360" w:lineRule="auto"/>
              <w:jc w:val="both"/>
              <w:rPr>
                <w:rFonts w:eastAsia="Times New Roman" w:cstheme="minorHAnsi"/>
                <w:b/>
                <w:bCs/>
                <w:color w:val="002060"/>
                <w:sz w:val="28"/>
                <w:szCs w:val="28"/>
              </w:rPr>
            </w:pPr>
            <w:r w:rsidRPr="00891A31">
              <w:rPr>
                <w:rFonts w:eastAsia="Times New Roman" w:cstheme="minorHAnsi"/>
                <w:b/>
                <w:bCs/>
                <w:color w:val="002060"/>
                <w:sz w:val="28"/>
                <w:szCs w:val="28"/>
                <w:rtl/>
              </w:rPr>
              <w:t>אוכלוסייה שהיא בעלת קרבה ראשונה (בני זוג, הורים</w:t>
            </w:r>
            <w:r w:rsidR="006F5C83" w:rsidRPr="00891A31">
              <w:rPr>
                <w:rFonts w:eastAsia="Times New Roman" w:cstheme="minorHAnsi"/>
                <w:b/>
                <w:bCs/>
                <w:color w:val="002060"/>
                <w:sz w:val="28"/>
                <w:szCs w:val="28"/>
                <w:rtl/>
              </w:rPr>
              <w:t>, אחים</w:t>
            </w:r>
            <w:r w:rsidRPr="00891A31">
              <w:rPr>
                <w:rFonts w:eastAsia="Times New Roman" w:cstheme="minorHAnsi"/>
                <w:b/>
                <w:bCs/>
                <w:color w:val="002060"/>
                <w:sz w:val="28"/>
                <w:szCs w:val="28"/>
                <w:rtl/>
              </w:rPr>
              <w:t xml:space="preserve"> וילדים) להרוגי המלחמה או לחטופים או לנעדרים</w:t>
            </w:r>
            <w:r w:rsidR="006F5C83" w:rsidRPr="00891A31">
              <w:rPr>
                <w:rFonts w:eastAsia="Times New Roman" w:cstheme="minorHAnsi"/>
                <w:b/>
                <w:bCs/>
                <w:color w:val="002060"/>
                <w:sz w:val="28"/>
                <w:szCs w:val="28"/>
                <w:rtl/>
              </w:rPr>
              <w:t xml:space="preserve">; </w:t>
            </w:r>
          </w:p>
          <w:p w:rsidR="00F04298" w:rsidRPr="00891A31" w:rsidRDefault="0027581E" w:rsidP="004B7DB7">
            <w:pPr>
              <w:pStyle w:val="ListParagraph"/>
              <w:numPr>
                <w:ilvl w:val="0"/>
                <w:numId w:val="1"/>
              </w:numPr>
              <w:spacing w:line="360" w:lineRule="auto"/>
              <w:jc w:val="both"/>
              <w:rPr>
                <w:rFonts w:cstheme="minorHAnsi"/>
                <w:b/>
                <w:bCs/>
                <w:color w:val="002060"/>
                <w:sz w:val="28"/>
                <w:szCs w:val="28"/>
              </w:rPr>
            </w:pPr>
            <w:r w:rsidRPr="00891A31">
              <w:rPr>
                <w:rFonts w:eastAsia="Times New Roman" w:cstheme="minorHAnsi"/>
                <w:b/>
                <w:bCs/>
                <w:color w:val="002060"/>
                <w:sz w:val="28"/>
                <w:szCs w:val="28"/>
                <w:rtl/>
              </w:rPr>
              <w:t>אוכלוסיית משרתי המילואים ומגויסי צו 8</w:t>
            </w:r>
            <w:r w:rsidR="003C32EF" w:rsidRPr="00891A31">
              <w:rPr>
                <w:rFonts w:cstheme="minorHAnsi"/>
                <w:b/>
                <w:bCs/>
                <w:color w:val="002060"/>
                <w:sz w:val="28"/>
                <w:szCs w:val="28"/>
                <w:rtl/>
              </w:rPr>
              <w:t>*</w:t>
            </w:r>
            <w:r w:rsidR="00645777" w:rsidRPr="00891A31">
              <w:rPr>
                <w:rFonts w:cstheme="minorHAnsi"/>
                <w:b/>
                <w:bCs/>
                <w:color w:val="002060"/>
                <w:sz w:val="28"/>
                <w:szCs w:val="28"/>
                <w:rtl/>
              </w:rPr>
              <w:t>;</w:t>
            </w:r>
            <w:r w:rsidR="003A4DD8" w:rsidRPr="00891A31">
              <w:rPr>
                <w:rFonts w:cstheme="minorHAnsi"/>
                <w:b/>
                <w:bCs/>
                <w:color w:val="002060"/>
                <w:sz w:val="28"/>
                <w:szCs w:val="28"/>
                <w:rtl/>
              </w:rPr>
              <w:t xml:space="preserve"> </w:t>
            </w:r>
          </w:p>
          <w:p w:rsidR="0027581E" w:rsidRPr="00891A31" w:rsidRDefault="00C766F3" w:rsidP="004B7DB7">
            <w:pPr>
              <w:pStyle w:val="ListParagraph"/>
              <w:numPr>
                <w:ilvl w:val="0"/>
                <w:numId w:val="1"/>
              </w:numPr>
              <w:spacing w:line="360" w:lineRule="auto"/>
              <w:jc w:val="both"/>
              <w:rPr>
                <w:rFonts w:cstheme="minorHAnsi"/>
                <w:b/>
                <w:bCs/>
                <w:color w:val="002060"/>
                <w:sz w:val="28"/>
                <w:szCs w:val="28"/>
              </w:rPr>
            </w:pPr>
            <w:r w:rsidRPr="00891A31">
              <w:rPr>
                <w:rFonts w:cstheme="minorHAnsi"/>
                <w:b/>
                <w:bCs/>
                <w:color w:val="002060"/>
                <w:sz w:val="28"/>
                <w:szCs w:val="28"/>
                <w:rtl/>
              </w:rPr>
              <w:t>חיילי מילואים שאושפזו לתקופה של 7 ימים לפחות בשל פציעה שנגרמה להם מהמלחמה</w:t>
            </w:r>
            <w:r w:rsidR="001B4BDA" w:rsidRPr="00891A31">
              <w:rPr>
                <w:rFonts w:eastAsia="Times New Roman" w:cstheme="minorHAnsi"/>
                <w:b/>
                <w:bCs/>
                <w:color w:val="002060"/>
                <w:sz w:val="28"/>
                <w:szCs w:val="28"/>
                <w:rtl/>
              </w:rPr>
              <w:t>*</w:t>
            </w:r>
            <w:r w:rsidRPr="00891A31">
              <w:rPr>
                <w:rFonts w:cstheme="minorHAnsi"/>
                <w:b/>
                <w:bCs/>
                <w:color w:val="002060"/>
                <w:sz w:val="28"/>
                <w:szCs w:val="28"/>
                <w:rtl/>
              </w:rPr>
              <w:t xml:space="preserve">. </w:t>
            </w:r>
          </w:p>
          <w:p w:rsidR="00A1456A" w:rsidRPr="00891A31" w:rsidRDefault="00A1456A" w:rsidP="00144CD6">
            <w:pPr>
              <w:pStyle w:val="ListParagraph"/>
              <w:numPr>
                <w:ilvl w:val="0"/>
                <w:numId w:val="1"/>
              </w:numPr>
              <w:spacing w:line="360" w:lineRule="auto"/>
              <w:jc w:val="both"/>
              <w:rPr>
                <w:rFonts w:eastAsia="Times New Roman" w:cstheme="minorHAnsi"/>
                <w:b/>
                <w:bCs/>
                <w:color w:val="002060"/>
                <w:sz w:val="28"/>
                <w:szCs w:val="28"/>
              </w:rPr>
            </w:pPr>
            <w:r w:rsidRPr="00891A31">
              <w:rPr>
                <w:rFonts w:eastAsia="Times New Roman" w:cstheme="minorHAnsi"/>
                <w:b/>
                <w:bCs/>
                <w:color w:val="002060"/>
                <w:sz w:val="28"/>
                <w:szCs w:val="28"/>
                <w:rtl/>
              </w:rPr>
              <w:t>אוכלוסיי</w:t>
            </w:r>
            <w:r w:rsidR="00144CD6" w:rsidRPr="00891A31">
              <w:rPr>
                <w:rFonts w:eastAsia="Times New Roman" w:cstheme="minorHAnsi"/>
                <w:b/>
                <w:bCs/>
                <w:color w:val="002060"/>
                <w:sz w:val="28"/>
                <w:szCs w:val="28"/>
                <w:rtl/>
              </w:rPr>
              <w:t>ת</w:t>
            </w:r>
            <w:r w:rsidRPr="00891A31">
              <w:rPr>
                <w:rFonts w:eastAsia="Times New Roman" w:cstheme="minorHAnsi"/>
                <w:b/>
                <w:bCs/>
                <w:color w:val="002060"/>
                <w:sz w:val="28"/>
                <w:szCs w:val="28"/>
                <w:rtl/>
              </w:rPr>
              <w:t xml:space="preserve"> נפגעי המסיבות – נפגעי מסיבת "נובה" ברעים; נפגעי מסיבת פסיידאק;</w:t>
            </w:r>
            <w:r w:rsidRPr="00891A31">
              <w:rPr>
                <w:rFonts w:eastAsia="Times New Roman" w:cstheme="minorHAnsi"/>
                <w:b/>
                <w:bCs/>
                <w:color w:val="002060"/>
                <w:sz w:val="28"/>
                <w:szCs w:val="28"/>
              </w:rPr>
              <w:t xml:space="preserve"> </w:t>
            </w:r>
            <w:r w:rsidRPr="00891A31">
              <w:rPr>
                <w:rFonts w:eastAsia="Times New Roman" w:cstheme="minorHAnsi"/>
                <w:b/>
                <w:bCs/>
                <w:color w:val="002060"/>
                <w:sz w:val="28"/>
                <w:szCs w:val="28"/>
                <w:rtl/>
              </w:rPr>
              <w:t>נפגעי מפגש ה</w:t>
            </w:r>
            <w:r w:rsidR="00C336CD" w:rsidRPr="00891A31">
              <w:rPr>
                <w:rFonts w:eastAsia="Times New Roman" w:cstheme="minorHAnsi"/>
                <w:b/>
                <w:bCs/>
                <w:color w:val="002060"/>
                <w:sz w:val="28"/>
                <w:szCs w:val="28"/>
                <w:rtl/>
              </w:rPr>
              <w:t>ה</w:t>
            </w:r>
            <w:r w:rsidRPr="00891A31">
              <w:rPr>
                <w:rFonts w:eastAsia="Times New Roman" w:cstheme="minorHAnsi"/>
                <w:b/>
                <w:bCs/>
                <w:color w:val="002060"/>
                <w:sz w:val="28"/>
                <w:szCs w:val="28"/>
                <w:rtl/>
              </w:rPr>
              <w:t xml:space="preserve">יערכות לפסטיבל מידברן.* </w:t>
            </w:r>
          </w:p>
          <w:p w:rsidR="0027581E" w:rsidRPr="00891A31" w:rsidRDefault="0027581E" w:rsidP="000E2F81">
            <w:pPr>
              <w:spacing w:line="360" w:lineRule="auto"/>
              <w:rPr>
                <w:rFonts w:cstheme="minorHAnsi"/>
                <w:color w:val="002060"/>
                <w:u w:val="single"/>
                <w:rtl/>
              </w:rPr>
            </w:pPr>
          </w:p>
          <w:p w:rsidR="00593B4F" w:rsidRPr="00891A31" w:rsidRDefault="00CE35A4" w:rsidP="00593B4F">
            <w:pPr>
              <w:spacing w:line="360" w:lineRule="auto"/>
              <w:rPr>
                <w:rFonts w:cstheme="minorHAnsi"/>
                <w:color w:val="002060"/>
                <w:sz w:val="20"/>
                <w:szCs w:val="20"/>
                <w:rtl/>
              </w:rPr>
            </w:pPr>
            <w:r w:rsidRPr="00891A31">
              <w:rPr>
                <w:rFonts w:cstheme="minorHAnsi"/>
                <w:color w:val="002060"/>
                <w:rtl/>
              </w:rPr>
              <w:t xml:space="preserve">* </w:t>
            </w:r>
            <w:r w:rsidR="007C27A7" w:rsidRPr="00891A31">
              <w:rPr>
                <w:rFonts w:cstheme="minorHAnsi"/>
                <w:color w:val="002060"/>
                <w:sz w:val="20"/>
                <w:szCs w:val="20"/>
                <w:rtl/>
              </w:rPr>
              <w:t>אופן קבלת מידע לגבי שיוך לקבוצה: בהתאם להצהרת לקוח או הצגת אסמכתה מתאימה</w:t>
            </w:r>
            <w:r w:rsidR="00C766F3" w:rsidRPr="00891A31">
              <w:rPr>
                <w:rFonts w:cstheme="minorHAnsi"/>
                <w:color w:val="002060"/>
                <w:sz w:val="20"/>
                <w:szCs w:val="20"/>
                <w:rtl/>
              </w:rPr>
              <w:t xml:space="preserve"> מגורם רשמי מוסמך</w:t>
            </w:r>
            <w:r w:rsidR="007C27A7" w:rsidRPr="00891A31">
              <w:rPr>
                <w:rFonts w:cstheme="minorHAnsi"/>
                <w:color w:val="002060"/>
                <w:sz w:val="20"/>
                <w:szCs w:val="20"/>
                <w:rtl/>
              </w:rPr>
              <w:t>, לפי החלטת הבנק. לעניין תאגידים קטנים, בהתאם למאפיינים שיפורסמו על ידי הבנק.</w:t>
            </w:r>
            <w:r w:rsidR="0022458C" w:rsidRPr="00891A31">
              <w:rPr>
                <w:rFonts w:cstheme="minorHAnsi"/>
                <w:color w:val="002060"/>
                <w:sz w:val="20"/>
                <w:szCs w:val="20"/>
                <w:rtl/>
              </w:rPr>
              <w:t xml:space="preserve"> </w:t>
            </w:r>
          </w:p>
          <w:p w:rsidR="00F61D79" w:rsidRPr="00891A31" w:rsidRDefault="0022458C" w:rsidP="00552FAD">
            <w:pPr>
              <w:spacing w:line="360" w:lineRule="auto"/>
              <w:rPr>
                <w:rFonts w:cstheme="minorHAnsi"/>
                <w:color w:val="002060"/>
                <w:rtl/>
              </w:rPr>
            </w:pPr>
            <w:r w:rsidRPr="00891A31">
              <w:rPr>
                <w:rFonts w:cstheme="minorHAnsi"/>
                <w:color w:val="002060"/>
                <w:sz w:val="20"/>
                <w:szCs w:val="20"/>
                <w:rtl/>
              </w:rPr>
              <w:t xml:space="preserve">יצוין כי </w:t>
            </w:r>
            <w:r w:rsidR="001B4BDA" w:rsidRPr="00891A31">
              <w:rPr>
                <w:rFonts w:cstheme="minorHAnsi"/>
                <w:color w:val="002060"/>
                <w:sz w:val="20"/>
                <w:szCs w:val="20"/>
                <w:rtl/>
              </w:rPr>
              <w:t>מתן ההטבות להם זכאים חיילי מילואים מכוח המתווה, ייעשה באופן יזום על ידי הבנק לתקופה של 3 חודשים.</w:t>
            </w:r>
            <w:r w:rsidR="00F61D79" w:rsidRPr="00891A31">
              <w:rPr>
                <w:rFonts w:cstheme="minorHAnsi"/>
                <w:color w:val="002060"/>
                <w:sz w:val="20"/>
                <w:szCs w:val="20"/>
                <w:rtl/>
              </w:rPr>
              <w:t xml:space="preserve"> זיהוי חשבון הלקוח כחשבון של חייל מילואים- לקוח שבמהלך תקופת הארכת המתווה, קרי בין התאריכים 1.</w:t>
            </w:r>
            <w:r w:rsidR="00552FAD" w:rsidRPr="00891A31">
              <w:rPr>
                <w:rFonts w:cstheme="minorHAnsi"/>
                <w:color w:val="002060"/>
                <w:sz w:val="20"/>
                <w:szCs w:val="20"/>
                <w:rtl/>
              </w:rPr>
              <w:t>10</w:t>
            </w:r>
            <w:r w:rsidR="00F61D79" w:rsidRPr="00891A31">
              <w:rPr>
                <w:rFonts w:cstheme="minorHAnsi"/>
                <w:color w:val="002060"/>
                <w:sz w:val="20"/>
                <w:szCs w:val="20"/>
                <w:rtl/>
              </w:rPr>
              <w:t>.24-3</w:t>
            </w:r>
            <w:r w:rsidR="00552FAD" w:rsidRPr="00891A31">
              <w:rPr>
                <w:rFonts w:cstheme="minorHAnsi"/>
                <w:color w:val="002060"/>
                <w:sz w:val="20"/>
                <w:szCs w:val="20"/>
                <w:rtl/>
              </w:rPr>
              <w:t>1</w:t>
            </w:r>
            <w:r w:rsidR="00F61D79" w:rsidRPr="00891A31">
              <w:rPr>
                <w:rFonts w:cstheme="minorHAnsi"/>
                <w:color w:val="002060"/>
                <w:sz w:val="20"/>
                <w:szCs w:val="20"/>
                <w:rtl/>
              </w:rPr>
              <w:t>.</w:t>
            </w:r>
            <w:r w:rsidR="00552FAD" w:rsidRPr="00891A31">
              <w:rPr>
                <w:rFonts w:cstheme="minorHAnsi"/>
                <w:color w:val="002060"/>
                <w:sz w:val="20"/>
                <w:szCs w:val="20"/>
                <w:rtl/>
              </w:rPr>
              <w:t>12</w:t>
            </w:r>
            <w:r w:rsidR="00F61D79" w:rsidRPr="00891A31">
              <w:rPr>
                <w:rFonts w:cstheme="minorHAnsi"/>
                <w:color w:val="002060"/>
                <w:sz w:val="20"/>
                <w:szCs w:val="20"/>
                <w:rtl/>
              </w:rPr>
              <w:t xml:space="preserve">.2024 יתקבל בחשבונו תקבול/זיכוי בעקבות שירות מילואים. ככל והלקוח שירת בשירות מילואים בתקופה האמורה ולא קיבל תקבול/זיכוי לחשבון, עליו להציג אסמכתה לבנק אודות שירות המילואים שביצע. </w:t>
            </w:r>
          </w:p>
          <w:p w:rsidR="00F04298" w:rsidRPr="00891A31" w:rsidRDefault="00F04298" w:rsidP="003A20AA">
            <w:pPr>
              <w:spacing w:line="360" w:lineRule="auto"/>
              <w:rPr>
                <w:rFonts w:cstheme="minorHAnsi"/>
                <w:color w:val="002060"/>
                <w:rtl/>
              </w:rPr>
            </w:pPr>
          </w:p>
          <w:p w:rsidR="00F04298" w:rsidRPr="00891A31" w:rsidRDefault="00F04298" w:rsidP="00CE35A4">
            <w:pPr>
              <w:spacing w:line="360" w:lineRule="auto"/>
              <w:rPr>
                <w:rFonts w:cstheme="minorHAnsi"/>
                <w:color w:val="002060"/>
                <w:rtl/>
              </w:rPr>
            </w:pPr>
          </w:p>
          <w:p w:rsidR="008F003D" w:rsidRPr="00891A31" w:rsidRDefault="008F003D" w:rsidP="00CE35A4">
            <w:pPr>
              <w:spacing w:line="360" w:lineRule="auto"/>
              <w:rPr>
                <w:rFonts w:cstheme="minorHAnsi"/>
                <w:color w:val="002060"/>
                <w:rtl/>
              </w:rPr>
            </w:pPr>
          </w:p>
          <w:p w:rsidR="008F003D" w:rsidRPr="00891A31" w:rsidRDefault="008F003D" w:rsidP="00CE35A4">
            <w:pPr>
              <w:spacing w:line="360" w:lineRule="auto"/>
              <w:rPr>
                <w:rFonts w:cstheme="minorHAnsi"/>
                <w:color w:val="002060"/>
                <w:rtl/>
              </w:rPr>
            </w:pPr>
          </w:p>
          <w:p w:rsidR="008F003D" w:rsidRPr="00891A31" w:rsidRDefault="008F003D" w:rsidP="00CE35A4">
            <w:pPr>
              <w:spacing w:line="360" w:lineRule="auto"/>
              <w:rPr>
                <w:rFonts w:cstheme="minorHAnsi"/>
                <w:color w:val="002060"/>
                <w:rtl/>
              </w:rPr>
            </w:pPr>
          </w:p>
          <w:p w:rsidR="008F003D" w:rsidRPr="00891A31" w:rsidRDefault="008F003D" w:rsidP="00CE35A4">
            <w:pPr>
              <w:spacing w:line="360" w:lineRule="auto"/>
              <w:rPr>
                <w:rFonts w:cstheme="minorHAnsi"/>
                <w:color w:val="002060"/>
                <w:rtl/>
              </w:rPr>
            </w:pPr>
          </w:p>
          <w:p w:rsidR="008F003D" w:rsidRPr="00891A31" w:rsidRDefault="008F003D" w:rsidP="00CE35A4">
            <w:pPr>
              <w:spacing w:line="360" w:lineRule="auto"/>
              <w:rPr>
                <w:rFonts w:cstheme="minorHAnsi"/>
                <w:color w:val="002060"/>
                <w:rtl/>
              </w:rPr>
            </w:pPr>
          </w:p>
          <w:p w:rsidR="008F003D" w:rsidRPr="00891A31" w:rsidRDefault="008F003D" w:rsidP="00CE35A4">
            <w:pPr>
              <w:spacing w:line="360" w:lineRule="auto"/>
              <w:rPr>
                <w:rFonts w:cstheme="minorHAnsi"/>
                <w:color w:val="002060"/>
                <w:rtl/>
              </w:rPr>
            </w:pPr>
          </w:p>
        </w:tc>
      </w:tr>
      <w:tr w:rsidR="0027581E" w:rsidRPr="00891A31" w:rsidTr="006F5C83">
        <w:tc>
          <w:tcPr>
            <w:tcW w:w="1288" w:type="dxa"/>
            <w:vMerge w:val="restart"/>
          </w:tcPr>
          <w:p w:rsidR="0027581E" w:rsidRPr="00891A31" w:rsidRDefault="0027581E" w:rsidP="000E2F81">
            <w:pPr>
              <w:spacing w:line="360" w:lineRule="auto"/>
              <w:jc w:val="center"/>
              <w:rPr>
                <w:rFonts w:cstheme="minorHAnsi"/>
                <w:b/>
                <w:bCs/>
                <w:color w:val="002060"/>
                <w:sz w:val="28"/>
                <w:szCs w:val="28"/>
                <w:rtl/>
              </w:rPr>
            </w:pPr>
            <w:r w:rsidRPr="00891A31">
              <w:rPr>
                <w:rFonts w:cstheme="minorHAnsi"/>
                <w:b/>
                <w:bCs/>
                <w:color w:val="002060"/>
                <w:sz w:val="28"/>
                <w:szCs w:val="28"/>
                <w:rtl/>
              </w:rPr>
              <w:lastRenderedPageBreak/>
              <w:t>הקלות בתחום האשראי:</w:t>
            </w:r>
          </w:p>
          <w:p w:rsidR="0027581E" w:rsidRPr="00891A31" w:rsidRDefault="0027581E" w:rsidP="000E2F81">
            <w:pPr>
              <w:spacing w:line="360" w:lineRule="auto"/>
              <w:jc w:val="center"/>
              <w:rPr>
                <w:rFonts w:cstheme="minorHAnsi"/>
                <w:b/>
                <w:bCs/>
                <w:color w:val="002060"/>
                <w:sz w:val="28"/>
                <w:szCs w:val="28"/>
                <w:rtl/>
              </w:rPr>
            </w:pPr>
          </w:p>
          <w:p w:rsidR="0027581E" w:rsidRPr="00891A31" w:rsidRDefault="0027581E" w:rsidP="000E2F81">
            <w:pPr>
              <w:rPr>
                <w:rFonts w:cstheme="minorHAnsi"/>
                <w:b/>
                <w:bCs/>
                <w:color w:val="002060"/>
                <w:sz w:val="28"/>
                <w:szCs w:val="28"/>
                <w:rtl/>
              </w:rPr>
            </w:pPr>
          </w:p>
        </w:tc>
        <w:tc>
          <w:tcPr>
            <w:tcW w:w="2521" w:type="dxa"/>
          </w:tcPr>
          <w:p w:rsidR="0027581E" w:rsidRPr="00891A31" w:rsidRDefault="0027581E" w:rsidP="000E2F81">
            <w:pPr>
              <w:spacing w:line="360" w:lineRule="auto"/>
              <w:jc w:val="center"/>
              <w:rPr>
                <w:rFonts w:cstheme="minorHAnsi"/>
                <w:b/>
                <w:bCs/>
                <w:color w:val="002060"/>
                <w:sz w:val="28"/>
                <w:szCs w:val="28"/>
                <w:rtl/>
              </w:rPr>
            </w:pPr>
            <w:r w:rsidRPr="00891A31">
              <w:rPr>
                <w:rFonts w:cstheme="minorHAnsi"/>
                <w:b/>
                <w:bCs/>
                <w:color w:val="002060"/>
                <w:sz w:val="28"/>
                <w:szCs w:val="28"/>
                <w:rtl/>
              </w:rPr>
              <w:t>סוג האשראי</w:t>
            </w:r>
          </w:p>
        </w:tc>
        <w:tc>
          <w:tcPr>
            <w:tcW w:w="1785" w:type="dxa"/>
          </w:tcPr>
          <w:p w:rsidR="0027581E" w:rsidRPr="00891A31" w:rsidRDefault="0027581E" w:rsidP="000E2F81">
            <w:pPr>
              <w:spacing w:line="360" w:lineRule="auto"/>
              <w:jc w:val="center"/>
              <w:rPr>
                <w:rFonts w:cstheme="minorHAnsi"/>
                <w:b/>
                <w:bCs/>
                <w:color w:val="002060"/>
                <w:sz w:val="28"/>
                <w:szCs w:val="28"/>
                <w:rtl/>
              </w:rPr>
            </w:pPr>
            <w:r w:rsidRPr="00891A31">
              <w:rPr>
                <w:rFonts w:cstheme="minorHAnsi"/>
                <w:b/>
                <w:bCs/>
                <w:color w:val="002060"/>
                <w:sz w:val="28"/>
                <w:szCs w:val="28"/>
                <w:rtl/>
              </w:rPr>
              <w:t>תקופת דחיית התשלומים</w:t>
            </w:r>
          </w:p>
        </w:tc>
        <w:tc>
          <w:tcPr>
            <w:tcW w:w="1405" w:type="dxa"/>
          </w:tcPr>
          <w:p w:rsidR="0027581E" w:rsidRPr="00891A31" w:rsidRDefault="0027581E" w:rsidP="000E2F81">
            <w:pPr>
              <w:spacing w:line="360" w:lineRule="auto"/>
              <w:jc w:val="center"/>
              <w:rPr>
                <w:rFonts w:cstheme="minorHAnsi"/>
                <w:b/>
                <w:bCs/>
                <w:color w:val="002060"/>
                <w:sz w:val="28"/>
                <w:szCs w:val="28"/>
                <w:rtl/>
              </w:rPr>
            </w:pPr>
            <w:r w:rsidRPr="00891A31">
              <w:rPr>
                <w:rFonts w:cstheme="minorHAnsi"/>
                <w:b/>
                <w:bCs/>
                <w:color w:val="002060"/>
                <w:sz w:val="28"/>
                <w:szCs w:val="28"/>
                <w:rtl/>
              </w:rPr>
              <w:t>שיעור ריבית מקסימאלי</w:t>
            </w:r>
          </w:p>
        </w:tc>
        <w:tc>
          <w:tcPr>
            <w:tcW w:w="3025" w:type="dxa"/>
          </w:tcPr>
          <w:p w:rsidR="0027581E" w:rsidRPr="00891A31" w:rsidRDefault="0027581E" w:rsidP="000E2F81">
            <w:pPr>
              <w:spacing w:line="360" w:lineRule="auto"/>
              <w:jc w:val="center"/>
              <w:rPr>
                <w:rFonts w:cstheme="minorHAnsi"/>
                <w:b/>
                <w:bCs/>
                <w:color w:val="002060"/>
                <w:sz w:val="28"/>
                <w:szCs w:val="28"/>
                <w:rtl/>
              </w:rPr>
            </w:pPr>
            <w:r w:rsidRPr="00891A31">
              <w:rPr>
                <w:rFonts w:cstheme="minorHAnsi"/>
                <w:b/>
                <w:bCs/>
                <w:color w:val="002060"/>
                <w:sz w:val="28"/>
                <w:szCs w:val="28"/>
                <w:rtl/>
              </w:rPr>
              <w:t>אופן פריסת התשלומים</w:t>
            </w:r>
          </w:p>
        </w:tc>
      </w:tr>
      <w:tr w:rsidR="000E2975" w:rsidRPr="00891A31" w:rsidTr="006F5C83">
        <w:tc>
          <w:tcPr>
            <w:tcW w:w="1288" w:type="dxa"/>
            <w:vMerge/>
            <w:vAlign w:val="center"/>
          </w:tcPr>
          <w:p w:rsidR="000E2975" w:rsidRPr="00891A31" w:rsidRDefault="000E2975" w:rsidP="000E2F81">
            <w:pPr>
              <w:rPr>
                <w:rFonts w:cstheme="minorHAnsi"/>
                <w:color w:val="002060"/>
                <w:rtl/>
              </w:rPr>
            </w:pPr>
          </w:p>
        </w:tc>
        <w:tc>
          <w:tcPr>
            <w:tcW w:w="2521" w:type="dxa"/>
          </w:tcPr>
          <w:p w:rsidR="000E2975" w:rsidRPr="00891A31" w:rsidRDefault="000E2975" w:rsidP="000E2F81">
            <w:pPr>
              <w:spacing w:line="360" w:lineRule="auto"/>
              <w:jc w:val="center"/>
              <w:rPr>
                <w:rFonts w:cstheme="minorHAnsi"/>
                <w:b/>
                <w:bCs/>
                <w:sz w:val="24"/>
                <w:szCs w:val="24"/>
                <w:rtl/>
              </w:rPr>
            </w:pPr>
            <w:r w:rsidRPr="00891A31">
              <w:rPr>
                <w:rFonts w:cstheme="minorHAnsi"/>
                <w:b/>
                <w:bCs/>
                <w:sz w:val="24"/>
                <w:szCs w:val="24"/>
                <w:rtl/>
              </w:rPr>
              <w:t>משכנתאות</w:t>
            </w:r>
            <w:r w:rsidRPr="00891A31">
              <w:rPr>
                <w:rStyle w:val="FootnoteReference"/>
                <w:rFonts w:cstheme="minorHAnsi"/>
                <w:b/>
                <w:bCs/>
                <w:sz w:val="24"/>
                <w:szCs w:val="24"/>
                <w:rtl/>
              </w:rPr>
              <w:footnoteReference w:id="3"/>
            </w:r>
          </w:p>
          <w:p w:rsidR="000E2975" w:rsidRPr="00891A31" w:rsidRDefault="000E2975" w:rsidP="000E2F81">
            <w:pPr>
              <w:spacing w:line="360" w:lineRule="auto"/>
              <w:jc w:val="center"/>
              <w:rPr>
                <w:rFonts w:cstheme="minorHAnsi"/>
                <w:b/>
                <w:bCs/>
                <w:sz w:val="24"/>
                <w:szCs w:val="24"/>
                <w:rtl/>
              </w:rPr>
            </w:pPr>
          </w:p>
        </w:tc>
        <w:tc>
          <w:tcPr>
            <w:tcW w:w="1785" w:type="dxa"/>
            <w:vMerge w:val="restart"/>
            <w:vAlign w:val="center"/>
          </w:tcPr>
          <w:p w:rsidR="008F003D" w:rsidRPr="00891A31" w:rsidRDefault="000E2975" w:rsidP="008F003D">
            <w:pPr>
              <w:spacing w:line="360" w:lineRule="auto"/>
              <w:rPr>
                <w:rFonts w:cstheme="minorHAnsi"/>
                <w:rtl/>
              </w:rPr>
            </w:pPr>
            <w:r w:rsidRPr="00891A31">
              <w:rPr>
                <w:rFonts w:cstheme="minorHAnsi"/>
                <w:rtl/>
              </w:rPr>
              <w:t xml:space="preserve">לקוח </w:t>
            </w:r>
            <w:r w:rsidR="006A049C" w:rsidRPr="00891A31">
              <w:rPr>
                <w:rFonts w:cstheme="minorHAnsi"/>
                <w:rtl/>
              </w:rPr>
              <w:t>ש</w:t>
            </w:r>
            <w:r w:rsidRPr="00891A31">
              <w:rPr>
                <w:rFonts w:cstheme="minorHAnsi"/>
                <w:rtl/>
              </w:rPr>
              <w:t xml:space="preserve">ביצע דחיית תשלומים בפועל </w:t>
            </w:r>
            <w:r w:rsidR="008F003D" w:rsidRPr="00891A31">
              <w:rPr>
                <w:rFonts w:cstheme="minorHAnsi"/>
                <w:rtl/>
              </w:rPr>
              <w:t>במהלך המתווה יהיה זכאי לדחייה של שלושה חודשים נוספים, בכפוף להגשת בקשה, ובלבד שתקופת דחיית התשלומים במסגרת המתווה לא תעלה על 9 חודשים במצטבר</w:t>
            </w:r>
            <w:r w:rsidR="008F003D" w:rsidRPr="00891A31">
              <w:rPr>
                <w:rFonts w:cstheme="minorHAnsi"/>
                <w:vertAlign w:val="superscript"/>
                <w:rtl/>
              </w:rPr>
              <w:footnoteReference w:id="4"/>
            </w:r>
            <w:r w:rsidR="008F003D" w:rsidRPr="00891A31">
              <w:rPr>
                <w:rFonts w:cstheme="minorHAnsi"/>
                <w:rtl/>
              </w:rPr>
              <w:t>.</w:t>
            </w:r>
          </w:p>
          <w:p w:rsidR="00BF559D" w:rsidRPr="00891A31" w:rsidRDefault="000E2975" w:rsidP="00164BA9">
            <w:pPr>
              <w:spacing w:line="360" w:lineRule="auto"/>
              <w:rPr>
                <w:rFonts w:cstheme="minorHAnsi"/>
                <w:rtl/>
              </w:rPr>
            </w:pPr>
            <w:r w:rsidRPr="00891A31">
              <w:rPr>
                <w:rFonts w:cstheme="minorHAnsi"/>
                <w:rtl/>
              </w:rPr>
              <w:t xml:space="preserve">לקוח שלא ביצע דחיית תשלומים מכוח המתווה, יהיה זכאי לדחייה של </w:t>
            </w:r>
            <w:r w:rsidR="00B00ACB" w:rsidRPr="00891A31">
              <w:rPr>
                <w:rFonts w:cstheme="minorHAnsi"/>
                <w:rtl/>
              </w:rPr>
              <w:t xml:space="preserve">3 </w:t>
            </w:r>
            <w:r w:rsidRPr="00891A31">
              <w:rPr>
                <w:rFonts w:cstheme="minorHAnsi"/>
                <w:rtl/>
              </w:rPr>
              <w:t xml:space="preserve">חודשים, בכפוף להגשת בקשה. </w:t>
            </w:r>
          </w:p>
          <w:p w:rsidR="008F003D" w:rsidRPr="00891A31" w:rsidRDefault="00CD5809" w:rsidP="004A0C72">
            <w:pPr>
              <w:spacing w:line="360" w:lineRule="auto"/>
              <w:jc w:val="both"/>
              <w:rPr>
                <w:rFonts w:cstheme="minorHAnsi"/>
              </w:rPr>
            </w:pPr>
            <w:r>
              <w:rPr>
                <w:rFonts w:cstheme="minorHAnsi"/>
                <w:rtl/>
              </w:rPr>
              <w:t>דחיית</w:t>
            </w:r>
            <w:r>
              <w:rPr>
                <w:rFonts w:cstheme="minorHAnsi" w:hint="cs"/>
                <w:rtl/>
              </w:rPr>
              <w:t xml:space="preserve"> </w:t>
            </w:r>
            <w:r w:rsidR="008F003D" w:rsidRPr="00891A31">
              <w:rPr>
                <w:rFonts w:cstheme="minorHAnsi"/>
                <w:rtl/>
              </w:rPr>
              <w:t xml:space="preserve">תשלומים לתקופה של עד 12 </w:t>
            </w:r>
            <w:r w:rsidR="008F003D" w:rsidRPr="00891A31">
              <w:rPr>
                <w:rFonts w:cstheme="minorHAnsi"/>
                <w:rtl/>
              </w:rPr>
              <w:lastRenderedPageBreak/>
              <w:t>חודשים</w:t>
            </w:r>
            <w:r w:rsidR="004A0C72" w:rsidRPr="00891A31">
              <w:rPr>
                <w:rStyle w:val="FootnoteReference"/>
                <w:rFonts w:cstheme="minorHAnsi"/>
                <w:rtl/>
              </w:rPr>
              <w:footnoteReference w:id="5"/>
            </w:r>
            <w:r w:rsidR="008F003D" w:rsidRPr="00891A31">
              <w:rPr>
                <w:rFonts w:cstheme="minorHAnsi"/>
                <w:rtl/>
              </w:rPr>
              <w:t xml:space="preserve"> תהיה אפשרית לאוכלוסייה שמתגוררת או בעלת עסק באחד מהיישובים בצפון</w:t>
            </w:r>
            <w:r w:rsidR="008F003D" w:rsidRPr="00891A31">
              <w:rPr>
                <w:rStyle w:val="FootnoteReference"/>
                <w:rFonts w:cstheme="minorHAnsi"/>
                <w:rtl/>
              </w:rPr>
              <w:footnoteReference w:id="6"/>
            </w:r>
            <w:r w:rsidR="008F003D" w:rsidRPr="00891A31">
              <w:rPr>
                <w:rFonts w:cstheme="minorHAnsi"/>
                <w:rtl/>
              </w:rPr>
              <w:t xml:space="preserve"> ולחיילי מילואים הנמצאים בשירות מילואים פעיל בתקופת המתווה המעודכן</w:t>
            </w:r>
            <w:r w:rsidR="008F003D" w:rsidRPr="00891A31">
              <w:rPr>
                <w:rStyle w:val="FootnoteReference"/>
                <w:rFonts w:cstheme="minorHAnsi"/>
                <w:rtl/>
              </w:rPr>
              <w:footnoteReference w:id="7"/>
            </w:r>
            <w:r w:rsidR="008F003D" w:rsidRPr="00891A31">
              <w:rPr>
                <w:rFonts w:cstheme="minorHAnsi"/>
                <w:rtl/>
              </w:rPr>
              <w:t xml:space="preserve">. </w:t>
            </w:r>
          </w:p>
          <w:p w:rsidR="000E2975" w:rsidRPr="00891A31" w:rsidRDefault="000E2975" w:rsidP="008F003D">
            <w:pPr>
              <w:spacing w:line="360" w:lineRule="auto"/>
              <w:rPr>
                <w:rFonts w:cstheme="minorHAnsi"/>
                <w:rtl/>
              </w:rPr>
            </w:pPr>
          </w:p>
        </w:tc>
        <w:tc>
          <w:tcPr>
            <w:tcW w:w="1405" w:type="dxa"/>
            <w:vMerge w:val="restart"/>
            <w:vAlign w:val="center"/>
          </w:tcPr>
          <w:p w:rsidR="000E2975" w:rsidRPr="00891A31" w:rsidRDefault="000E2975" w:rsidP="000E2F81">
            <w:pPr>
              <w:spacing w:line="360" w:lineRule="auto"/>
              <w:jc w:val="center"/>
              <w:rPr>
                <w:rFonts w:cstheme="minorHAnsi"/>
                <w:sz w:val="24"/>
                <w:szCs w:val="24"/>
                <w:rtl/>
              </w:rPr>
            </w:pPr>
            <w:r w:rsidRPr="00891A31">
              <w:rPr>
                <w:rFonts w:cstheme="minorHAnsi"/>
                <w:rtl/>
              </w:rPr>
              <w:lastRenderedPageBreak/>
              <w:t xml:space="preserve">לא תהיה כל עלות ריבית בגין  סכום הדחייה </w:t>
            </w:r>
          </w:p>
          <w:p w:rsidR="000E2975" w:rsidRPr="00891A31" w:rsidRDefault="000E2975" w:rsidP="000E2F81">
            <w:pPr>
              <w:spacing w:line="360" w:lineRule="auto"/>
              <w:rPr>
                <w:rFonts w:cstheme="minorHAnsi"/>
                <w:sz w:val="24"/>
                <w:szCs w:val="24"/>
                <w:rtl/>
              </w:rPr>
            </w:pPr>
            <w:r w:rsidRPr="00891A31">
              <w:rPr>
                <w:rFonts w:cstheme="minorHAnsi"/>
                <w:sz w:val="24"/>
                <w:szCs w:val="24"/>
                <w:rtl/>
              </w:rPr>
              <w:t xml:space="preserve">    </w:t>
            </w:r>
          </w:p>
        </w:tc>
        <w:tc>
          <w:tcPr>
            <w:tcW w:w="3025" w:type="dxa"/>
            <w:vMerge w:val="restart"/>
            <w:vAlign w:val="center"/>
          </w:tcPr>
          <w:p w:rsidR="000E2975" w:rsidRPr="00891A31" w:rsidRDefault="000E2975" w:rsidP="000E2F81">
            <w:pPr>
              <w:spacing w:line="360" w:lineRule="auto"/>
              <w:rPr>
                <w:rFonts w:eastAsia="Times New Roman" w:cstheme="minorHAnsi"/>
                <w:color w:val="000000"/>
                <w:rtl/>
              </w:rPr>
            </w:pPr>
            <w:r w:rsidRPr="00891A31">
              <w:rPr>
                <w:rFonts w:eastAsia="Times New Roman" w:cstheme="minorHAnsi"/>
                <w:color w:val="000000"/>
                <w:u w:val="single"/>
                <w:rtl/>
              </w:rPr>
              <w:t>משכנתאות</w:t>
            </w:r>
            <w:r w:rsidRPr="00891A31">
              <w:rPr>
                <w:rFonts w:eastAsia="Times New Roman" w:cstheme="minorHAnsi"/>
                <w:color w:val="000000"/>
                <w:rtl/>
              </w:rPr>
              <w:t xml:space="preserve"> </w:t>
            </w:r>
          </w:p>
          <w:p w:rsidR="000E2975" w:rsidRPr="00891A31" w:rsidRDefault="000E2975" w:rsidP="000E2F81">
            <w:pPr>
              <w:spacing w:line="360" w:lineRule="auto"/>
              <w:rPr>
                <w:rFonts w:eastAsia="Times New Roman" w:cstheme="minorHAnsi"/>
                <w:color w:val="000000"/>
                <w:rtl/>
              </w:rPr>
            </w:pPr>
            <w:r w:rsidRPr="00891A31">
              <w:rPr>
                <w:rFonts w:eastAsia="Times New Roman" w:cstheme="minorHAnsi"/>
                <w:color w:val="000000"/>
                <w:rtl/>
              </w:rPr>
              <w:t>שלוש חלופות לבחירת הבנק:</w:t>
            </w:r>
          </w:p>
          <w:p w:rsidR="000E2975" w:rsidRPr="00891A31" w:rsidRDefault="000E2975" w:rsidP="004B7DB7">
            <w:pPr>
              <w:pStyle w:val="ListParagraph"/>
              <w:numPr>
                <w:ilvl w:val="0"/>
                <w:numId w:val="3"/>
              </w:numPr>
              <w:spacing w:line="360" w:lineRule="auto"/>
              <w:rPr>
                <w:rFonts w:cstheme="minorHAnsi"/>
                <w:rtl/>
              </w:rPr>
            </w:pPr>
            <w:r w:rsidRPr="00891A31">
              <w:rPr>
                <w:rFonts w:cstheme="minorHAnsi"/>
                <w:rtl/>
              </w:rPr>
              <w:t>פריסת התשלומים לאורך יתרת תקופת המשכנתא.</w:t>
            </w:r>
          </w:p>
          <w:p w:rsidR="000E2975" w:rsidRPr="00891A31" w:rsidRDefault="000E2975" w:rsidP="004B7DB7">
            <w:pPr>
              <w:pStyle w:val="ListParagraph"/>
              <w:numPr>
                <w:ilvl w:val="0"/>
                <w:numId w:val="3"/>
              </w:numPr>
              <w:spacing w:line="360" w:lineRule="auto"/>
              <w:rPr>
                <w:rFonts w:cstheme="minorHAnsi"/>
              </w:rPr>
            </w:pPr>
            <w:r w:rsidRPr="00891A31">
              <w:rPr>
                <w:rFonts w:cstheme="minorHAnsi"/>
                <w:rtl/>
              </w:rPr>
              <w:t>הארכת תקופת המשכנתא.</w:t>
            </w:r>
          </w:p>
          <w:p w:rsidR="000E2975" w:rsidRPr="00891A31" w:rsidRDefault="000E2975" w:rsidP="004B7DB7">
            <w:pPr>
              <w:pStyle w:val="ListParagraph"/>
              <w:numPr>
                <w:ilvl w:val="0"/>
                <w:numId w:val="3"/>
              </w:numPr>
              <w:spacing w:line="360" w:lineRule="auto"/>
              <w:rPr>
                <w:rFonts w:cstheme="minorHAnsi"/>
                <w:sz w:val="24"/>
                <w:szCs w:val="24"/>
              </w:rPr>
            </w:pPr>
            <w:r w:rsidRPr="00891A31">
              <w:rPr>
                <w:rFonts w:cstheme="minorHAnsi"/>
                <w:rtl/>
              </w:rPr>
              <w:t xml:space="preserve">העמדת הלוואה, בסכום הדחייה, ללא ריבית, לתקופה של  4 שנים לפחות, שמועד פירעונה יחל בחלוף שנה. </w:t>
            </w:r>
          </w:p>
          <w:p w:rsidR="000E2975" w:rsidRPr="00891A31" w:rsidRDefault="000E2975" w:rsidP="000E2F81">
            <w:pPr>
              <w:spacing w:line="360" w:lineRule="auto"/>
              <w:rPr>
                <w:rFonts w:cstheme="minorHAnsi"/>
                <w:sz w:val="24"/>
                <w:szCs w:val="24"/>
                <w:rtl/>
              </w:rPr>
            </w:pPr>
            <w:r w:rsidRPr="00891A31">
              <w:rPr>
                <w:rFonts w:cstheme="minorHAnsi"/>
                <w:u w:val="single"/>
                <w:rtl/>
              </w:rPr>
              <w:t>אשראי צרכני ואשראי עסקי</w:t>
            </w:r>
            <w:r w:rsidRPr="00891A31">
              <w:rPr>
                <w:rFonts w:cstheme="minorHAnsi"/>
                <w:rtl/>
              </w:rPr>
              <w:t xml:space="preserve">:  הוספת התשלומים בסוף תקופת ההלוואה. </w:t>
            </w:r>
          </w:p>
        </w:tc>
      </w:tr>
      <w:tr w:rsidR="000E2975" w:rsidRPr="00891A31" w:rsidTr="006F5C83">
        <w:tc>
          <w:tcPr>
            <w:tcW w:w="1288" w:type="dxa"/>
            <w:vMerge/>
          </w:tcPr>
          <w:p w:rsidR="000E2975" w:rsidRPr="00891A31" w:rsidRDefault="000E2975" w:rsidP="000E2F81">
            <w:pPr>
              <w:spacing w:line="360" w:lineRule="auto"/>
              <w:jc w:val="center"/>
              <w:rPr>
                <w:rFonts w:cstheme="minorHAnsi"/>
                <w:sz w:val="24"/>
                <w:szCs w:val="24"/>
                <w:rtl/>
              </w:rPr>
            </w:pPr>
          </w:p>
        </w:tc>
        <w:tc>
          <w:tcPr>
            <w:tcW w:w="2521" w:type="dxa"/>
          </w:tcPr>
          <w:p w:rsidR="000E2975" w:rsidRPr="00891A31" w:rsidRDefault="000E2975" w:rsidP="000E2F81">
            <w:pPr>
              <w:spacing w:line="360" w:lineRule="auto"/>
              <w:jc w:val="center"/>
              <w:rPr>
                <w:rFonts w:cstheme="minorHAnsi"/>
                <w:b/>
                <w:bCs/>
                <w:sz w:val="24"/>
                <w:szCs w:val="24"/>
                <w:rtl/>
              </w:rPr>
            </w:pPr>
            <w:r w:rsidRPr="00891A31">
              <w:rPr>
                <w:rFonts w:eastAsia="Times New Roman" w:cstheme="minorHAnsi"/>
                <w:b/>
                <w:bCs/>
                <w:sz w:val="24"/>
                <w:szCs w:val="24"/>
                <w:rtl/>
              </w:rPr>
              <w:t>אשראי צרכני מצטבר בסכום של עד 100,000 ₪</w:t>
            </w:r>
          </w:p>
          <w:p w:rsidR="000E2975" w:rsidRPr="00891A31" w:rsidRDefault="000E2975" w:rsidP="000E2F81">
            <w:pPr>
              <w:spacing w:line="360" w:lineRule="auto"/>
              <w:jc w:val="center"/>
              <w:rPr>
                <w:rFonts w:cstheme="minorHAnsi"/>
                <w:b/>
                <w:bCs/>
                <w:sz w:val="24"/>
                <w:szCs w:val="24"/>
                <w:rtl/>
              </w:rPr>
            </w:pPr>
          </w:p>
        </w:tc>
        <w:tc>
          <w:tcPr>
            <w:tcW w:w="1785" w:type="dxa"/>
            <w:vMerge/>
          </w:tcPr>
          <w:p w:rsidR="000E2975" w:rsidRPr="00891A31" w:rsidRDefault="000E2975" w:rsidP="000E2F81">
            <w:pPr>
              <w:spacing w:line="360" w:lineRule="auto"/>
              <w:jc w:val="center"/>
              <w:rPr>
                <w:rFonts w:cstheme="minorHAnsi"/>
                <w:sz w:val="24"/>
                <w:szCs w:val="24"/>
                <w:rtl/>
              </w:rPr>
            </w:pPr>
          </w:p>
        </w:tc>
        <w:tc>
          <w:tcPr>
            <w:tcW w:w="1405" w:type="dxa"/>
            <w:vMerge/>
          </w:tcPr>
          <w:p w:rsidR="000E2975" w:rsidRPr="00891A31" w:rsidRDefault="000E2975" w:rsidP="000E2F81">
            <w:pPr>
              <w:spacing w:line="360" w:lineRule="auto"/>
              <w:jc w:val="center"/>
              <w:rPr>
                <w:rFonts w:cstheme="minorHAnsi"/>
                <w:sz w:val="24"/>
                <w:szCs w:val="24"/>
                <w:rtl/>
              </w:rPr>
            </w:pPr>
          </w:p>
        </w:tc>
        <w:tc>
          <w:tcPr>
            <w:tcW w:w="3025" w:type="dxa"/>
            <w:vMerge/>
          </w:tcPr>
          <w:p w:rsidR="000E2975" w:rsidRPr="00891A31" w:rsidRDefault="000E2975" w:rsidP="000E2F81">
            <w:pPr>
              <w:spacing w:line="360" w:lineRule="auto"/>
              <w:jc w:val="center"/>
              <w:rPr>
                <w:rFonts w:cstheme="minorHAnsi"/>
                <w:sz w:val="24"/>
                <w:szCs w:val="24"/>
                <w:rtl/>
              </w:rPr>
            </w:pPr>
          </w:p>
        </w:tc>
      </w:tr>
      <w:tr w:rsidR="000E2975" w:rsidRPr="00891A31" w:rsidTr="006F5C83">
        <w:tc>
          <w:tcPr>
            <w:tcW w:w="1288" w:type="dxa"/>
            <w:vMerge/>
          </w:tcPr>
          <w:p w:rsidR="000E2975" w:rsidRPr="00891A31" w:rsidRDefault="000E2975" w:rsidP="000E2F81">
            <w:pPr>
              <w:spacing w:line="360" w:lineRule="auto"/>
              <w:jc w:val="center"/>
              <w:rPr>
                <w:rFonts w:cstheme="minorHAnsi"/>
                <w:sz w:val="24"/>
                <w:szCs w:val="24"/>
                <w:rtl/>
              </w:rPr>
            </w:pPr>
          </w:p>
        </w:tc>
        <w:tc>
          <w:tcPr>
            <w:tcW w:w="2521" w:type="dxa"/>
          </w:tcPr>
          <w:p w:rsidR="000E2975" w:rsidRPr="00891A31" w:rsidRDefault="000E2975" w:rsidP="000E2F81">
            <w:pPr>
              <w:spacing w:line="360" w:lineRule="auto"/>
              <w:jc w:val="center"/>
              <w:rPr>
                <w:rFonts w:cstheme="minorHAnsi"/>
                <w:b/>
                <w:bCs/>
                <w:sz w:val="24"/>
                <w:szCs w:val="24"/>
                <w:rtl/>
              </w:rPr>
            </w:pPr>
            <w:r w:rsidRPr="00891A31">
              <w:rPr>
                <w:rFonts w:cstheme="minorHAnsi"/>
                <w:b/>
                <w:bCs/>
                <w:sz w:val="24"/>
                <w:szCs w:val="24"/>
                <w:rtl/>
              </w:rPr>
              <w:t>אשראי עסקי</w:t>
            </w:r>
            <w:r w:rsidRPr="00891A31">
              <w:rPr>
                <w:rStyle w:val="FootnoteReference"/>
                <w:rFonts w:cstheme="minorHAnsi"/>
                <w:b/>
                <w:bCs/>
                <w:sz w:val="24"/>
                <w:szCs w:val="24"/>
                <w:rtl/>
              </w:rPr>
              <w:footnoteReference w:id="8"/>
            </w:r>
          </w:p>
          <w:p w:rsidR="000E2975" w:rsidRPr="00891A31" w:rsidRDefault="000E2975" w:rsidP="000E2F81">
            <w:pPr>
              <w:spacing w:line="360" w:lineRule="auto"/>
              <w:jc w:val="center"/>
              <w:rPr>
                <w:rFonts w:cstheme="minorHAnsi"/>
                <w:b/>
                <w:bCs/>
                <w:sz w:val="24"/>
                <w:szCs w:val="24"/>
                <w:rtl/>
              </w:rPr>
            </w:pPr>
            <w:r w:rsidRPr="00891A31">
              <w:rPr>
                <w:rFonts w:cstheme="minorHAnsi"/>
                <w:b/>
                <w:bCs/>
                <w:sz w:val="24"/>
                <w:szCs w:val="24"/>
                <w:rtl/>
              </w:rPr>
              <w:t xml:space="preserve">עד סכום של 2 מיליון ₪ </w:t>
            </w:r>
          </w:p>
        </w:tc>
        <w:tc>
          <w:tcPr>
            <w:tcW w:w="1785" w:type="dxa"/>
            <w:vMerge/>
          </w:tcPr>
          <w:p w:rsidR="000E2975" w:rsidRPr="00891A31" w:rsidRDefault="000E2975" w:rsidP="000E2F81">
            <w:pPr>
              <w:spacing w:line="360" w:lineRule="auto"/>
              <w:jc w:val="center"/>
              <w:rPr>
                <w:rFonts w:cstheme="minorHAnsi"/>
                <w:sz w:val="24"/>
                <w:szCs w:val="24"/>
                <w:rtl/>
              </w:rPr>
            </w:pPr>
          </w:p>
        </w:tc>
        <w:tc>
          <w:tcPr>
            <w:tcW w:w="1405" w:type="dxa"/>
            <w:vMerge/>
          </w:tcPr>
          <w:p w:rsidR="000E2975" w:rsidRPr="00891A31" w:rsidRDefault="000E2975" w:rsidP="000E2F81">
            <w:pPr>
              <w:spacing w:line="360" w:lineRule="auto"/>
              <w:jc w:val="center"/>
              <w:rPr>
                <w:rFonts w:cstheme="minorHAnsi"/>
                <w:sz w:val="24"/>
                <w:szCs w:val="24"/>
                <w:rtl/>
              </w:rPr>
            </w:pPr>
          </w:p>
        </w:tc>
        <w:tc>
          <w:tcPr>
            <w:tcW w:w="3025" w:type="dxa"/>
            <w:vMerge/>
          </w:tcPr>
          <w:p w:rsidR="000E2975" w:rsidRPr="00891A31" w:rsidRDefault="000E2975" w:rsidP="000E2F81">
            <w:pPr>
              <w:spacing w:line="360" w:lineRule="auto"/>
              <w:jc w:val="center"/>
              <w:rPr>
                <w:rFonts w:cstheme="minorHAnsi"/>
                <w:sz w:val="24"/>
                <w:szCs w:val="24"/>
                <w:rtl/>
              </w:rPr>
            </w:pPr>
          </w:p>
        </w:tc>
      </w:tr>
      <w:tr w:rsidR="000E2975" w:rsidRPr="00891A31" w:rsidTr="006F5C83">
        <w:tc>
          <w:tcPr>
            <w:tcW w:w="1288" w:type="dxa"/>
            <w:vMerge/>
          </w:tcPr>
          <w:p w:rsidR="000E2975" w:rsidRPr="00891A31" w:rsidRDefault="000E2975" w:rsidP="000E2F81">
            <w:pPr>
              <w:spacing w:line="360" w:lineRule="auto"/>
              <w:jc w:val="center"/>
              <w:rPr>
                <w:rFonts w:cstheme="minorHAnsi"/>
                <w:sz w:val="24"/>
                <w:szCs w:val="24"/>
                <w:rtl/>
              </w:rPr>
            </w:pPr>
          </w:p>
        </w:tc>
        <w:tc>
          <w:tcPr>
            <w:tcW w:w="2521" w:type="dxa"/>
          </w:tcPr>
          <w:p w:rsidR="000E2975" w:rsidRPr="00891A31" w:rsidRDefault="000E2975" w:rsidP="000E2F81">
            <w:pPr>
              <w:spacing w:line="360" w:lineRule="auto"/>
              <w:jc w:val="center"/>
              <w:rPr>
                <w:rFonts w:cstheme="minorHAnsi"/>
                <w:b/>
                <w:bCs/>
                <w:sz w:val="24"/>
                <w:szCs w:val="24"/>
                <w:rtl/>
              </w:rPr>
            </w:pPr>
            <w:r w:rsidRPr="00891A31">
              <w:rPr>
                <w:rFonts w:cstheme="minorHAnsi"/>
                <w:b/>
                <w:bCs/>
                <w:sz w:val="24"/>
                <w:szCs w:val="24"/>
                <w:rtl/>
              </w:rPr>
              <w:t xml:space="preserve">יתרת חובה (אוברדרפט), בחשבון עו"ש של משקי בית, עד סכום של 10,000 ש"ח </w:t>
            </w:r>
          </w:p>
        </w:tc>
        <w:tc>
          <w:tcPr>
            <w:tcW w:w="1785" w:type="dxa"/>
          </w:tcPr>
          <w:p w:rsidR="000E2975" w:rsidRPr="00891A31" w:rsidRDefault="000E2975" w:rsidP="000E2F81">
            <w:pPr>
              <w:spacing w:line="360" w:lineRule="auto"/>
              <w:jc w:val="center"/>
              <w:rPr>
                <w:rFonts w:cstheme="minorHAnsi"/>
                <w:sz w:val="24"/>
                <w:szCs w:val="24"/>
                <w:rtl/>
              </w:rPr>
            </w:pPr>
          </w:p>
          <w:p w:rsidR="000E2975" w:rsidRPr="00891A31" w:rsidRDefault="000E2975" w:rsidP="000E2F81">
            <w:pPr>
              <w:spacing w:line="360" w:lineRule="auto"/>
              <w:jc w:val="center"/>
              <w:rPr>
                <w:rFonts w:cstheme="minorHAnsi"/>
                <w:sz w:val="24"/>
                <w:szCs w:val="24"/>
                <w:rtl/>
              </w:rPr>
            </w:pPr>
            <w:r w:rsidRPr="00891A31">
              <w:rPr>
                <w:rFonts w:cstheme="minorHAnsi"/>
                <w:sz w:val="24"/>
                <w:szCs w:val="24"/>
                <w:rtl/>
              </w:rPr>
              <w:t>3 חודשים</w:t>
            </w:r>
          </w:p>
          <w:p w:rsidR="000E2975" w:rsidRPr="00891A31" w:rsidRDefault="000E2975" w:rsidP="000E2975">
            <w:pPr>
              <w:spacing w:line="360" w:lineRule="auto"/>
              <w:rPr>
                <w:rFonts w:cstheme="minorHAnsi"/>
                <w:sz w:val="24"/>
                <w:szCs w:val="24"/>
                <w:rtl/>
              </w:rPr>
            </w:pPr>
          </w:p>
          <w:p w:rsidR="000E2975" w:rsidRPr="00891A31" w:rsidRDefault="000E2975" w:rsidP="000E2F81">
            <w:pPr>
              <w:spacing w:line="360" w:lineRule="auto"/>
              <w:jc w:val="center"/>
              <w:rPr>
                <w:rFonts w:cstheme="minorHAnsi"/>
                <w:sz w:val="24"/>
                <w:szCs w:val="24"/>
                <w:rtl/>
              </w:rPr>
            </w:pPr>
          </w:p>
        </w:tc>
        <w:tc>
          <w:tcPr>
            <w:tcW w:w="1405" w:type="dxa"/>
          </w:tcPr>
          <w:p w:rsidR="009027A2" w:rsidRPr="00891A31" w:rsidRDefault="009027A2" w:rsidP="000E2F81">
            <w:pPr>
              <w:spacing w:line="360" w:lineRule="auto"/>
              <w:jc w:val="center"/>
              <w:rPr>
                <w:rFonts w:cstheme="minorHAnsi"/>
                <w:rtl/>
              </w:rPr>
            </w:pPr>
          </w:p>
          <w:p w:rsidR="000E2975" w:rsidRPr="00891A31" w:rsidRDefault="000E2975" w:rsidP="000E2F81">
            <w:pPr>
              <w:spacing w:line="360" w:lineRule="auto"/>
              <w:jc w:val="center"/>
              <w:rPr>
                <w:rFonts w:cstheme="minorHAnsi"/>
                <w:sz w:val="24"/>
                <w:szCs w:val="24"/>
                <w:rtl/>
              </w:rPr>
            </w:pPr>
            <w:r w:rsidRPr="00891A31">
              <w:rPr>
                <w:rFonts w:cstheme="minorHAnsi"/>
                <w:rtl/>
              </w:rPr>
              <w:t>0% ריבית</w:t>
            </w:r>
          </w:p>
        </w:tc>
        <w:tc>
          <w:tcPr>
            <w:tcW w:w="3025" w:type="dxa"/>
          </w:tcPr>
          <w:p w:rsidR="00B00ACB" w:rsidRPr="00891A31" w:rsidRDefault="000E2975" w:rsidP="00E51353">
            <w:pPr>
              <w:spacing w:line="360" w:lineRule="auto"/>
              <w:rPr>
                <w:rFonts w:cstheme="minorHAnsi"/>
                <w:rtl/>
              </w:rPr>
            </w:pPr>
            <w:r w:rsidRPr="00891A31">
              <w:rPr>
                <w:rFonts w:cstheme="minorHAnsi"/>
                <w:u w:val="single"/>
                <w:rtl/>
              </w:rPr>
              <w:t>הבהרה</w:t>
            </w:r>
            <w:r w:rsidRPr="00891A31">
              <w:rPr>
                <w:rFonts w:cstheme="minorHAnsi"/>
                <w:rtl/>
              </w:rPr>
              <w:t xml:space="preserve">: </w:t>
            </w:r>
          </w:p>
          <w:p w:rsidR="000E2975" w:rsidRPr="00891A31" w:rsidRDefault="000F0BD4" w:rsidP="00A32FB3">
            <w:pPr>
              <w:spacing w:line="360" w:lineRule="auto"/>
              <w:rPr>
                <w:rFonts w:cstheme="minorHAnsi"/>
                <w:sz w:val="24"/>
                <w:szCs w:val="24"/>
              </w:rPr>
            </w:pPr>
            <w:r w:rsidRPr="00891A31">
              <w:rPr>
                <w:rFonts w:cstheme="minorHAnsi"/>
                <w:rtl/>
              </w:rPr>
              <w:t xml:space="preserve">ההטבה תחול על לקוחות </w:t>
            </w:r>
            <w:r w:rsidR="007E0F0A" w:rsidRPr="00891A31">
              <w:rPr>
                <w:rFonts w:cstheme="minorHAnsi"/>
                <w:rtl/>
              </w:rPr>
              <w:t>המעגל הראשון</w:t>
            </w:r>
            <w:r w:rsidR="00FD52AB" w:rsidRPr="00891A31">
              <w:rPr>
                <w:rFonts w:cstheme="minorHAnsi"/>
                <w:rtl/>
              </w:rPr>
              <w:t>, לרבות חיילי מילואים,</w:t>
            </w:r>
            <w:r w:rsidR="007E0F0A" w:rsidRPr="00891A31">
              <w:rPr>
                <w:rFonts w:cstheme="minorHAnsi"/>
                <w:rtl/>
              </w:rPr>
              <w:t xml:space="preserve"> </w:t>
            </w:r>
            <w:r w:rsidRPr="00891A31">
              <w:rPr>
                <w:rFonts w:cstheme="minorHAnsi"/>
                <w:rtl/>
              </w:rPr>
              <w:t>שערב פרסום ה</w:t>
            </w:r>
            <w:r w:rsidR="00B84705" w:rsidRPr="00891A31">
              <w:rPr>
                <w:rFonts w:cstheme="minorHAnsi"/>
                <w:rtl/>
              </w:rPr>
              <w:t xml:space="preserve">הודעה לציבור אודות הרחבת </w:t>
            </w:r>
            <w:r w:rsidR="00707696" w:rsidRPr="00891A31">
              <w:rPr>
                <w:rFonts w:cstheme="minorHAnsi"/>
                <w:rtl/>
              </w:rPr>
              <w:t>ה</w:t>
            </w:r>
            <w:r w:rsidRPr="00891A31">
              <w:rPr>
                <w:rFonts w:cstheme="minorHAnsi"/>
                <w:rtl/>
              </w:rPr>
              <w:t>מתווה</w:t>
            </w:r>
            <w:r w:rsidR="00400CD3" w:rsidRPr="00891A31">
              <w:rPr>
                <w:rFonts w:cstheme="minorHAnsi"/>
                <w:rtl/>
              </w:rPr>
              <w:t xml:space="preserve"> </w:t>
            </w:r>
            <w:r w:rsidR="00A32FB3" w:rsidRPr="00891A31">
              <w:rPr>
                <w:rFonts w:cstheme="minorHAnsi"/>
                <w:rtl/>
              </w:rPr>
              <w:t>(</w:t>
            </w:r>
            <w:r w:rsidRPr="00891A31">
              <w:rPr>
                <w:rFonts w:cstheme="minorHAnsi"/>
                <w:rtl/>
              </w:rPr>
              <w:t xml:space="preserve"> </w:t>
            </w:r>
            <w:r w:rsidR="00A32FB3" w:rsidRPr="00891A31">
              <w:rPr>
                <w:rFonts w:cstheme="minorHAnsi"/>
                <w:rtl/>
              </w:rPr>
              <w:t>20.9.24</w:t>
            </w:r>
            <w:r w:rsidR="00FD52AB" w:rsidRPr="00891A31">
              <w:rPr>
                <w:rFonts w:cstheme="minorHAnsi"/>
                <w:rtl/>
              </w:rPr>
              <w:t xml:space="preserve"> </w:t>
            </w:r>
            <w:r w:rsidR="00A32FB3" w:rsidRPr="00891A31">
              <w:rPr>
                <w:rFonts w:cstheme="minorHAnsi"/>
                <w:rtl/>
              </w:rPr>
              <w:t xml:space="preserve">) </w:t>
            </w:r>
            <w:r w:rsidR="00FD52AB" w:rsidRPr="00891A31">
              <w:rPr>
                <w:rFonts w:cstheme="minorHAnsi"/>
                <w:rtl/>
              </w:rPr>
              <w:t>חשבון העו"ש שלהם היה ביתרת חובה</w:t>
            </w:r>
            <w:r w:rsidR="00645777" w:rsidRPr="00891A31">
              <w:rPr>
                <w:rStyle w:val="FootnoteReference"/>
                <w:rFonts w:cstheme="minorHAnsi"/>
                <w:rtl/>
              </w:rPr>
              <w:footnoteReference w:id="9"/>
            </w:r>
            <w:r w:rsidR="00E51353" w:rsidRPr="00891A31">
              <w:rPr>
                <w:rFonts w:cstheme="minorHAnsi"/>
                <w:rtl/>
              </w:rPr>
              <w:t xml:space="preserve">. </w:t>
            </w:r>
            <w:r w:rsidR="0029598B" w:rsidRPr="00891A31">
              <w:rPr>
                <w:rFonts w:cstheme="minorHAnsi"/>
                <w:rtl/>
              </w:rPr>
              <w:t xml:space="preserve"> </w:t>
            </w:r>
          </w:p>
        </w:tc>
      </w:tr>
      <w:tr w:rsidR="00AD0495" w:rsidRPr="00891A31" w:rsidTr="006F5C83">
        <w:tc>
          <w:tcPr>
            <w:tcW w:w="1288" w:type="dxa"/>
          </w:tcPr>
          <w:p w:rsidR="00AD0495" w:rsidRPr="00891A31" w:rsidRDefault="00AD0495" w:rsidP="000E2F81">
            <w:pPr>
              <w:spacing w:line="360" w:lineRule="auto"/>
              <w:jc w:val="center"/>
              <w:rPr>
                <w:rFonts w:cstheme="minorHAnsi"/>
                <w:sz w:val="24"/>
                <w:szCs w:val="24"/>
                <w:rtl/>
              </w:rPr>
            </w:pPr>
          </w:p>
        </w:tc>
        <w:tc>
          <w:tcPr>
            <w:tcW w:w="2521" w:type="dxa"/>
          </w:tcPr>
          <w:p w:rsidR="00AD0495" w:rsidRPr="00891A31" w:rsidRDefault="00AD0495" w:rsidP="009506A8">
            <w:pPr>
              <w:spacing w:line="360" w:lineRule="auto"/>
              <w:jc w:val="center"/>
              <w:rPr>
                <w:rFonts w:cstheme="minorHAnsi"/>
                <w:b/>
                <w:bCs/>
                <w:sz w:val="24"/>
                <w:szCs w:val="24"/>
                <w:rtl/>
              </w:rPr>
            </w:pPr>
            <w:r w:rsidRPr="00891A31">
              <w:rPr>
                <w:rFonts w:cstheme="minorHAnsi"/>
                <w:b/>
                <w:bCs/>
                <w:sz w:val="24"/>
                <w:szCs w:val="24"/>
                <w:rtl/>
              </w:rPr>
              <w:t>יתרת חובה (אוברדרפט), בחשבון עו"ש של עסקים, עד סכום של 30,000 ש"ח</w:t>
            </w:r>
          </w:p>
        </w:tc>
        <w:tc>
          <w:tcPr>
            <w:tcW w:w="1785" w:type="dxa"/>
          </w:tcPr>
          <w:p w:rsidR="000E2975" w:rsidRPr="00891A31" w:rsidRDefault="000E2975" w:rsidP="000E2F81">
            <w:pPr>
              <w:spacing w:line="360" w:lineRule="auto"/>
              <w:jc w:val="center"/>
              <w:rPr>
                <w:rFonts w:cstheme="minorHAnsi"/>
                <w:sz w:val="24"/>
                <w:szCs w:val="24"/>
                <w:rtl/>
              </w:rPr>
            </w:pPr>
          </w:p>
          <w:p w:rsidR="00AD0495" w:rsidRPr="00891A31" w:rsidRDefault="000E2975" w:rsidP="000E2F81">
            <w:pPr>
              <w:spacing w:line="360" w:lineRule="auto"/>
              <w:jc w:val="center"/>
              <w:rPr>
                <w:rFonts w:cstheme="minorHAnsi"/>
                <w:sz w:val="24"/>
                <w:szCs w:val="24"/>
                <w:rtl/>
              </w:rPr>
            </w:pPr>
            <w:r w:rsidRPr="00891A31">
              <w:rPr>
                <w:rFonts w:cstheme="minorHAnsi"/>
                <w:sz w:val="24"/>
                <w:szCs w:val="24"/>
                <w:rtl/>
              </w:rPr>
              <w:t>3 חודשים</w:t>
            </w:r>
          </w:p>
        </w:tc>
        <w:tc>
          <w:tcPr>
            <w:tcW w:w="1405" w:type="dxa"/>
          </w:tcPr>
          <w:p w:rsidR="009027A2" w:rsidRPr="00891A31" w:rsidRDefault="009027A2" w:rsidP="000E2F81">
            <w:pPr>
              <w:spacing w:line="360" w:lineRule="auto"/>
              <w:jc w:val="center"/>
              <w:rPr>
                <w:rFonts w:cstheme="minorHAnsi"/>
                <w:rtl/>
              </w:rPr>
            </w:pPr>
          </w:p>
          <w:p w:rsidR="00AD0495" w:rsidRPr="00891A31" w:rsidRDefault="00AD0495" w:rsidP="000E2F81">
            <w:pPr>
              <w:spacing w:line="360" w:lineRule="auto"/>
              <w:jc w:val="center"/>
              <w:rPr>
                <w:rFonts w:cstheme="minorHAnsi"/>
                <w:rtl/>
              </w:rPr>
            </w:pPr>
            <w:r w:rsidRPr="00891A31">
              <w:rPr>
                <w:rFonts w:cstheme="minorHAnsi"/>
                <w:rtl/>
              </w:rPr>
              <w:t>0% ריבית</w:t>
            </w:r>
          </w:p>
        </w:tc>
        <w:tc>
          <w:tcPr>
            <w:tcW w:w="3025" w:type="dxa"/>
          </w:tcPr>
          <w:p w:rsidR="00AD0495" w:rsidRPr="00891A31" w:rsidRDefault="00AD0495" w:rsidP="00AD0495">
            <w:pPr>
              <w:spacing w:line="360" w:lineRule="auto"/>
              <w:rPr>
                <w:rFonts w:cstheme="minorHAnsi"/>
                <w:rtl/>
              </w:rPr>
            </w:pPr>
            <w:r w:rsidRPr="00891A31">
              <w:rPr>
                <w:rFonts w:cstheme="minorHAnsi"/>
                <w:u w:val="single"/>
                <w:rtl/>
              </w:rPr>
              <w:t>הבהרה</w:t>
            </w:r>
            <w:r w:rsidRPr="00891A31">
              <w:rPr>
                <w:rFonts w:cstheme="minorHAnsi"/>
                <w:rtl/>
              </w:rPr>
              <w:t>:</w:t>
            </w:r>
          </w:p>
          <w:p w:rsidR="00AD0495" w:rsidRPr="00891A31" w:rsidRDefault="00AD0495" w:rsidP="00A32FB3">
            <w:pPr>
              <w:spacing w:line="360" w:lineRule="auto"/>
              <w:rPr>
                <w:rFonts w:cstheme="minorHAnsi"/>
                <w:u w:val="single"/>
                <w:rtl/>
              </w:rPr>
            </w:pPr>
            <w:r w:rsidRPr="00891A31">
              <w:rPr>
                <w:rFonts w:cstheme="minorHAnsi"/>
                <w:rtl/>
              </w:rPr>
              <w:t xml:space="preserve">ההטבה תינתן לעסקים עם מחזור פעילות של עד </w:t>
            </w:r>
            <w:r w:rsidR="00554457" w:rsidRPr="00891A31">
              <w:rPr>
                <w:rFonts w:cstheme="minorHAnsi"/>
                <w:rtl/>
              </w:rPr>
              <w:t>10</w:t>
            </w:r>
            <w:r w:rsidRPr="00891A31">
              <w:rPr>
                <w:rFonts w:cstheme="minorHAnsi"/>
                <w:rtl/>
              </w:rPr>
              <w:t xml:space="preserve"> מיליון ₪ אשר משתייכים לכל הקבוצות במעגל הראשון ואשר ערב פרסום ההודעה לציבור אודות הרחבת המתווה</w:t>
            </w:r>
            <w:r w:rsidR="00A32FB3" w:rsidRPr="00891A31">
              <w:rPr>
                <w:rFonts w:cstheme="minorHAnsi"/>
                <w:rtl/>
              </w:rPr>
              <w:t xml:space="preserve"> (20.9.24) חשבון העו"ש שלהם היה</w:t>
            </w:r>
            <w:r w:rsidRPr="00891A31">
              <w:rPr>
                <w:rFonts w:cstheme="minorHAnsi"/>
                <w:rtl/>
              </w:rPr>
              <w:t xml:space="preserve"> ביתרת חובה</w:t>
            </w:r>
            <w:r w:rsidR="00A32FB3" w:rsidRPr="00891A31">
              <w:rPr>
                <w:rStyle w:val="FootnoteReference"/>
                <w:rFonts w:cstheme="minorHAnsi"/>
                <w:rtl/>
              </w:rPr>
              <w:t>.</w:t>
            </w:r>
            <w:r w:rsidR="00A32FB3" w:rsidRPr="00891A31">
              <w:rPr>
                <w:rFonts w:cstheme="minorHAnsi"/>
                <w:rtl/>
              </w:rPr>
              <w:t>.</w:t>
            </w:r>
            <w:r w:rsidRPr="00891A31">
              <w:rPr>
                <w:rFonts w:cstheme="minorHAnsi"/>
                <w:rtl/>
              </w:rPr>
              <w:t xml:space="preserve"> אלו יהיו פטורים </w:t>
            </w:r>
            <w:r w:rsidRPr="00891A31">
              <w:rPr>
                <w:rFonts w:cstheme="minorHAnsi"/>
                <w:rtl/>
              </w:rPr>
              <w:lastRenderedPageBreak/>
              <w:t>מתשלום ריבית על יתרת החובה</w:t>
            </w:r>
            <w:r w:rsidRPr="00891A31">
              <w:rPr>
                <w:rStyle w:val="FootnoteReference"/>
                <w:rFonts w:cstheme="minorHAnsi"/>
                <w:rtl/>
              </w:rPr>
              <w:footnoteReference w:id="10"/>
            </w:r>
            <w:r w:rsidRPr="00891A31">
              <w:rPr>
                <w:rFonts w:cstheme="minorHAnsi"/>
                <w:rtl/>
              </w:rPr>
              <w:t xml:space="preserve">  בחשבון העסקי עד סכום של 30,000 ₪, לתקופה של 3 חודשים, בכפוף להמצאת אסמכתא</w:t>
            </w:r>
            <w:r w:rsidR="00FF3EDC" w:rsidRPr="00891A31">
              <w:rPr>
                <w:rFonts w:cstheme="minorHAnsi"/>
                <w:rtl/>
              </w:rPr>
              <w:t xml:space="preserve"> ככל שהמידע לא קיים ברשות הבנק.</w:t>
            </w:r>
          </w:p>
        </w:tc>
      </w:tr>
      <w:tr w:rsidR="0027581E" w:rsidRPr="00891A31" w:rsidTr="006F5C83">
        <w:tc>
          <w:tcPr>
            <w:tcW w:w="1288" w:type="dxa"/>
            <w:vAlign w:val="center"/>
          </w:tcPr>
          <w:p w:rsidR="0027581E" w:rsidRPr="00891A31" w:rsidRDefault="0027581E" w:rsidP="000E2F81">
            <w:pPr>
              <w:spacing w:line="360" w:lineRule="auto"/>
              <w:jc w:val="center"/>
              <w:rPr>
                <w:rFonts w:eastAsia="Times New Roman" w:cstheme="minorHAnsi"/>
                <w:b/>
                <w:bCs/>
                <w:color w:val="C00000"/>
                <w:sz w:val="28"/>
                <w:szCs w:val="28"/>
                <w:rtl/>
              </w:rPr>
            </w:pPr>
            <w:r w:rsidRPr="00891A31">
              <w:rPr>
                <w:rFonts w:cstheme="minorHAnsi"/>
                <w:b/>
                <w:bCs/>
                <w:color w:val="002060"/>
                <w:sz w:val="28"/>
                <w:szCs w:val="28"/>
                <w:rtl/>
              </w:rPr>
              <w:lastRenderedPageBreak/>
              <w:t>הקלות בתחום העמלות:</w:t>
            </w:r>
            <w:r w:rsidRPr="00891A31">
              <w:rPr>
                <w:rStyle w:val="FootnoteReference"/>
                <w:rFonts w:cstheme="minorHAnsi"/>
                <w:b/>
                <w:bCs/>
                <w:sz w:val="24"/>
                <w:szCs w:val="24"/>
                <w:rtl/>
              </w:rPr>
              <w:footnoteReference w:id="11"/>
            </w:r>
          </w:p>
        </w:tc>
        <w:tc>
          <w:tcPr>
            <w:tcW w:w="8736" w:type="dxa"/>
            <w:gridSpan w:val="4"/>
          </w:tcPr>
          <w:p w:rsidR="00B84705" w:rsidRPr="00891A31" w:rsidRDefault="00B84705" w:rsidP="000E2F81">
            <w:pPr>
              <w:spacing w:line="480" w:lineRule="auto"/>
              <w:jc w:val="center"/>
              <w:rPr>
                <w:rFonts w:cstheme="minorHAnsi"/>
                <w:sz w:val="24"/>
                <w:szCs w:val="24"/>
                <w:rtl/>
              </w:rPr>
            </w:pPr>
          </w:p>
          <w:p w:rsidR="0027581E" w:rsidRPr="00891A31" w:rsidRDefault="0027581E" w:rsidP="000E2F81">
            <w:pPr>
              <w:spacing w:line="480" w:lineRule="auto"/>
              <w:jc w:val="center"/>
              <w:rPr>
                <w:rFonts w:cstheme="minorHAnsi"/>
                <w:sz w:val="24"/>
                <w:szCs w:val="24"/>
                <w:rtl/>
              </w:rPr>
            </w:pPr>
            <w:r w:rsidRPr="00891A31">
              <w:rPr>
                <w:rFonts w:cstheme="minorHAnsi"/>
                <w:sz w:val="24"/>
                <w:szCs w:val="24"/>
                <w:rtl/>
              </w:rPr>
              <w:t>פטור גורף לתקופה של 3 חודשים</w:t>
            </w:r>
            <w:r w:rsidR="00430FE6" w:rsidRPr="00891A31">
              <w:rPr>
                <w:rFonts w:cstheme="minorHAnsi"/>
                <w:sz w:val="24"/>
                <w:szCs w:val="24"/>
                <w:rtl/>
              </w:rPr>
              <w:t xml:space="preserve"> נוספים</w:t>
            </w:r>
          </w:p>
          <w:p w:rsidR="0027581E" w:rsidRPr="00891A31" w:rsidRDefault="0027581E" w:rsidP="000E2F81">
            <w:pPr>
              <w:spacing w:line="480" w:lineRule="auto"/>
              <w:jc w:val="center"/>
              <w:rPr>
                <w:rFonts w:cstheme="minorHAnsi"/>
                <w:sz w:val="24"/>
                <w:szCs w:val="24"/>
                <w:rtl/>
              </w:rPr>
            </w:pPr>
            <w:r w:rsidRPr="00891A31">
              <w:rPr>
                <w:rFonts w:cstheme="minorHAnsi"/>
                <w:sz w:val="24"/>
                <w:szCs w:val="24"/>
                <w:rtl/>
              </w:rPr>
              <w:t xml:space="preserve">מגביית עמלות בגין פעולות שיבצעו לקוחות המשתייכים למעגל הראשון, </w:t>
            </w:r>
          </w:p>
          <w:p w:rsidR="0027581E" w:rsidRPr="00891A31" w:rsidRDefault="0027581E" w:rsidP="00900D44">
            <w:pPr>
              <w:spacing w:line="480" w:lineRule="auto"/>
              <w:jc w:val="center"/>
              <w:rPr>
                <w:rFonts w:eastAsia="Times New Roman" w:cstheme="minorHAnsi"/>
                <w:color w:val="000000"/>
                <w:sz w:val="24"/>
                <w:szCs w:val="24"/>
                <w:rtl/>
              </w:rPr>
            </w:pPr>
            <w:r w:rsidRPr="00891A31">
              <w:rPr>
                <w:rFonts w:cstheme="minorHAnsi"/>
                <w:sz w:val="24"/>
                <w:szCs w:val="24"/>
                <w:rtl/>
              </w:rPr>
              <w:t>למעט פעילות מט"ח, ני"ע, סחר חוץ</w:t>
            </w:r>
            <w:r w:rsidR="00554457" w:rsidRPr="00891A31">
              <w:rPr>
                <w:rFonts w:cstheme="minorHAnsi"/>
                <w:sz w:val="24"/>
                <w:szCs w:val="24"/>
                <w:rtl/>
              </w:rPr>
              <w:t>, עמלת ערבות בנקאית</w:t>
            </w:r>
            <w:r w:rsidR="00900D44" w:rsidRPr="00891A31">
              <w:rPr>
                <w:rFonts w:cstheme="minorHAnsi"/>
                <w:sz w:val="24"/>
                <w:szCs w:val="24"/>
                <w:rtl/>
              </w:rPr>
              <w:t xml:space="preserve"> ו</w:t>
            </w:r>
            <w:r w:rsidRPr="00891A31">
              <w:rPr>
                <w:rFonts w:cstheme="minorHAnsi"/>
                <w:sz w:val="24"/>
                <w:szCs w:val="24"/>
                <w:rtl/>
              </w:rPr>
              <w:t xml:space="preserve">יהלומים (כמפורט בהערת השוליים). </w:t>
            </w:r>
          </w:p>
        </w:tc>
      </w:tr>
      <w:tr w:rsidR="0027581E" w:rsidRPr="00891A31" w:rsidTr="000E2F81">
        <w:tc>
          <w:tcPr>
            <w:tcW w:w="10024" w:type="dxa"/>
            <w:gridSpan w:val="5"/>
            <w:vAlign w:val="center"/>
          </w:tcPr>
          <w:p w:rsidR="00FE32B4" w:rsidRPr="00891A31" w:rsidRDefault="00FE32B4" w:rsidP="000E2F81">
            <w:pPr>
              <w:spacing w:line="360" w:lineRule="auto"/>
              <w:jc w:val="center"/>
              <w:rPr>
                <w:rFonts w:eastAsia="Times New Roman" w:cstheme="minorHAnsi"/>
                <w:b/>
                <w:bCs/>
                <w:color w:val="C00000"/>
                <w:sz w:val="28"/>
                <w:szCs w:val="28"/>
                <w:rtl/>
              </w:rPr>
            </w:pPr>
          </w:p>
          <w:p w:rsidR="0027581E" w:rsidRPr="00891A31" w:rsidRDefault="0027581E" w:rsidP="000E2F81">
            <w:pPr>
              <w:spacing w:line="360" w:lineRule="auto"/>
              <w:jc w:val="center"/>
              <w:rPr>
                <w:rFonts w:eastAsia="Times New Roman" w:cstheme="minorHAnsi"/>
                <w:b/>
                <w:bCs/>
                <w:color w:val="C00000"/>
                <w:sz w:val="28"/>
                <w:szCs w:val="28"/>
                <w:rtl/>
              </w:rPr>
            </w:pPr>
            <w:r w:rsidRPr="00891A31">
              <w:rPr>
                <w:rFonts w:eastAsia="Times New Roman" w:cstheme="minorHAnsi"/>
                <w:b/>
                <w:bCs/>
                <w:color w:val="C00000"/>
                <w:sz w:val="28"/>
                <w:szCs w:val="28"/>
                <w:rtl/>
              </w:rPr>
              <w:t>מעגל שני</w:t>
            </w:r>
          </w:p>
          <w:p w:rsidR="0027581E" w:rsidRPr="00891A31" w:rsidRDefault="0027581E" w:rsidP="000E2F81">
            <w:pPr>
              <w:spacing w:line="360" w:lineRule="auto"/>
              <w:jc w:val="center"/>
              <w:rPr>
                <w:rFonts w:cstheme="minorHAnsi"/>
                <w:sz w:val="24"/>
                <w:szCs w:val="24"/>
                <w:rtl/>
              </w:rPr>
            </w:pPr>
            <w:r w:rsidRPr="00891A31">
              <w:rPr>
                <w:rFonts w:eastAsia="Times New Roman" w:cstheme="minorHAnsi"/>
                <w:b/>
                <w:bCs/>
                <w:color w:val="002060"/>
                <w:sz w:val="28"/>
                <w:szCs w:val="28"/>
                <w:rtl/>
              </w:rPr>
              <w:t>כל יתר לקוחות הבנקים</w:t>
            </w:r>
          </w:p>
        </w:tc>
      </w:tr>
      <w:tr w:rsidR="006F5C83" w:rsidRPr="00891A31" w:rsidTr="006F5C83">
        <w:tc>
          <w:tcPr>
            <w:tcW w:w="1288" w:type="dxa"/>
            <w:vMerge w:val="restart"/>
            <w:vAlign w:val="center"/>
          </w:tcPr>
          <w:p w:rsidR="006F5C83" w:rsidRPr="00891A31" w:rsidRDefault="006F5C83" w:rsidP="006F5C83">
            <w:pPr>
              <w:spacing w:line="360" w:lineRule="auto"/>
              <w:jc w:val="center"/>
              <w:rPr>
                <w:rFonts w:cstheme="minorHAnsi"/>
                <w:b/>
                <w:bCs/>
                <w:color w:val="002060"/>
                <w:sz w:val="28"/>
                <w:szCs w:val="28"/>
                <w:rtl/>
              </w:rPr>
            </w:pPr>
            <w:r w:rsidRPr="00891A31">
              <w:rPr>
                <w:rFonts w:cstheme="minorHAnsi"/>
                <w:b/>
                <w:bCs/>
                <w:color w:val="002060"/>
                <w:sz w:val="28"/>
                <w:szCs w:val="28"/>
                <w:rtl/>
              </w:rPr>
              <w:t>הקלות בתחום האשראי:</w:t>
            </w:r>
          </w:p>
          <w:p w:rsidR="006F5C83" w:rsidRPr="00891A31" w:rsidRDefault="006F5C83" w:rsidP="006F5C83">
            <w:pPr>
              <w:spacing w:line="360" w:lineRule="auto"/>
              <w:jc w:val="center"/>
              <w:rPr>
                <w:rFonts w:cstheme="minorHAnsi"/>
                <w:sz w:val="28"/>
                <w:szCs w:val="28"/>
                <w:rtl/>
              </w:rPr>
            </w:pPr>
          </w:p>
        </w:tc>
        <w:tc>
          <w:tcPr>
            <w:tcW w:w="2521" w:type="dxa"/>
          </w:tcPr>
          <w:p w:rsidR="006F5C83" w:rsidRPr="00891A31" w:rsidRDefault="006F5C83" w:rsidP="006F5C83">
            <w:pPr>
              <w:spacing w:line="360" w:lineRule="auto"/>
              <w:jc w:val="center"/>
              <w:rPr>
                <w:rFonts w:cstheme="minorHAnsi"/>
                <w:sz w:val="24"/>
                <w:szCs w:val="24"/>
                <w:rtl/>
              </w:rPr>
            </w:pPr>
            <w:r w:rsidRPr="00891A31">
              <w:rPr>
                <w:rFonts w:cstheme="minorHAnsi"/>
                <w:b/>
                <w:bCs/>
                <w:sz w:val="24"/>
                <w:szCs w:val="24"/>
                <w:rtl/>
              </w:rPr>
              <w:t>משכנתאות</w:t>
            </w:r>
            <w:r w:rsidRPr="00891A31">
              <w:rPr>
                <w:rStyle w:val="FootnoteReference"/>
                <w:rFonts w:cstheme="minorHAnsi"/>
                <w:sz w:val="24"/>
                <w:szCs w:val="24"/>
                <w:rtl/>
              </w:rPr>
              <w:footnoteReference w:id="12"/>
            </w:r>
          </w:p>
        </w:tc>
        <w:tc>
          <w:tcPr>
            <w:tcW w:w="1785" w:type="dxa"/>
            <w:vMerge w:val="restart"/>
            <w:vAlign w:val="center"/>
          </w:tcPr>
          <w:p w:rsidR="00144CD6" w:rsidRPr="00891A31" w:rsidRDefault="006F5C83" w:rsidP="00144CD6">
            <w:pPr>
              <w:spacing w:line="360" w:lineRule="auto"/>
              <w:rPr>
                <w:rFonts w:cstheme="minorHAnsi"/>
                <w:rtl/>
              </w:rPr>
            </w:pPr>
            <w:r w:rsidRPr="00891A31">
              <w:rPr>
                <w:rFonts w:cstheme="minorHAnsi"/>
                <w:rtl/>
              </w:rPr>
              <w:t xml:space="preserve"> </w:t>
            </w:r>
            <w:r w:rsidR="00144CD6" w:rsidRPr="00891A31">
              <w:rPr>
                <w:rFonts w:cstheme="minorHAnsi"/>
                <w:rtl/>
              </w:rPr>
              <w:t xml:space="preserve">לקוח שביצע דחיית תשלומים בפועל במהלך המתווה יהיה זכאי לדחייה של שלושה חודשים נוספים, בכפוף להגשת בקשה, ובלבד שתקופת דחיית התשלומים במסגרת המתווה </w:t>
            </w:r>
            <w:r w:rsidR="00144CD6" w:rsidRPr="00891A31">
              <w:rPr>
                <w:rFonts w:cstheme="minorHAnsi"/>
                <w:rtl/>
              </w:rPr>
              <w:lastRenderedPageBreak/>
              <w:t>לא תעלה על 9 חודשים במצטבר</w:t>
            </w:r>
            <w:r w:rsidR="00144CD6" w:rsidRPr="00891A31">
              <w:rPr>
                <w:rFonts w:cstheme="minorHAnsi"/>
                <w:vertAlign w:val="superscript"/>
                <w:rtl/>
              </w:rPr>
              <w:footnoteReference w:id="13"/>
            </w:r>
            <w:r w:rsidR="00144CD6" w:rsidRPr="00891A31">
              <w:rPr>
                <w:rFonts w:cstheme="minorHAnsi"/>
                <w:rtl/>
              </w:rPr>
              <w:t>.</w:t>
            </w:r>
          </w:p>
          <w:p w:rsidR="006F5C83" w:rsidRPr="00891A31" w:rsidRDefault="00144CD6" w:rsidP="00144CD6">
            <w:pPr>
              <w:spacing w:line="360" w:lineRule="auto"/>
              <w:rPr>
                <w:rFonts w:cstheme="minorHAnsi"/>
                <w:rtl/>
              </w:rPr>
            </w:pPr>
            <w:r w:rsidRPr="00891A31">
              <w:rPr>
                <w:rFonts w:cstheme="minorHAnsi"/>
                <w:rtl/>
              </w:rPr>
              <w:t xml:space="preserve">לקוח שלא ביצע דחיית תשלומים מכוח המתווה, יהיה זכאי לדחייה של 3 חודשים, בכפוף להגשת בקשה. </w:t>
            </w:r>
          </w:p>
        </w:tc>
        <w:tc>
          <w:tcPr>
            <w:tcW w:w="1405" w:type="dxa"/>
            <w:vMerge w:val="restart"/>
            <w:vAlign w:val="center"/>
          </w:tcPr>
          <w:p w:rsidR="006F5C83" w:rsidRPr="00891A31" w:rsidRDefault="006F5C83" w:rsidP="006F5C83">
            <w:pPr>
              <w:spacing w:line="360" w:lineRule="auto"/>
              <w:jc w:val="center"/>
              <w:rPr>
                <w:rFonts w:cstheme="minorHAnsi"/>
                <w:rtl/>
              </w:rPr>
            </w:pPr>
            <w:r w:rsidRPr="00891A31">
              <w:rPr>
                <w:rFonts w:eastAsia="Times New Roman" w:cstheme="minorHAnsi"/>
                <w:color w:val="000000"/>
                <w:rtl/>
              </w:rPr>
              <w:lastRenderedPageBreak/>
              <w:t>הריבית ההסכמית</w:t>
            </w:r>
            <w:r w:rsidRPr="00891A31">
              <w:rPr>
                <w:rStyle w:val="FootnoteReference"/>
                <w:rFonts w:cstheme="minorHAnsi"/>
                <w:rtl/>
              </w:rPr>
              <w:footnoteReference w:id="14"/>
            </w:r>
          </w:p>
        </w:tc>
        <w:tc>
          <w:tcPr>
            <w:tcW w:w="3025" w:type="dxa"/>
            <w:vMerge w:val="restart"/>
            <w:vAlign w:val="center"/>
          </w:tcPr>
          <w:p w:rsidR="006F5C83" w:rsidRPr="00891A31" w:rsidRDefault="00430FE6" w:rsidP="00430FE6">
            <w:pPr>
              <w:spacing w:line="360" w:lineRule="auto"/>
              <w:jc w:val="center"/>
              <w:rPr>
                <w:rFonts w:cstheme="minorHAnsi"/>
                <w:rtl/>
              </w:rPr>
            </w:pPr>
            <w:r w:rsidRPr="00891A31">
              <w:rPr>
                <w:rFonts w:eastAsia="Times New Roman" w:cstheme="minorHAnsi"/>
                <w:color w:val="000000"/>
                <w:rtl/>
              </w:rPr>
              <w:t>פריסה על יתרת תקופת ההלוואה או הארכת תקופת ההלוואה, בהתאם לבחירת הלקוח</w:t>
            </w:r>
            <w:r w:rsidR="006F5C83" w:rsidRPr="00891A31">
              <w:rPr>
                <w:rStyle w:val="FootnoteReference"/>
                <w:rFonts w:eastAsia="Times New Roman" w:cstheme="minorHAnsi"/>
                <w:color w:val="000000"/>
                <w:rtl/>
              </w:rPr>
              <w:footnoteReference w:id="15"/>
            </w:r>
            <w:r w:rsidR="006F5C83" w:rsidRPr="00891A31">
              <w:rPr>
                <w:rFonts w:eastAsia="Times New Roman" w:cstheme="minorHAnsi"/>
                <w:color w:val="000000"/>
                <w:rtl/>
              </w:rPr>
              <w:t xml:space="preserve"> </w:t>
            </w:r>
          </w:p>
        </w:tc>
      </w:tr>
      <w:tr w:rsidR="006F5C83" w:rsidRPr="00891A31" w:rsidTr="006F5C83">
        <w:tc>
          <w:tcPr>
            <w:tcW w:w="1288" w:type="dxa"/>
            <w:vMerge/>
          </w:tcPr>
          <w:p w:rsidR="006F5C83" w:rsidRPr="00891A31" w:rsidRDefault="006F5C83" w:rsidP="006F5C83">
            <w:pPr>
              <w:spacing w:line="360" w:lineRule="auto"/>
              <w:jc w:val="center"/>
              <w:rPr>
                <w:rFonts w:cstheme="minorHAnsi"/>
                <w:sz w:val="24"/>
                <w:szCs w:val="24"/>
                <w:rtl/>
              </w:rPr>
            </w:pPr>
          </w:p>
        </w:tc>
        <w:tc>
          <w:tcPr>
            <w:tcW w:w="2521" w:type="dxa"/>
          </w:tcPr>
          <w:p w:rsidR="006F5C83" w:rsidRPr="00891A31" w:rsidRDefault="006F5C83" w:rsidP="006F5C83">
            <w:pPr>
              <w:spacing w:line="360" w:lineRule="auto"/>
              <w:jc w:val="center"/>
              <w:rPr>
                <w:rFonts w:cstheme="minorHAnsi"/>
                <w:sz w:val="24"/>
                <w:szCs w:val="24"/>
                <w:rtl/>
              </w:rPr>
            </w:pPr>
            <w:r w:rsidRPr="00891A31">
              <w:rPr>
                <w:rFonts w:eastAsia="Times New Roman" w:cstheme="minorHAnsi"/>
                <w:b/>
                <w:bCs/>
                <w:sz w:val="24"/>
                <w:szCs w:val="24"/>
                <w:rtl/>
              </w:rPr>
              <w:t>אשראי צרכני מצטבר בסכום של עד 100,000 ש"ח</w:t>
            </w:r>
          </w:p>
        </w:tc>
        <w:tc>
          <w:tcPr>
            <w:tcW w:w="1785" w:type="dxa"/>
            <w:vMerge/>
          </w:tcPr>
          <w:p w:rsidR="006F5C83" w:rsidRPr="00891A31" w:rsidRDefault="006F5C83" w:rsidP="006F5C83">
            <w:pPr>
              <w:spacing w:line="360" w:lineRule="auto"/>
              <w:jc w:val="center"/>
              <w:rPr>
                <w:rFonts w:cstheme="minorHAnsi"/>
                <w:sz w:val="24"/>
                <w:szCs w:val="24"/>
              </w:rPr>
            </w:pPr>
          </w:p>
        </w:tc>
        <w:tc>
          <w:tcPr>
            <w:tcW w:w="1405" w:type="dxa"/>
            <w:vMerge/>
          </w:tcPr>
          <w:p w:rsidR="006F5C83" w:rsidRPr="00891A31" w:rsidRDefault="006F5C83" w:rsidP="006F5C83">
            <w:pPr>
              <w:spacing w:line="360" w:lineRule="auto"/>
              <w:jc w:val="center"/>
              <w:rPr>
                <w:rFonts w:cstheme="minorHAnsi"/>
                <w:sz w:val="24"/>
                <w:szCs w:val="24"/>
                <w:rtl/>
              </w:rPr>
            </w:pPr>
          </w:p>
        </w:tc>
        <w:tc>
          <w:tcPr>
            <w:tcW w:w="3025" w:type="dxa"/>
            <w:vMerge/>
          </w:tcPr>
          <w:p w:rsidR="006F5C83" w:rsidRPr="00891A31" w:rsidRDefault="006F5C83" w:rsidP="006F5C83">
            <w:pPr>
              <w:spacing w:line="360" w:lineRule="auto"/>
              <w:jc w:val="center"/>
              <w:rPr>
                <w:rFonts w:cstheme="minorHAnsi"/>
                <w:sz w:val="24"/>
                <w:szCs w:val="24"/>
                <w:rtl/>
              </w:rPr>
            </w:pPr>
          </w:p>
        </w:tc>
      </w:tr>
      <w:tr w:rsidR="006F5C83" w:rsidRPr="00891A31" w:rsidTr="006F5C83">
        <w:tc>
          <w:tcPr>
            <w:tcW w:w="1288" w:type="dxa"/>
            <w:vMerge/>
          </w:tcPr>
          <w:p w:rsidR="006F5C83" w:rsidRPr="00891A31" w:rsidRDefault="006F5C83" w:rsidP="006F5C83">
            <w:pPr>
              <w:spacing w:line="360" w:lineRule="auto"/>
              <w:jc w:val="center"/>
              <w:rPr>
                <w:rFonts w:cstheme="minorHAnsi"/>
                <w:sz w:val="24"/>
                <w:szCs w:val="24"/>
                <w:rtl/>
              </w:rPr>
            </w:pPr>
          </w:p>
        </w:tc>
        <w:tc>
          <w:tcPr>
            <w:tcW w:w="2521" w:type="dxa"/>
          </w:tcPr>
          <w:p w:rsidR="006F5C83" w:rsidRPr="00891A31" w:rsidRDefault="006F5C83" w:rsidP="006F5C83">
            <w:pPr>
              <w:spacing w:line="360" w:lineRule="auto"/>
              <w:jc w:val="center"/>
              <w:rPr>
                <w:rFonts w:cstheme="minorHAnsi"/>
                <w:b/>
                <w:bCs/>
                <w:sz w:val="24"/>
                <w:szCs w:val="24"/>
                <w:rtl/>
              </w:rPr>
            </w:pPr>
            <w:r w:rsidRPr="00891A31">
              <w:rPr>
                <w:rFonts w:cstheme="minorHAnsi"/>
                <w:b/>
                <w:bCs/>
                <w:sz w:val="24"/>
                <w:szCs w:val="24"/>
                <w:rtl/>
              </w:rPr>
              <w:t>אשראי עסקי עד סכום של 2 מיליון ש"ח</w:t>
            </w:r>
          </w:p>
        </w:tc>
        <w:tc>
          <w:tcPr>
            <w:tcW w:w="1785" w:type="dxa"/>
            <w:vMerge/>
          </w:tcPr>
          <w:p w:rsidR="006F5C83" w:rsidRPr="00891A31" w:rsidRDefault="006F5C83" w:rsidP="006F5C83">
            <w:pPr>
              <w:spacing w:line="360" w:lineRule="auto"/>
              <w:jc w:val="center"/>
              <w:rPr>
                <w:rFonts w:cstheme="minorHAnsi"/>
                <w:sz w:val="24"/>
                <w:szCs w:val="24"/>
                <w:rtl/>
              </w:rPr>
            </w:pPr>
          </w:p>
        </w:tc>
        <w:tc>
          <w:tcPr>
            <w:tcW w:w="1405" w:type="dxa"/>
            <w:vMerge/>
          </w:tcPr>
          <w:p w:rsidR="006F5C83" w:rsidRPr="00891A31" w:rsidRDefault="006F5C83" w:rsidP="006F5C83">
            <w:pPr>
              <w:spacing w:line="360" w:lineRule="auto"/>
              <w:jc w:val="center"/>
              <w:rPr>
                <w:rFonts w:cstheme="minorHAnsi"/>
                <w:sz w:val="24"/>
                <w:szCs w:val="24"/>
                <w:rtl/>
              </w:rPr>
            </w:pPr>
          </w:p>
        </w:tc>
        <w:tc>
          <w:tcPr>
            <w:tcW w:w="3025" w:type="dxa"/>
            <w:vMerge/>
          </w:tcPr>
          <w:p w:rsidR="006F5C83" w:rsidRPr="00891A31" w:rsidRDefault="006F5C83" w:rsidP="006F5C83">
            <w:pPr>
              <w:spacing w:line="360" w:lineRule="auto"/>
              <w:jc w:val="center"/>
              <w:rPr>
                <w:rFonts w:cstheme="minorHAnsi"/>
                <w:sz w:val="24"/>
                <w:szCs w:val="24"/>
                <w:rtl/>
              </w:rPr>
            </w:pPr>
          </w:p>
        </w:tc>
      </w:tr>
      <w:tr w:rsidR="006F5C83" w:rsidRPr="00891A31" w:rsidTr="006F5C83">
        <w:tc>
          <w:tcPr>
            <w:tcW w:w="1288" w:type="dxa"/>
            <w:vMerge/>
          </w:tcPr>
          <w:p w:rsidR="006F5C83" w:rsidRPr="00891A31" w:rsidRDefault="006F5C83" w:rsidP="006F5C83">
            <w:pPr>
              <w:spacing w:line="360" w:lineRule="auto"/>
              <w:jc w:val="center"/>
              <w:rPr>
                <w:rFonts w:cstheme="minorHAnsi"/>
                <w:sz w:val="24"/>
                <w:szCs w:val="24"/>
                <w:rtl/>
              </w:rPr>
            </w:pPr>
          </w:p>
        </w:tc>
        <w:tc>
          <w:tcPr>
            <w:tcW w:w="2521" w:type="dxa"/>
          </w:tcPr>
          <w:p w:rsidR="006F5C83" w:rsidRPr="00891A31" w:rsidRDefault="006F5C83" w:rsidP="006F5C83">
            <w:pPr>
              <w:spacing w:line="360" w:lineRule="auto"/>
              <w:jc w:val="center"/>
              <w:rPr>
                <w:rFonts w:cstheme="minorHAnsi"/>
                <w:sz w:val="24"/>
                <w:szCs w:val="24"/>
                <w:rtl/>
              </w:rPr>
            </w:pPr>
            <w:r w:rsidRPr="00891A31">
              <w:rPr>
                <w:rFonts w:cstheme="minorHAnsi"/>
                <w:b/>
                <w:bCs/>
                <w:sz w:val="24"/>
                <w:szCs w:val="24"/>
                <w:rtl/>
              </w:rPr>
              <w:t>עמלות</w:t>
            </w:r>
          </w:p>
        </w:tc>
        <w:tc>
          <w:tcPr>
            <w:tcW w:w="6215" w:type="dxa"/>
            <w:gridSpan w:val="3"/>
          </w:tcPr>
          <w:p w:rsidR="006F5C83" w:rsidRPr="00891A31" w:rsidRDefault="006F5C83" w:rsidP="00B84705">
            <w:pPr>
              <w:rPr>
                <w:rFonts w:cstheme="minorHAnsi"/>
                <w:rtl/>
              </w:rPr>
            </w:pPr>
            <w:r w:rsidRPr="00891A31">
              <w:rPr>
                <w:rFonts w:cstheme="minorHAnsi"/>
                <w:sz w:val="24"/>
                <w:szCs w:val="24"/>
                <w:rtl/>
              </w:rPr>
              <w:t xml:space="preserve">דחיית התשלומים תבוצע ללא חיוב בעמלות. </w:t>
            </w:r>
          </w:p>
        </w:tc>
      </w:tr>
    </w:tbl>
    <w:p w:rsidR="0027581E" w:rsidRPr="00891A31" w:rsidRDefault="0027581E" w:rsidP="0027581E">
      <w:pPr>
        <w:spacing w:after="0" w:line="240" w:lineRule="auto"/>
        <w:rPr>
          <w:rFonts w:eastAsia="Times New Roman" w:cstheme="minorHAnsi"/>
          <w:color w:val="000000"/>
          <w:sz w:val="24"/>
          <w:szCs w:val="24"/>
          <w:u w:val="single"/>
          <w:rtl/>
        </w:rPr>
      </w:pPr>
    </w:p>
    <w:p w:rsidR="00C9255C" w:rsidRPr="00891A31" w:rsidRDefault="00C9255C" w:rsidP="0027581E">
      <w:pPr>
        <w:spacing w:after="0" w:line="240" w:lineRule="auto"/>
        <w:rPr>
          <w:rFonts w:eastAsia="Times New Roman" w:cstheme="minorHAnsi"/>
          <w:color w:val="000000"/>
          <w:sz w:val="24"/>
          <w:szCs w:val="24"/>
          <w:u w:val="single"/>
          <w:rtl/>
        </w:rPr>
      </w:pPr>
    </w:p>
    <w:p w:rsidR="0027581E" w:rsidRPr="00891A31" w:rsidRDefault="0027581E" w:rsidP="0027581E">
      <w:pPr>
        <w:spacing w:after="0" w:line="240" w:lineRule="auto"/>
        <w:rPr>
          <w:rFonts w:eastAsia="Times New Roman" w:cstheme="minorHAnsi"/>
          <w:color w:val="000000"/>
          <w:sz w:val="24"/>
          <w:szCs w:val="24"/>
          <w:u w:val="single"/>
          <w:rtl/>
        </w:rPr>
      </w:pPr>
      <w:r w:rsidRPr="00891A31">
        <w:rPr>
          <w:rFonts w:eastAsia="Times New Roman" w:cstheme="minorHAnsi"/>
          <w:color w:val="000000"/>
          <w:sz w:val="24"/>
          <w:szCs w:val="24"/>
          <w:u w:val="single"/>
          <w:rtl/>
        </w:rPr>
        <w:t xml:space="preserve">הבהרות: </w:t>
      </w:r>
    </w:p>
    <w:p w:rsidR="00C9255C" w:rsidRPr="00891A31" w:rsidRDefault="00C9255C" w:rsidP="0027581E">
      <w:pPr>
        <w:spacing w:after="0" w:line="240" w:lineRule="auto"/>
        <w:rPr>
          <w:rFonts w:eastAsia="Times New Roman" w:cstheme="minorHAnsi"/>
          <w:color w:val="000000"/>
          <w:sz w:val="24"/>
          <w:szCs w:val="24"/>
          <w:u w:val="single"/>
          <w:rtl/>
        </w:rPr>
      </w:pPr>
    </w:p>
    <w:p w:rsidR="0027581E" w:rsidRPr="00891A31" w:rsidRDefault="0027581E" w:rsidP="00552FAD">
      <w:pPr>
        <w:pStyle w:val="ListParagraph"/>
        <w:numPr>
          <w:ilvl w:val="0"/>
          <w:numId w:val="2"/>
        </w:numPr>
        <w:spacing w:after="0" w:line="240" w:lineRule="auto"/>
        <w:jc w:val="both"/>
        <w:rPr>
          <w:rFonts w:eastAsia="Times New Roman" w:cstheme="minorHAnsi"/>
          <w:color w:val="000000"/>
        </w:rPr>
      </w:pPr>
      <w:r w:rsidRPr="00891A31">
        <w:rPr>
          <w:rFonts w:eastAsia="Times New Roman" w:cstheme="minorHAnsi"/>
          <w:color w:val="000000"/>
          <w:rtl/>
        </w:rPr>
        <w:t xml:space="preserve">מועד הכניסה לתוקף של </w:t>
      </w:r>
      <w:r w:rsidR="006F5C83" w:rsidRPr="00891A31">
        <w:rPr>
          <w:rFonts w:eastAsia="Times New Roman" w:cstheme="minorHAnsi"/>
          <w:color w:val="000000"/>
          <w:rtl/>
        </w:rPr>
        <w:t xml:space="preserve">הרחבת </w:t>
      </w:r>
      <w:r w:rsidRPr="00891A31">
        <w:rPr>
          <w:rFonts w:eastAsia="Times New Roman" w:cstheme="minorHAnsi"/>
          <w:color w:val="000000"/>
          <w:rtl/>
        </w:rPr>
        <w:t xml:space="preserve">המתווה הוא </w:t>
      </w:r>
      <w:r w:rsidR="006F5C83" w:rsidRPr="00891A31">
        <w:rPr>
          <w:rFonts w:eastAsia="Times New Roman" w:cstheme="minorHAnsi"/>
          <w:color w:val="000000"/>
          <w:rtl/>
        </w:rPr>
        <w:t>ב</w:t>
      </w:r>
      <w:r w:rsidRPr="00891A31">
        <w:rPr>
          <w:rFonts w:eastAsia="Times New Roman" w:cstheme="minorHAnsi"/>
          <w:color w:val="000000"/>
          <w:rtl/>
        </w:rPr>
        <w:t xml:space="preserve">תאריך </w:t>
      </w:r>
      <w:r w:rsidR="006F5C83" w:rsidRPr="00891A31">
        <w:rPr>
          <w:rFonts w:eastAsia="Times New Roman" w:cstheme="minorHAnsi"/>
          <w:color w:val="000000"/>
          <w:rtl/>
        </w:rPr>
        <w:t>1.</w:t>
      </w:r>
      <w:r w:rsidR="00552FAD" w:rsidRPr="00891A31">
        <w:rPr>
          <w:rFonts w:eastAsia="Times New Roman" w:cstheme="minorHAnsi"/>
          <w:color w:val="000000"/>
          <w:rtl/>
        </w:rPr>
        <w:t>10</w:t>
      </w:r>
      <w:r w:rsidR="006F5C83" w:rsidRPr="00891A31">
        <w:rPr>
          <w:rFonts w:eastAsia="Times New Roman" w:cstheme="minorHAnsi"/>
          <w:color w:val="000000"/>
          <w:rtl/>
        </w:rPr>
        <w:t>.24</w:t>
      </w:r>
      <w:r w:rsidRPr="00891A31">
        <w:rPr>
          <w:rFonts w:eastAsia="Times New Roman" w:cstheme="minorHAnsi"/>
          <w:color w:val="000000"/>
          <w:rtl/>
        </w:rPr>
        <w:t xml:space="preserve"> לטובת היערכות נדרשת של כל בנק, ולמשך התקופה הקצובה במתווה. </w:t>
      </w:r>
    </w:p>
    <w:p w:rsidR="0027581E" w:rsidRPr="00891A31" w:rsidRDefault="0027581E" w:rsidP="004B7DB7">
      <w:pPr>
        <w:pStyle w:val="ListParagraph"/>
        <w:numPr>
          <w:ilvl w:val="0"/>
          <w:numId w:val="2"/>
        </w:numPr>
        <w:spacing w:after="0" w:line="240" w:lineRule="auto"/>
        <w:jc w:val="both"/>
        <w:rPr>
          <w:rFonts w:eastAsia="Times New Roman" w:cstheme="minorHAnsi"/>
          <w:color w:val="000000"/>
        </w:rPr>
      </w:pPr>
      <w:r w:rsidRPr="00891A31">
        <w:rPr>
          <w:rFonts w:eastAsia="Times New Roman" w:cstheme="minorHAnsi"/>
          <w:color w:val="000000"/>
          <w:rtl/>
        </w:rPr>
        <w:t xml:space="preserve">דחיית תשלומים מצריכה פניה מצד לקוח לבנק והגשת בקשת באופן שנקבע על ידי הבנק. </w:t>
      </w:r>
    </w:p>
    <w:p w:rsidR="0027581E" w:rsidRPr="00891A31" w:rsidRDefault="0027581E" w:rsidP="004B7DB7">
      <w:pPr>
        <w:pStyle w:val="ListParagraph"/>
        <w:numPr>
          <w:ilvl w:val="0"/>
          <w:numId w:val="2"/>
        </w:numPr>
        <w:spacing w:after="0" w:line="240" w:lineRule="auto"/>
        <w:jc w:val="both"/>
        <w:rPr>
          <w:rFonts w:eastAsia="Times New Roman" w:cstheme="minorHAnsi"/>
          <w:color w:val="000000"/>
        </w:rPr>
      </w:pPr>
      <w:r w:rsidRPr="00891A31">
        <w:rPr>
          <w:rFonts w:eastAsia="Times New Roman" w:cstheme="minorHAnsi"/>
          <w:color w:val="000000"/>
          <w:rtl/>
        </w:rPr>
        <w:t xml:space="preserve">האמור לא חל על לווה שנמצא בהליך משפטי. לגבי לווה שהיה בפיגור במועד פרסום המתווה תתאפשר דחייה עד לתקופה שלא עולה על 180 יום מיום תחילת הפיגור. </w:t>
      </w:r>
    </w:p>
    <w:p w:rsidR="00F61D79" w:rsidRPr="00891A31" w:rsidRDefault="00C766F3" w:rsidP="00552FAD">
      <w:pPr>
        <w:pStyle w:val="ListParagraph"/>
        <w:numPr>
          <w:ilvl w:val="0"/>
          <w:numId w:val="2"/>
        </w:numPr>
        <w:spacing w:after="0" w:line="240" w:lineRule="auto"/>
        <w:jc w:val="both"/>
        <w:rPr>
          <w:rFonts w:eastAsia="Times New Roman" w:cstheme="minorHAnsi"/>
          <w:color w:val="000000"/>
        </w:rPr>
      </w:pPr>
      <w:r w:rsidRPr="00891A31">
        <w:rPr>
          <w:rFonts w:eastAsia="Times New Roman" w:cstheme="minorHAnsi"/>
          <w:color w:val="000000"/>
          <w:rtl/>
        </w:rPr>
        <w:t>מתן ההטבות להם זכאים חיילי מילואים מכוח המתווה, קרי הפטור מעמלות וספיגת ריבית ביתרת חובה בעו"ש ובחשבון העסקי, ייעשה באופן יזום</w:t>
      </w:r>
      <w:r w:rsidR="00B00ACB" w:rsidRPr="00891A31">
        <w:rPr>
          <w:rFonts w:eastAsia="Times New Roman" w:cstheme="minorHAnsi"/>
          <w:color w:val="000000"/>
          <w:rtl/>
        </w:rPr>
        <w:t xml:space="preserve"> על ידי הבנק לתקופה של 3 חודשים</w:t>
      </w:r>
      <w:r w:rsidRPr="00891A31">
        <w:rPr>
          <w:rFonts w:eastAsia="Times New Roman" w:cstheme="minorHAnsi"/>
          <w:color w:val="000000"/>
          <w:rtl/>
        </w:rPr>
        <w:t>. זיהוי חשבון הלקוח כחשבון של חייל מילואים</w:t>
      </w:r>
      <w:r w:rsidR="00F61D79" w:rsidRPr="00891A31">
        <w:rPr>
          <w:rFonts w:eastAsia="Times New Roman" w:cstheme="minorHAnsi"/>
          <w:color w:val="000000"/>
          <w:rtl/>
        </w:rPr>
        <w:t xml:space="preserve">- </w:t>
      </w:r>
      <w:r w:rsidRPr="00891A31">
        <w:rPr>
          <w:rFonts w:eastAsia="Times New Roman" w:cstheme="minorHAnsi"/>
          <w:color w:val="000000"/>
          <w:rtl/>
        </w:rPr>
        <w:t xml:space="preserve"> </w:t>
      </w:r>
      <w:r w:rsidR="00F61D79" w:rsidRPr="00891A31">
        <w:rPr>
          <w:rFonts w:eastAsia="Times New Roman" w:cstheme="minorHAnsi"/>
          <w:color w:val="000000"/>
          <w:rtl/>
        </w:rPr>
        <w:t>לקוח שבמהלך תקופת הארכת המתווה, קרי בין התאריכים 1.</w:t>
      </w:r>
      <w:r w:rsidR="00552FAD" w:rsidRPr="00891A31">
        <w:rPr>
          <w:rFonts w:eastAsia="Times New Roman" w:cstheme="minorHAnsi"/>
          <w:color w:val="000000"/>
          <w:rtl/>
        </w:rPr>
        <w:t>10</w:t>
      </w:r>
      <w:r w:rsidR="00F61D79" w:rsidRPr="00891A31">
        <w:rPr>
          <w:rFonts w:eastAsia="Times New Roman" w:cstheme="minorHAnsi"/>
          <w:color w:val="000000"/>
          <w:rtl/>
        </w:rPr>
        <w:t>.24-3</w:t>
      </w:r>
      <w:r w:rsidR="00552FAD" w:rsidRPr="00891A31">
        <w:rPr>
          <w:rFonts w:eastAsia="Times New Roman" w:cstheme="minorHAnsi"/>
          <w:color w:val="000000"/>
          <w:rtl/>
        </w:rPr>
        <w:t>1</w:t>
      </w:r>
      <w:r w:rsidR="00F61D79" w:rsidRPr="00891A31">
        <w:rPr>
          <w:rFonts w:eastAsia="Times New Roman" w:cstheme="minorHAnsi"/>
          <w:color w:val="000000"/>
          <w:rtl/>
        </w:rPr>
        <w:t>.</w:t>
      </w:r>
      <w:r w:rsidR="00552FAD" w:rsidRPr="00891A31">
        <w:rPr>
          <w:rFonts w:eastAsia="Times New Roman" w:cstheme="minorHAnsi"/>
          <w:color w:val="000000"/>
          <w:rtl/>
        </w:rPr>
        <w:t>12</w:t>
      </w:r>
      <w:r w:rsidR="00F61D79" w:rsidRPr="00891A31">
        <w:rPr>
          <w:rFonts w:eastAsia="Times New Roman" w:cstheme="minorHAnsi"/>
          <w:color w:val="000000"/>
          <w:rtl/>
        </w:rPr>
        <w:t xml:space="preserve">.2024 יתקבל בחשבונו תקבול/זיכוי בעקבות שירות מילואים. ככל והלקוח שירת בשירות מילואים בתקופה האמורה ולא קיבל תקבול/זיכוי לחשבון, עליו להציג אסמכתה לבנק אודות שירות המילואים שביצע. </w:t>
      </w:r>
    </w:p>
    <w:p w:rsidR="0027581E" w:rsidRPr="00891A31" w:rsidRDefault="0027581E" w:rsidP="004B7DB7">
      <w:pPr>
        <w:pStyle w:val="ListParagraph"/>
        <w:numPr>
          <w:ilvl w:val="0"/>
          <w:numId w:val="2"/>
        </w:numPr>
        <w:spacing w:after="0" w:line="240" w:lineRule="auto"/>
        <w:jc w:val="both"/>
        <w:rPr>
          <w:rFonts w:eastAsia="Times New Roman" w:cstheme="minorHAnsi"/>
          <w:color w:val="000000"/>
        </w:rPr>
      </w:pPr>
      <w:r w:rsidRPr="00891A31">
        <w:rPr>
          <w:rFonts w:eastAsia="Times New Roman" w:cstheme="minorHAnsi"/>
          <w:color w:val="000000"/>
          <w:rtl/>
        </w:rPr>
        <w:t xml:space="preserve">ככל שניתן לייתר פניה יזומה של לקוח ליישום המתווה, לרבות בתחום העמלות, יש לתת לכך עדיפות. </w:t>
      </w:r>
    </w:p>
    <w:p w:rsidR="00F61D79" w:rsidRPr="00891A31" w:rsidRDefault="0027581E" w:rsidP="00B87E29">
      <w:pPr>
        <w:pStyle w:val="ListParagraph"/>
        <w:numPr>
          <w:ilvl w:val="0"/>
          <w:numId w:val="2"/>
        </w:numPr>
        <w:spacing w:after="0" w:line="240" w:lineRule="auto"/>
        <w:jc w:val="both"/>
        <w:rPr>
          <w:rFonts w:eastAsia="Times New Roman" w:cstheme="minorHAnsi"/>
          <w:color w:val="000000"/>
          <w:rtl/>
        </w:rPr>
      </w:pPr>
      <w:r w:rsidRPr="00891A31">
        <w:rPr>
          <w:rFonts w:eastAsia="Times New Roman" w:cstheme="minorHAnsi"/>
          <w:color w:val="000000"/>
          <w:rtl/>
        </w:rPr>
        <w:t>המתווה שגובש מציג את תנאי המינימום וכל בנק רשאי להרחיבו לטובת לקוחותיו ולבקשתם.</w:t>
      </w:r>
      <w:r w:rsidR="00B016CD" w:rsidRPr="00891A31">
        <w:rPr>
          <w:rFonts w:cstheme="minorHAnsi"/>
          <w:noProof/>
          <w:rtl/>
        </w:rPr>
        <w:t xml:space="preserve">   </w:t>
      </w:r>
      <w:r w:rsidR="00AA6D6C" w:rsidRPr="00891A31">
        <w:rPr>
          <w:rFonts w:cstheme="minorHAnsi"/>
          <w:noProof/>
          <w:rtl/>
        </w:rPr>
        <w:t xml:space="preserve">             </w:t>
      </w:r>
      <w:r w:rsidR="00D66255" w:rsidRPr="00891A31">
        <w:rPr>
          <w:rFonts w:cstheme="minorHAnsi"/>
          <w:noProof/>
          <w:rtl/>
        </w:rPr>
        <w:t xml:space="preserve">     </w:t>
      </w:r>
      <w:r w:rsidR="00B016CD" w:rsidRPr="00891A31">
        <w:rPr>
          <w:rFonts w:cstheme="minorHAnsi"/>
          <w:noProof/>
          <w:rtl/>
        </w:rPr>
        <w:t xml:space="preserve">      </w:t>
      </w:r>
    </w:p>
    <w:sectPr w:rsidR="00F61D79" w:rsidRPr="00891A31" w:rsidSect="009145B6">
      <w:headerReference w:type="even" r:id="rId15"/>
      <w:headerReference w:type="default" r:id="rId16"/>
      <w:footerReference w:type="even" r:id="rId17"/>
      <w:footerReference w:type="default" r:id="rId18"/>
      <w:headerReference w:type="first" r:id="rId19"/>
      <w:footerReference w:type="first" r:id="rId20"/>
      <w:pgSz w:w="11906" w:h="16838"/>
      <w:pgMar w:top="1276" w:right="1080" w:bottom="2552"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688" w:rsidRDefault="00F86688" w:rsidP="008755E3">
      <w:pPr>
        <w:spacing w:after="0" w:line="240" w:lineRule="auto"/>
      </w:pPr>
      <w:r>
        <w:separator/>
      </w:r>
    </w:p>
  </w:endnote>
  <w:endnote w:type="continuationSeparator" w:id="0">
    <w:p w:rsidR="00F86688" w:rsidRDefault="00F86688"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7BC" w:rsidRDefault="00153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08" w:rsidRPr="006E1334" w:rsidRDefault="006E0608" w:rsidP="006E13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7BC" w:rsidRDefault="00153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688" w:rsidRDefault="00F86688" w:rsidP="008755E3">
      <w:pPr>
        <w:spacing w:after="0" w:line="240" w:lineRule="auto"/>
      </w:pPr>
      <w:r>
        <w:separator/>
      </w:r>
    </w:p>
  </w:footnote>
  <w:footnote w:type="continuationSeparator" w:id="0">
    <w:p w:rsidR="00F86688" w:rsidRDefault="00F86688" w:rsidP="008755E3">
      <w:pPr>
        <w:spacing w:after="0" w:line="240" w:lineRule="auto"/>
      </w:pPr>
      <w:r>
        <w:continuationSeparator/>
      </w:r>
    </w:p>
  </w:footnote>
  <w:footnote w:id="1">
    <w:p w:rsidR="00A80250" w:rsidRPr="00891A31" w:rsidRDefault="00A80250" w:rsidP="00A80250">
      <w:pPr>
        <w:pStyle w:val="FootnoteText"/>
        <w:rPr>
          <w:rFonts w:cstheme="minorHAnsi"/>
        </w:rPr>
      </w:pPr>
      <w:r w:rsidRPr="00891A31">
        <w:rPr>
          <w:rStyle w:val="FootnoteReference"/>
          <w:rFonts w:cstheme="minorHAnsi"/>
        </w:rPr>
        <w:footnoteRef/>
      </w:r>
      <w:r w:rsidRPr="00891A31">
        <w:rPr>
          <w:rFonts w:cstheme="minorHAnsi"/>
          <w:rtl/>
        </w:rPr>
        <w:t xml:space="preserve"> </w:t>
      </w:r>
      <w:r w:rsidRPr="00891A31">
        <w:rPr>
          <w:rFonts w:cstheme="minorHAnsi"/>
          <w:sz w:val="18"/>
          <w:szCs w:val="18"/>
          <w:shd w:val="clear" w:color="auto" w:fill="FFFFFF"/>
          <w:rtl/>
        </w:rPr>
        <w:t xml:space="preserve">אוכלוסייה שמתגוררת או בעלת עסק שנמצא בטווח של עד 30 ק"מ מרצועת עזה; אוכלוסייה שפונתה מביתה על ידי גורם מדינתי רשמי נכון לתאריך 7.11.23 והמתגוררים באחד מהישובים המופיעים ברשימות המפורסמות באתר בנק ישראל; אוכלוסיית משרתי המילואים ומגויסי צו 8; </w:t>
      </w:r>
      <w:r w:rsidRPr="00891A31">
        <w:rPr>
          <w:rFonts w:cstheme="minorHAnsi"/>
          <w:sz w:val="18"/>
          <w:szCs w:val="18"/>
          <w:rtl/>
        </w:rPr>
        <w:t>חיילי מילואים שאושפזו לתקופה של 7 ימים לפחות בשל פציעה שנגרמה להם מהמלחמה;</w:t>
      </w:r>
      <w:r w:rsidRPr="00891A31">
        <w:rPr>
          <w:rFonts w:cstheme="minorHAnsi"/>
          <w:sz w:val="18"/>
          <w:szCs w:val="18"/>
          <w:shd w:val="clear" w:color="auto" w:fill="FFFFFF"/>
          <w:rtl/>
        </w:rPr>
        <w:t xml:space="preserve"> חשבונות של</w:t>
      </w:r>
      <w:r w:rsidRPr="00891A31">
        <w:rPr>
          <w:rFonts w:cstheme="minorHAnsi"/>
          <w:sz w:val="16"/>
          <w:szCs w:val="16"/>
          <w:shd w:val="clear" w:color="auto" w:fill="FFFFFF"/>
          <w:rtl/>
        </w:rPr>
        <w:t xml:space="preserve"> </w:t>
      </w:r>
      <w:r w:rsidRPr="00891A31">
        <w:rPr>
          <w:rFonts w:cstheme="minorHAnsi"/>
          <w:sz w:val="18"/>
          <w:szCs w:val="18"/>
          <w:shd w:val="clear" w:color="auto" w:fill="FFFFFF"/>
          <w:rtl/>
        </w:rPr>
        <w:t>חטופים או נעדרים; אוכלוסייה שהיא בעלת קרבה ראשונה (בני זוג, הורים, אחים וילדים) להרוגי המלחמה או לחטופים או לנעדרים; נפגעי מסיבת נובה</w:t>
      </w:r>
      <w:r w:rsidRPr="00891A31">
        <w:rPr>
          <w:rFonts w:eastAsia="Times New Roman" w:cstheme="minorHAnsi"/>
          <w:sz w:val="28"/>
          <w:szCs w:val="28"/>
          <w:rtl/>
        </w:rPr>
        <w:t xml:space="preserve"> </w:t>
      </w:r>
      <w:r w:rsidRPr="00891A31">
        <w:rPr>
          <w:rFonts w:cstheme="minorHAnsi"/>
          <w:sz w:val="18"/>
          <w:szCs w:val="18"/>
          <w:shd w:val="clear" w:color="auto" w:fill="FFFFFF"/>
          <w:rtl/>
        </w:rPr>
        <w:t>ברעים; נפגעי מסיבת פסיידאק;</w:t>
      </w:r>
      <w:r w:rsidRPr="00891A31">
        <w:rPr>
          <w:rFonts w:cstheme="minorHAnsi"/>
          <w:sz w:val="18"/>
          <w:szCs w:val="18"/>
          <w:shd w:val="clear" w:color="auto" w:fill="FFFFFF"/>
        </w:rPr>
        <w:t xml:space="preserve"> </w:t>
      </w:r>
      <w:r w:rsidRPr="00891A31">
        <w:rPr>
          <w:rFonts w:cstheme="minorHAnsi"/>
          <w:sz w:val="18"/>
          <w:szCs w:val="18"/>
          <w:shd w:val="clear" w:color="auto" w:fill="FFFFFF"/>
          <w:rtl/>
        </w:rPr>
        <w:t>נפגעי מפגש ההיערכות לפסטיבל מידברן.</w:t>
      </w:r>
    </w:p>
  </w:footnote>
  <w:footnote w:id="2">
    <w:p w:rsidR="00A80250" w:rsidRDefault="00A80250" w:rsidP="00A80250">
      <w:pPr>
        <w:pStyle w:val="FootnoteText"/>
      </w:pPr>
      <w:r w:rsidRPr="00891A31">
        <w:rPr>
          <w:rStyle w:val="FootnoteReference"/>
          <w:rFonts w:cstheme="minorHAnsi"/>
        </w:rPr>
        <w:footnoteRef/>
      </w:r>
      <w:r w:rsidRPr="00891A31">
        <w:rPr>
          <w:rFonts w:cstheme="minorHAnsi"/>
          <w:rtl/>
        </w:rPr>
        <w:t xml:space="preserve"> </w:t>
      </w:r>
      <w:r w:rsidRPr="00891A31">
        <w:rPr>
          <w:rFonts w:cstheme="minorHAnsi"/>
          <w:sz w:val="18"/>
          <w:szCs w:val="18"/>
          <w:rtl/>
        </w:rPr>
        <w:t>משכנתאות ללא מגבלת סכום; אשראי צרכני מצטבר בסכום של עד 100,000 ש"ח; אשראי עסקי עד סכום של 2 מיליון ש"ח</w:t>
      </w:r>
      <w:r w:rsidRPr="00891A31">
        <w:rPr>
          <w:rFonts w:cstheme="minorHAnsi"/>
          <w:rtl/>
        </w:rPr>
        <w:t>.</w:t>
      </w:r>
    </w:p>
  </w:footnote>
  <w:footnote w:id="3">
    <w:p w:rsidR="000E2975" w:rsidRDefault="000E2975" w:rsidP="0027581E">
      <w:pPr>
        <w:pStyle w:val="FootnoteText"/>
      </w:pPr>
      <w:r>
        <w:rPr>
          <w:rStyle w:val="FootnoteReference"/>
        </w:rPr>
        <w:footnoteRef/>
      </w:r>
      <w:r>
        <w:rPr>
          <w:rtl/>
        </w:rPr>
        <w:t xml:space="preserve"> </w:t>
      </w:r>
      <w:r w:rsidRPr="0061653C">
        <w:rPr>
          <w:rFonts w:ascii="David" w:hAnsi="David" w:cs="David"/>
          <w:rtl/>
        </w:rPr>
        <w:t>בהתייחס לדירה ראשונה ומשפרי דיור</w:t>
      </w:r>
      <w:r>
        <w:rPr>
          <w:rFonts w:ascii="David" w:hAnsi="David" w:cs="David" w:hint="cs"/>
          <w:rtl/>
        </w:rPr>
        <w:t xml:space="preserve"> בלבד</w:t>
      </w:r>
      <w:r>
        <w:rPr>
          <w:rFonts w:hint="cs"/>
          <w:rtl/>
        </w:rPr>
        <w:t>.</w:t>
      </w:r>
    </w:p>
  </w:footnote>
  <w:footnote w:id="4">
    <w:p w:rsidR="008F003D" w:rsidRPr="00847E51" w:rsidRDefault="008F003D" w:rsidP="008F003D">
      <w:pPr>
        <w:pStyle w:val="FootnoteText"/>
        <w:rPr>
          <w:rFonts w:ascii="David" w:hAnsi="David" w:cs="David"/>
          <w:rtl/>
        </w:rPr>
      </w:pPr>
      <w:r>
        <w:rPr>
          <w:rStyle w:val="FootnoteReference"/>
        </w:rPr>
        <w:footnoteRef/>
      </w:r>
      <w:r>
        <w:rPr>
          <w:rtl/>
        </w:rPr>
        <w:t xml:space="preserve"> </w:t>
      </w:r>
      <w:r w:rsidRPr="00847E51">
        <w:rPr>
          <w:rFonts w:ascii="David" w:hAnsi="David" w:cs="David" w:hint="cs"/>
          <w:rtl/>
        </w:rPr>
        <w:t xml:space="preserve">יובהר כי המתווה הוא בנוסף לקבוע בסעיף 9ח2 לחוק הבנקאות (שירות ללקוח) </w:t>
      </w:r>
      <w:proofErr w:type="spellStart"/>
      <w:r w:rsidRPr="00847E51">
        <w:rPr>
          <w:rFonts w:ascii="David" w:hAnsi="David" w:cs="David" w:hint="cs"/>
          <w:rtl/>
        </w:rPr>
        <w:t>התשמ"א</w:t>
      </w:r>
      <w:proofErr w:type="spellEnd"/>
      <w:r w:rsidRPr="00847E51">
        <w:rPr>
          <w:rFonts w:ascii="David" w:hAnsi="David" w:cs="David" w:hint="cs"/>
          <w:rtl/>
        </w:rPr>
        <w:t xml:space="preserve"> -1981 ואינו מחליף אותו.</w:t>
      </w:r>
    </w:p>
  </w:footnote>
  <w:footnote w:id="5">
    <w:p w:rsidR="004A0C72" w:rsidRDefault="004A0C72">
      <w:pPr>
        <w:pStyle w:val="FootnoteText"/>
      </w:pPr>
      <w:r>
        <w:rPr>
          <w:rStyle w:val="FootnoteReference"/>
        </w:rPr>
        <w:footnoteRef/>
      </w:r>
      <w:r>
        <w:rPr>
          <w:rtl/>
        </w:rPr>
        <w:t xml:space="preserve"> </w:t>
      </w:r>
      <w:r w:rsidRPr="004A0C72">
        <w:rPr>
          <w:rFonts w:ascii="David" w:hAnsi="David" w:cs="David" w:hint="cs"/>
          <w:rtl/>
        </w:rPr>
        <w:t>אופן ביצוע הדחייה כפוף לפתרונות מיכוניים</w:t>
      </w:r>
      <w:r>
        <w:rPr>
          <w:rFonts w:hint="cs"/>
          <w:rtl/>
        </w:rPr>
        <w:t>.</w:t>
      </w:r>
    </w:p>
  </w:footnote>
  <w:footnote w:id="6">
    <w:p w:rsidR="008F003D" w:rsidRDefault="008F003D" w:rsidP="008F003D">
      <w:pPr>
        <w:spacing w:line="360" w:lineRule="auto"/>
        <w:jc w:val="both"/>
        <w:rPr>
          <w:rtl/>
        </w:rPr>
      </w:pPr>
      <w:r w:rsidRPr="008F003D">
        <w:rPr>
          <w:rStyle w:val="FootnoteReference"/>
          <w:sz w:val="20"/>
          <w:szCs w:val="20"/>
        </w:rPr>
        <w:footnoteRef/>
      </w:r>
      <w:r w:rsidRPr="008F003D">
        <w:rPr>
          <w:rFonts w:ascii="David" w:hAnsi="David" w:cs="David" w:hint="cs"/>
          <w:sz w:val="20"/>
          <w:szCs w:val="20"/>
          <w:rtl/>
        </w:rPr>
        <w:t>אוכלוסייה שמתגוררת או בעלת עסק באחד מהיישובים בצפון אשר פונו על ידי גורם רשמי נכון לתאריך 7.11.23 ואוכלוסייה שמתגוררת באחד מהיישובים בצפון אשר התקבלה החלטת ממשלה לפנות את היישוב אך טרם פונה בפועל, בהתאם לרשימה המופיעה באתר בנק ישראל</w:t>
      </w:r>
      <w:r w:rsidRPr="008F003D">
        <w:rPr>
          <w:rFonts w:ascii="David" w:hAnsi="David" w:cs="David"/>
          <w:sz w:val="20"/>
          <w:szCs w:val="20"/>
        </w:rPr>
        <w:t>.</w:t>
      </w:r>
      <w:r w:rsidRPr="008F003D">
        <w:rPr>
          <w:rFonts w:ascii="David" w:hAnsi="David" w:cs="David" w:hint="cs"/>
          <w:sz w:val="20"/>
          <w:szCs w:val="20"/>
          <w:rtl/>
        </w:rPr>
        <w:t xml:space="preserve"> </w:t>
      </w:r>
    </w:p>
  </w:footnote>
  <w:footnote w:id="7">
    <w:p w:rsidR="008F003D" w:rsidRPr="00891A31" w:rsidRDefault="008F003D" w:rsidP="008F003D">
      <w:pPr>
        <w:spacing w:line="360" w:lineRule="auto"/>
        <w:jc w:val="both"/>
        <w:rPr>
          <w:rFonts w:cstheme="minorHAnsi"/>
          <w:rtl/>
        </w:rPr>
      </w:pPr>
      <w:r w:rsidRPr="00891A31">
        <w:rPr>
          <w:rStyle w:val="FootnoteReference"/>
          <w:rFonts w:cstheme="minorHAnsi"/>
          <w:sz w:val="20"/>
          <w:szCs w:val="20"/>
        </w:rPr>
        <w:footnoteRef/>
      </w:r>
      <w:r w:rsidRPr="00891A31">
        <w:rPr>
          <w:rFonts w:cstheme="minorHAnsi"/>
          <w:sz w:val="20"/>
          <w:szCs w:val="20"/>
          <w:rtl/>
        </w:rPr>
        <w:t xml:space="preserve">חיילי מילואים הנמצאים בשירות מילואים פעיל בתקופת המתווה המעודכן, קרי בין התאריכים 1.10.24-31.12.24. </w:t>
      </w:r>
    </w:p>
  </w:footnote>
  <w:footnote w:id="8">
    <w:p w:rsidR="000E2975" w:rsidRPr="00891A31" w:rsidRDefault="000E2975" w:rsidP="0027581E">
      <w:pPr>
        <w:pStyle w:val="FootnoteText"/>
        <w:jc w:val="both"/>
        <w:rPr>
          <w:rFonts w:cstheme="minorHAnsi"/>
          <w:rtl/>
        </w:rPr>
      </w:pPr>
      <w:r w:rsidRPr="00891A31">
        <w:rPr>
          <w:rStyle w:val="FootnoteReference"/>
          <w:rFonts w:cstheme="minorHAnsi"/>
        </w:rPr>
        <w:footnoteRef/>
      </w:r>
      <w:r w:rsidRPr="00891A31">
        <w:rPr>
          <w:rFonts w:cstheme="minorHAnsi"/>
          <w:rtl/>
        </w:rPr>
        <w:t xml:space="preserve"> אשראי עסקי עם מחזור פעילות עד 25 מיליון ₪, לא כולל הלוואות בשת"פ מסחרי עם צד שלישי. לגבי אשראי עסקי שיתרת תקופתו לפירעון עולה על 3 שנים, ניתן לבצע פריסת תשלומים באופן הקבוע ביחס למשכנתאות.</w:t>
      </w:r>
    </w:p>
  </w:footnote>
  <w:footnote w:id="9">
    <w:p w:rsidR="00645777" w:rsidRPr="00891A31" w:rsidRDefault="00645777" w:rsidP="00645777">
      <w:pPr>
        <w:pStyle w:val="FootnoteText"/>
        <w:rPr>
          <w:rFonts w:cstheme="minorHAnsi"/>
          <w:rtl/>
        </w:rPr>
      </w:pPr>
      <w:r w:rsidRPr="00891A31">
        <w:rPr>
          <w:rStyle w:val="FootnoteReference"/>
          <w:rFonts w:cstheme="minorHAnsi"/>
        </w:rPr>
        <w:footnoteRef/>
      </w:r>
      <w:r w:rsidRPr="00891A31">
        <w:rPr>
          <w:rFonts w:cstheme="minorHAnsi"/>
          <w:rtl/>
        </w:rPr>
        <w:t xml:space="preserve"> יתרת חובה שהינה חלק מהמסגרת המאושרת על ידי הבנק.</w:t>
      </w:r>
    </w:p>
  </w:footnote>
  <w:footnote w:id="10">
    <w:p w:rsidR="00AD0495" w:rsidRPr="00891A31" w:rsidRDefault="00AD0495" w:rsidP="00AD0495">
      <w:pPr>
        <w:pStyle w:val="FootnoteText"/>
        <w:rPr>
          <w:rFonts w:cstheme="minorHAnsi"/>
          <w:rtl/>
        </w:rPr>
      </w:pPr>
      <w:r w:rsidRPr="00891A31">
        <w:rPr>
          <w:rStyle w:val="FootnoteReference"/>
          <w:rFonts w:cstheme="minorHAnsi"/>
        </w:rPr>
        <w:footnoteRef/>
      </w:r>
      <w:r w:rsidRPr="00891A31">
        <w:rPr>
          <w:rFonts w:cstheme="minorHAnsi"/>
          <w:rtl/>
        </w:rPr>
        <w:t xml:space="preserve"> יתרת חובה שהינה חלק מהמסגרת המאושרת על ידי הבנק.</w:t>
      </w:r>
    </w:p>
  </w:footnote>
  <w:footnote w:id="11">
    <w:p w:rsidR="0027581E" w:rsidRPr="00891A31" w:rsidRDefault="0027581E" w:rsidP="00164BA9">
      <w:pPr>
        <w:pStyle w:val="FootnoteText"/>
        <w:jc w:val="both"/>
        <w:rPr>
          <w:rFonts w:cstheme="minorHAnsi"/>
          <w:rtl/>
        </w:rPr>
      </w:pPr>
      <w:r w:rsidRPr="00891A31">
        <w:rPr>
          <w:rStyle w:val="FootnoteReference"/>
          <w:rFonts w:cstheme="minorHAnsi"/>
        </w:rPr>
        <w:footnoteRef/>
      </w:r>
      <w:r w:rsidRPr="00891A31">
        <w:rPr>
          <w:rFonts w:cstheme="minorHAnsi"/>
          <w:rtl/>
        </w:rPr>
        <w:t xml:space="preserve"> העמלות המופיעות בפרקים הבאים, בהתייחס לבנקים, בכללי הבנקאות (שירות ללקוח)(עמלות), </w:t>
      </w:r>
      <w:proofErr w:type="spellStart"/>
      <w:r w:rsidRPr="00891A31">
        <w:rPr>
          <w:rFonts w:cstheme="minorHAnsi"/>
          <w:rtl/>
        </w:rPr>
        <w:t>התשס"ח</w:t>
      </w:r>
      <w:proofErr w:type="spellEnd"/>
      <w:r w:rsidRPr="00891A31">
        <w:rPr>
          <w:rFonts w:cstheme="minorHAnsi"/>
          <w:rtl/>
        </w:rPr>
        <w:t>, 2008:</w:t>
      </w:r>
      <w:r w:rsidR="00F61D79" w:rsidRPr="00891A31">
        <w:rPr>
          <w:rFonts w:cstheme="minorHAnsi"/>
          <w:rtl/>
        </w:rPr>
        <w:t xml:space="preserve"> </w:t>
      </w:r>
    </w:p>
    <w:p w:rsidR="0027581E" w:rsidRPr="00891A31" w:rsidRDefault="0027581E" w:rsidP="0027581E">
      <w:pPr>
        <w:pStyle w:val="FootnoteText"/>
        <w:jc w:val="both"/>
        <w:rPr>
          <w:rFonts w:cstheme="minorHAnsi"/>
          <w:rtl/>
        </w:rPr>
      </w:pPr>
      <w:r w:rsidRPr="00891A31">
        <w:rPr>
          <w:rFonts w:cstheme="minorHAnsi"/>
          <w:rtl/>
        </w:rPr>
        <w:t>חלק 1 - חשבון עובר ושב (כולו)</w:t>
      </w:r>
    </w:p>
    <w:p w:rsidR="0027581E" w:rsidRPr="00891A31" w:rsidRDefault="0027581E" w:rsidP="0027581E">
      <w:pPr>
        <w:pStyle w:val="FootnoteText"/>
        <w:jc w:val="both"/>
        <w:rPr>
          <w:rFonts w:cstheme="minorHAnsi"/>
          <w:rtl/>
        </w:rPr>
      </w:pPr>
      <w:r w:rsidRPr="00891A31">
        <w:rPr>
          <w:rFonts w:cstheme="minorHAnsi"/>
          <w:rtl/>
        </w:rPr>
        <w:t>חלק 2 - מידע, הודעות והתראות (כולו)</w:t>
      </w:r>
    </w:p>
    <w:p w:rsidR="0027581E" w:rsidRPr="00891A31" w:rsidRDefault="0027581E" w:rsidP="0027581E">
      <w:pPr>
        <w:pStyle w:val="FootnoteText"/>
        <w:jc w:val="both"/>
        <w:rPr>
          <w:rFonts w:cstheme="minorHAnsi"/>
          <w:rtl/>
        </w:rPr>
      </w:pPr>
      <w:r w:rsidRPr="00891A31">
        <w:rPr>
          <w:rFonts w:cstheme="minorHAnsi"/>
          <w:rtl/>
        </w:rPr>
        <w:t xml:space="preserve">חלק 3 </w:t>
      </w:r>
      <w:r w:rsidR="007055D8" w:rsidRPr="00891A31">
        <w:rPr>
          <w:rFonts w:cstheme="minorHAnsi"/>
          <w:rtl/>
        </w:rPr>
        <w:t>–</w:t>
      </w:r>
      <w:r w:rsidRPr="00891A31">
        <w:rPr>
          <w:rFonts w:cstheme="minorHAnsi"/>
          <w:rtl/>
        </w:rPr>
        <w:t xml:space="preserve"> אשראי</w:t>
      </w:r>
      <w:r w:rsidR="007055D8" w:rsidRPr="00891A31">
        <w:rPr>
          <w:rFonts w:cstheme="minorHAnsi"/>
          <w:rtl/>
        </w:rPr>
        <w:t>,</w:t>
      </w:r>
      <w:r w:rsidRPr="00891A31">
        <w:rPr>
          <w:rFonts w:cstheme="minorHAnsi"/>
          <w:rtl/>
        </w:rPr>
        <w:t xml:space="preserve"> </w:t>
      </w:r>
      <w:r w:rsidR="007055D8" w:rsidRPr="00891A31">
        <w:rPr>
          <w:rFonts w:cstheme="minorHAnsi"/>
          <w:rtl/>
        </w:rPr>
        <w:t>למעט עמלת ערבות בנקאית</w:t>
      </w:r>
    </w:p>
    <w:p w:rsidR="0027581E" w:rsidRPr="00891A31" w:rsidRDefault="0027581E" w:rsidP="0027581E">
      <w:pPr>
        <w:pStyle w:val="FootnoteText"/>
        <w:jc w:val="both"/>
        <w:rPr>
          <w:rFonts w:cstheme="minorHAnsi"/>
          <w:rtl/>
        </w:rPr>
      </w:pPr>
      <w:r w:rsidRPr="00891A31">
        <w:rPr>
          <w:rFonts w:cstheme="minorHAnsi"/>
          <w:rtl/>
        </w:rPr>
        <w:t>חלק 6 - כרטיסי אשראי (כולו, למעט עמלות - (7) עסקאות במט"ח, (8) משיכת מט"ח בחו"ל, (9) רכישת מט"ח מחו"ל)</w:t>
      </w:r>
    </w:p>
    <w:p w:rsidR="0027581E" w:rsidRPr="00891A31" w:rsidRDefault="0027581E" w:rsidP="0027581E">
      <w:pPr>
        <w:pStyle w:val="FootnoteText"/>
        <w:jc w:val="both"/>
        <w:rPr>
          <w:rFonts w:cstheme="minorHAnsi"/>
          <w:rtl/>
        </w:rPr>
      </w:pPr>
      <w:r w:rsidRPr="00891A31">
        <w:rPr>
          <w:rFonts w:cstheme="minorHAnsi"/>
          <w:rtl/>
        </w:rPr>
        <w:t xml:space="preserve">חלק 9 - עמלת טיפול בירושות </w:t>
      </w:r>
      <w:proofErr w:type="spellStart"/>
      <w:r w:rsidRPr="00891A31">
        <w:rPr>
          <w:rFonts w:cstheme="minorHAnsi"/>
          <w:rtl/>
        </w:rPr>
        <w:t>ועזבונות</w:t>
      </w:r>
      <w:proofErr w:type="spellEnd"/>
      <w:r w:rsidRPr="00891A31">
        <w:rPr>
          <w:rFonts w:cstheme="minorHAnsi"/>
          <w:rtl/>
        </w:rPr>
        <w:t>, עמלות משיכת מזומן (ממכשיר מרוחק וע"י כרטיס נטען).</w:t>
      </w:r>
    </w:p>
  </w:footnote>
  <w:footnote w:id="12">
    <w:p w:rsidR="006F5C83" w:rsidRPr="00891A31" w:rsidRDefault="006F5C83" w:rsidP="0027581E">
      <w:pPr>
        <w:pStyle w:val="FootnoteText"/>
        <w:jc w:val="both"/>
        <w:rPr>
          <w:rFonts w:cstheme="minorHAnsi"/>
          <w:rtl/>
        </w:rPr>
      </w:pPr>
      <w:r w:rsidRPr="00891A31">
        <w:rPr>
          <w:rStyle w:val="FootnoteReference"/>
          <w:rFonts w:cstheme="minorHAnsi"/>
        </w:rPr>
        <w:footnoteRef/>
      </w:r>
      <w:r w:rsidRPr="00891A31">
        <w:rPr>
          <w:rFonts w:cstheme="minorHAnsi"/>
          <w:rtl/>
        </w:rPr>
        <w:t xml:space="preserve"> בהתייחס לדירה ראשונה בלבד ומשפרי דיור. </w:t>
      </w:r>
    </w:p>
  </w:footnote>
  <w:footnote w:id="13">
    <w:p w:rsidR="00144CD6" w:rsidRPr="00891A31" w:rsidRDefault="00144CD6" w:rsidP="00144CD6">
      <w:pPr>
        <w:pStyle w:val="FootnoteText"/>
        <w:rPr>
          <w:rFonts w:cstheme="minorHAnsi"/>
          <w:rtl/>
        </w:rPr>
      </w:pPr>
      <w:r w:rsidRPr="00891A31">
        <w:rPr>
          <w:rStyle w:val="FootnoteReference"/>
          <w:rFonts w:cstheme="minorHAnsi"/>
        </w:rPr>
        <w:footnoteRef/>
      </w:r>
      <w:r w:rsidRPr="00891A31">
        <w:rPr>
          <w:rFonts w:cstheme="minorHAnsi"/>
          <w:rtl/>
        </w:rPr>
        <w:t xml:space="preserve"> יובהר כי המתווה הוא בנוסף לקבוע בסעיף 9ח2 לחוק הבנקאות (שירות ללקוח) </w:t>
      </w:r>
      <w:proofErr w:type="spellStart"/>
      <w:r w:rsidRPr="00891A31">
        <w:rPr>
          <w:rFonts w:cstheme="minorHAnsi"/>
          <w:rtl/>
        </w:rPr>
        <w:t>התשמ"א</w:t>
      </w:r>
      <w:proofErr w:type="spellEnd"/>
      <w:r w:rsidRPr="00891A31">
        <w:rPr>
          <w:rFonts w:cstheme="minorHAnsi"/>
          <w:rtl/>
        </w:rPr>
        <w:t xml:space="preserve"> -1981 ואינו מחליף אותו.</w:t>
      </w:r>
    </w:p>
  </w:footnote>
  <w:footnote w:id="14">
    <w:p w:rsidR="006F5C83" w:rsidRPr="00891A31" w:rsidRDefault="006F5C83" w:rsidP="0041443A">
      <w:pPr>
        <w:pStyle w:val="FootnoteText"/>
        <w:jc w:val="both"/>
        <w:rPr>
          <w:rStyle w:val="FootnoteReference"/>
          <w:rFonts w:cstheme="minorHAnsi"/>
          <w:sz w:val="24"/>
          <w:szCs w:val="24"/>
          <w:rtl/>
        </w:rPr>
      </w:pPr>
      <w:r w:rsidRPr="00891A31">
        <w:rPr>
          <w:rStyle w:val="FootnoteReference"/>
          <w:rFonts w:cstheme="minorHAnsi"/>
          <w:sz w:val="24"/>
          <w:szCs w:val="24"/>
        </w:rPr>
        <w:footnoteRef/>
      </w:r>
      <w:r w:rsidRPr="00891A31">
        <w:rPr>
          <w:rStyle w:val="FootnoteReference"/>
          <w:rFonts w:cstheme="minorHAnsi"/>
          <w:sz w:val="24"/>
          <w:szCs w:val="24"/>
          <w:rtl/>
        </w:rPr>
        <w:t xml:space="preserve"> </w:t>
      </w:r>
      <w:r w:rsidRPr="00891A31">
        <w:rPr>
          <w:rFonts w:cstheme="minorHAnsi"/>
          <w:rtl/>
        </w:rPr>
        <w:t>דחיית התשלומים כרוכה בריבית על תקופת הדחיה. לכן, טרם קבלת החלטה על דחיית תשלומים, חשוב לבחון את השלכות הדחייה, לרבות המחיר הכלכלי של</w:t>
      </w:r>
      <w:r w:rsidR="0041443A" w:rsidRPr="00891A31">
        <w:rPr>
          <w:rFonts w:cstheme="minorHAnsi"/>
          <w:rtl/>
        </w:rPr>
        <w:t>ה</w:t>
      </w:r>
      <w:r w:rsidRPr="00891A31">
        <w:rPr>
          <w:rFonts w:cstheme="minorHAnsi"/>
          <w:rtl/>
        </w:rPr>
        <w:t xml:space="preserve"> (מבחינת עלות הריבית, סכום חיוב חודשי לחיוב לאחר הדחייה וכיו"ב), לצורך קבלת החלטה מושכלת.</w:t>
      </w:r>
    </w:p>
  </w:footnote>
  <w:footnote w:id="15">
    <w:p w:rsidR="006F5C83" w:rsidRPr="00D66C7C" w:rsidRDefault="006F5C83" w:rsidP="00B87E29">
      <w:pPr>
        <w:pStyle w:val="FootnoteText"/>
        <w:jc w:val="both"/>
        <w:rPr>
          <w:rFonts w:ascii="David" w:hAnsi="David" w:cs="David"/>
          <w:rtl/>
        </w:rPr>
      </w:pPr>
      <w:r w:rsidRPr="00891A31">
        <w:rPr>
          <w:rStyle w:val="FootnoteReference"/>
          <w:rFonts w:cstheme="minorHAnsi"/>
        </w:rPr>
        <w:footnoteRef/>
      </w:r>
      <w:r w:rsidRPr="00891A31">
        <w:rPr>
          <w:rFonts w:cstheme="minorHAnsi"/>
          <w:rtl/>
        </w:rPr>
        <w:t xml:space="preserve"> אופן פריסת ההלוואה היא בכפוף למגבלות טכניות הנובעות ממערך המחשוב </w:t>
      </w:r>
      <w:r w:rsidRPr="00D66C7C">
        <w:rPr>
          <w:rFonts w:ascii="David" w:hAnsi="David" w:cs="David"/>
          <w:rtl/>
        </w:rPr>
        <w:t>של הבנק</w:t>
      </w:r>
      <w:r w:rsidR="00430FE6">
        <w:rPr>
          <w:rFonts w:ascii="David" w:hAnsi="David" w:cs="David" w:hint="cs"/>
          <w:rtl/>
        </w:rPr>
        <w:t xml:space="preserve"> ובכפוף למגבלות פיקוחיות</w:t>
      </w:r>
      <w:r w:rsidRPr="00D66C7C">
        <w:rPr>
          <w:rFonts w:ascii="David" w:hAnsi="David" w:cs="David"/>
          <w:rtl/>
        </w:rPr>
        <w:t xml:space="preserve">. </w:t>
      </w:r>
      <w:r>
        <w:rPr>
          <w:rFonts w:ascii="David" w:hAnsi="David" w:cs="David"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7BC" w:rsidRDefault="00153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29E" w:rsidRDefault="00FA42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7BC" w:rsidRDefault="00153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4"/>
  </w:num>
  <w:num w:numId="6">
    <w:abstractNumId w:val="0"/>
  </w:num>
  <w:num w:numId="7">
    <w:abstractNumId w:val="9"/>
  </w:num>
  <w:num w:numId="8">
    <w:abstractNumId w:val="12"/>
  </w:num>
  <w:num w:numId="9">
    <w:abstractNumId w:val="13"/>
  </w:num>
  <w:num w:numId="10">
    <w:abstractNumId w:val="10"/>
  </w:num>
  <w:num w:numId="11">
    <w:abstractNumId w:val="8"/>
  </w:num>
  <w:num w:numId="12">
    <w:abstractNumId w:val="11"/>
  </w:num>
  <w:num w:numId="13">
    <w:abstractNumId w:val="7"/>
  </w:num>
  <w:num w:numId="1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proofState w:spelling="clean" w:grammar="clean"/>
  <w:documentProtection w:edit="trackedChange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5519"/>
    <w:rsid w:val="00025537"/>
    <w:rsid w:val="00032523"/>
    <w:rsid w:val="00033B6D"/>
    <w:rsid w:val="000358D1"/>
    <w:rsid w:val="000360A2"/>
    <w:rsid w:val="00044392"/>
    <w:rsid w:val="000453E0"/>
    <w:rsid w:val="00046F61"/>
    <w:rsid w:val="00050E93"/>
    <w:rsid w:val="00052F10"/>
    <w:rsid w:val="00054E73"/>
    <w:rsid w:val="00060928"/>
    <w:rsid w:val="00064D3C"/>
    <w:rsid w:val="0006606D"/>
    <w:rsid w:val="00067953"/>
    <w:rsid w:val="000706BA"/>
    <w:rsid w:val="00070B92"/>
    <w:rsid w:val="000718EE"/>
    <w:rsid w:val="00075AC0"/>
    <w:rsid w:val="0007674B"/>
    <w:rsid w:val="0007707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A85"/>
    <w:rsid w:val="000F7CAB"/>
    <w:rsid w:val="00102F4F"/>
    <w:rsid w:val="00103EFA"/>
    <w:rsid w:val="00104C0C"/>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200F"/>
    <w:rsid w:val="00153235"/>
    <w:rsid w:val="001537BC"/>
    <w:rsid w:val="0015483F"/>
    <w:rsid w:val="00156E60"/>
    <w:rsid w:val="00157873"/>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E3C"/>
    <w:rsid w:val="001D4545"/>
    <w:rsid w:val="001E2FAE"/>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3FC7"/>
    <w:rsid w:val="00294509"/>
    <w:rsid w:val="0029598B"/>
    <w:rsid w:val="002977E5"/>
    <w:rsid w:val="002A1CFE"/>
    <w:rsid w:val="002A29E8"/>
    <w:rsid w:val="002A2E4B"/>
    <w:rsid w:val="002A60C9"/>
    <w:rsid w:val="002A707F"/>
    <w:rsid w:val="002B0652"/>
    <w:rsid w:val="002B087B"/>
    <w:rsid w:val="002B1900"/>
    <w:rsid w:val="002B3702"/>
    <w:rsid w:val="002B5F94"/>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587"/>
    <w:rsid w:val="002F2535"/>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A0A"/>
    <w:rsid w:val="00326B33"/>
    <w:rsid w:val="003273D3"/>
    <w:rsid w:val="00330C1F"/>
    <w:rsid w:val="00331022"/>
    <w:rsid w:val="00336147"/>
    <w:rsid w:val="003412FE"/>
    <w:rsid w:val="0035096F"/>
    <w:rsid w:val="0036092C"/>
    <w:rsid w:val="00360A85"/>
    <w:rsid w:val="003612BC"/>
    <w:rsid w:val="00363AF8"/>
    <w:rsid w:val="003645BD"/>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518"/>
    <w:rsid w:val="003A20AA"/>
    <w:rsid w:val="003A2442"/>
    <w:rsid w:val="003A3CFE"/>
    <w:rsid w:val="003A4884"/>
    <w:rsid w:val="003A4DD8"/>
    <w:rsid w:val="003A5748"/>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247F"/>
    <w:rsid w:val="00473299"/>
    <w:rsid w:val="0047639C"/>
    <w:rsid w:val="00480BCE"/>
    <w:rsid w:val="004813D2"/>
    <w:rsid w:val="0048245F"/>
    <w:rsid w:val="004843DB"/>
    <w:rsid w:val="00490CD9"/>
    <w:rsid w:val="00492C50"/>
    <w:rsid w:val="0049563C"/>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6B12"/>
    <w:rsid w:val="005171E4"/>
    <w:rsid w:val="005222C7"/>
    <w:rsid w:val="005275E1"/>
    <w:rsid w:val="00531F13"/>
    <w:rsid w:val="0053227B"/>
    <w:rsid w:val="005326A1"/>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E09FF"/>
    <w:rsid w:val="005E0F7E"/>
    <w:rsid w:val="005E11D5"/>
    <w:rsid w:val="005E2116"/>
    <w:rsid w:val="005E344F"/>
    <w:rsid w:val="005E670C"/>
    <w:rsid w:val="005F1C21"/>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7081"/>
    <w:rsid w:val="00652E0E"/>
    <w:rsid w:val="00654E79"/>
    <w:rsid w:val="00657EFD"/>
    <w:rsid w:val="00663EAB"/>
    <w:rsid w:val="006646E1"/>
    <w:rsid w:val="00670F2B"/>
    <w:rsid w:val="006743B4"/>
    <w:rsid w:val="00674509"/>
    <w:rsid w:val="00676C0B"/>
    <w:rsid w:val="0067778F"/>
    <w:rsid w:val="00680703"/>
    <w:rsid w:val="00681F46"/>
    <w:rsid w:val="00684B42"/>
    <w:rsid w:val="00685685"/>
    <w:rsid w:val="00686B6D"/>
    <w:rsid w:val="00686E01"/>
    <w:rsid w:val="006877B6"/>
    <w:rsid w:val="00687CF4"/>
    <w:rsid w:val="00696611"/>
    <w:rsid w:val="006A049C"/>
    <w:rsid w:val="006A623F"/>
    <w:rsid w:val="006A73F1"/>
    <w:rsid w:val="006A75C7"/>
    <w:rsid w:val="006B1718"/>
    <w:rsid w:val="006B6654"/>
    <w:rsid w:val="006B79E9"/>
    <w:rsid w:val="006C199D"/>
    <w:rsid w:val="006C2E29"/>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2302"/>
    <w:rsid w:val="007863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32D6"/>
    <w:rsid w:val="008344BA"/>
    <w:rsid w:val="0085168B"/>
    <w:rsid w:val="008517BF"/>
    <w:rsid w:val="00851C86"/>
    <w:rsid w:val="008570B5"/>
    <w:rsid w:val="00862973"/>
    <w:rsid w:val="00863361"/>
    <w:rsid w:val="00865724"/>
    <w:rsid w:val="00865808"/>
    <w:rsid w:val="008665FD"/>
    <w:rsid w:val="00866A19"/>
    <w:rsid w:val="008707FD"/>
    <w:rsid w:val="00871636"/>
    <w:rsid w:val="00874FB2"/>
    <w:rsid w:val="008755E3"/>
    <w:rsid w:val="00876019"/>
    <w:rsid w:val="00876F94"/>
    <w:rsid w:val="00877746"/>
    <w:rsid w:val="00877B56"/>
    <w:rsid w:val="00881A07"/>
    <w:rsid w:val="008823A6"/>
    <w:rsid w:val="008823EA"/>
    <w:rsid w:val="00885719"/>
    <w:rsid w:val="0089191C"/>
    <w:rsid w:val="00891A31"/>
    <w:rsid w:val="00892A4E"/>
    <w:rsid w:val="00892F21"/>
    <w:rsid w:val="00896324"/>
    <w:rsid w:val="00897894"/>
    <w:rsid w:val="008A2ACE"/>
    <w:rsid w:val="008A3B73"/>
    <w:rsid w:val="008A423C"/>
    <w:rsid w:val="008A58A0"/>
    <w:rsid w:val="008A6C45"/>
    <w:rsid w:val="008A7A88"/>
    <w:rsid w:val="008A7FEC"/>
    <w:rsid w:val="008B2264"/>
    <w:rsid w:val="008B27A1"/>
    <w:rsid w:val="008B6DDA"/>
    <w:rsid w:val="008C21F9"/>
    <w:rsid w:val="008C33FC"/>
    <w:rsid w:val="008C710A"/>
    <w:rsid w:val="008C7DDD"/>
    <w:rsid w:val="008D078C"/>
    <w:rsid w:val="008D1B5F"/>
    <w:rsid w:val="008D2965"/>
    <w:rsid w:val="008D2D76"/>
    <w:rsid w:val="008D5573"/>
    <w:rsid w:val="008E015B"/>
    <w:rsid w:val="008E3928"/>
    <w:rsid w:val="008E5572"/>
    <w:rsid w:val="008E56C6"/>
    <w:rsid w:val="008E761A"/>
    <w:rsid w:val="008E7BFD"/>
    <w:rsid w:val="008F003D"/>
    <w:rsid w:val="008F0B18"/>
    <w:rsid w:val="008F21C6"/>
    <w:rsid w:val="008F52D2"/>
    <w:rsid w:val="008F79E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58A7"/>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2FF9"/>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0EB2"/>
    <w:rsid w:val="00BA2E27"/>
    <w:rsid w:val="00BB06F1"/>
    <w:rsid w:val="00BB2CB3"/>
    <w:rsid w:val="00BB3D20"/>
    <w:rsid w:val="00BB43FF"/>
    <w:rsid w:val="00BB44DD"/>
    <w:rsid w:val="00BB49A0"/>
    <w:rsid w:val="00BB6F00"/>
    <w:rsid w:val="00BB72E6"/>
    <w:rsid w:val="00BB788E"/>
    <w:rsid w:val="00BC16C8"/>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23B08"/>
    <w:rsid w:val="00C24F82"/>
    <w:rsid w:val="00C27735"/>
    <w:rsid w:val="00C27AEB"/>
    <w:rsid w:val="00C27C15"/>
    <w:rsid w:val="00C31DD9"/>
    <w:rsid w:val="00C32F28"/>
    <w:rsid w:val="00C33131"/>
    <w:rsid w:val="00C336CD"/>
    <w:rsid w:val="00C34700"/>
    <w:rsid w:val="00C351E3"/>
    <w:rsid w:val="00C40482"/>
    <w:rsid w:val="00C46301"/>
    <w:rsid w:val="00C50A9E"/>
    <w:rsid w:val="00C50E25"/>
    <w:rsid w:val="00C52F23"/>
    <w:rsid w:val="00C5324A"/>
    <w:rsid w:val="00C53812"/>
    <w:rsid w:val="00C60FD4"/>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FE"/>
    <w:rsid w:val="00CA1401"/>
    <w:rsid w:val="00CA1D8B"/>
    <w:rsid w:val="00CA3DF5"/>
    <w:rsid w:val="00CA3EC8"/>
    <w:rsid w:val="00CA5F10"/>
    <w:rsid w:val="00CA7AF2"/>
    <w:rsid w:val="00CB1495"/>
    <w:rsid w:val="00CB1ECB"/>
    <w:rsid w:val="00CB5618"/>
    <w:rsid w:val="00CB5C75"/>
    <w:rsid w:val="00CB65B6"/>
    <w:rsid w:val="00CC51A2"/>
    <w:rsid w:val="00CC6E3B"/>
    <w:rsid w:val="00CC78A4"/>
    <w:rsid w:val="00CC7989"/>
    <w:rsid w:val="00CD1822"/>
    <w:rsid w:val="00CD1DFB"/>
    <w:rsid w:val="00CD2312"/>
    <w:rsid w:val="00CD3AFE"/>
    <w:rsid w:val="00CD4B9F"/>
    <w:rsid w:val="00CD4BE4"/>
    <w:rsid w:val="00CD5226"/>
    <w:rsid w:val="00CD5809"/>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3CFE"/>
    <w:rsid w:val="00D34911"/>
    <w:rsid w:val="00D35AD1"/>
    <w:rsid w:val="00D35B2F"/>
    <w:rsid w:val="00D37796"/>
    <w:rsid w:val="00D40ADE"/>
    <w:rsid w:val="00D40B65"/>
    <w:rsid w:val="00D40FCB"/>
    <w:rsid w:val="00D4178B"/>
    <w:rsid w:val="00D430B6"/>
    <w:rsid w:val="00D432E5"/>
    <w:rsid w:val="00D44089"/>
    <w:rsid w:val="00D47527"/>
    <w:rsid w:val="00D50A3A"/>
    <w:rsid w:val="00D51D14"/>
    <w:rsid w:val="00D532AC"/>
    <w:rsid w:val="00D54289"/>
    <w:rsid w:val="00D57E17"/>
    <w:rsid w:val="00D615FC"/>
    <w:rsid w:val="00D63FE1"/>
    <w:rsid w:val="00D64CFC"/>
    <w:rsid w:val="00D66255"/>
    <w:rsid w:val="00D6789F"/>
    <w:rsid w:val="00D71448"/>
    <w:rsid w:val="00D71CED"/>
    <w:rsid w:val="00D7267D"/>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6A35"/>
    <w:rsid w:val="00E40627"/>
    <w:rsid w:val="00E41ED2"/>
    <w:rsid w:val="00E43949"/>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52AB"/>
    <w:rsid w:val="00FD5926"/>
    <w:rsid w:val="00FD6A78"/>
    <w:rsid w:val="00FE24E8"/>
    <w:rsid w:val="00FE28D3"/>
    <w:rsid w:val="00FE32B4"/>
    <w:rsid w:val="00FE331E"/>
    <w:rsid w:val="00FF1941"/>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07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703"/>
    <w:rPr>
      <w:rFonts w:ascii="Tahoma" w:hAnsi="Tahoma" w:cs="Tahoma"/>
      <w:sz w:val="16"/>
      <w:szCs w:val="16"/>
    </w:rPr>
  </w:style>
  <w:style w:type="paragraph" w:styleId="ListParagraph">
    <w:name w:val="List Paragraph"/>
    <w:basedOn w:val="Normal"/>
    <w:link w:val="ListParagraphChar"/>
    <w:uiPriority w:val="34"/>
    <w:qFormat/>
    <w:rsid w:val="00167449"/>
    <w:pPr>
      <w:ind w:left="720"/>
      <w:contextualSpacing/>
    </w:pPr>
  </w:style>
  <w:style w:type="character" w:styleId="CommentReference">
    <w:name w:val="annotation reference"/>
    <w:basedOn w:val="DefaultParagraphFont"/>
    <w:unhideWhenUsed/>
    <w:rsid w:val="00EB43F7"/>
    <w:rPr>
      <w:sz w:val="16"/>
      <w:szCs w:val="16"/>
    </w:rPr>
  </w:style>
  <w:style w:type="paragraph" w:styleId="CommentText">
    <w:name w:val="annotation text"/>
    <w:basedOn w:val="Normal"/>
    <w:link w:val="CommentTextChar"/>
    <w:unhideWhenUsed/>
    <w:rsid w:val="00EB43F7"/>
    <w:pPr>
      <w:spacing w:line="240" w:lineRule="auto"/>
    </w:pPr>
    <w:rPr>
      <w:sz w:val="20"/>
      <w:szCs w:val="20"/>
    </w:rPr>
  </w:style>
  <w:style w:type="character" w:customStyle="1" w:styleId="CommentTextChar">
    <w:name w:val="Comment Text Char"/>
    <w:basedOn w:val="DefaultParagraphFont"/>
    <w:link w:val="CommentText"/>
    <w:rsid w:val="00EB43F7"/>
    <w:rPr>
      <w:sz w:val="20"/>
      <w:szCs w:val="20"/>
    </w:rPr>
  </w:style>
  <w:style w:type="paragraph" w:styleId="CommentSubject">
    <w:name w:val="annotation subject"/>
    <w:basedOn w:val="CommentText"/>
    <w:next w:val="CommentText"/>
    <w:link w:val="CommentSubjectChar"/>
    <w:uiPriority w:val="99"/>
    <w:semiHidden/>
    <w:unhideWhenUsed/>
    <w:rsid w:val="00EB43F7"/>
    <w:rPr>
      <w:b/>
      <w:bCs/>
    </w:rPr>
  </w:style>
  <w:style w:type="character" w:customStyle="1" w:styleId="CommentSubjectChar">
    <w:name w:val="Comment Subject Char"/>
    <w:basedOn w:val="CommentTextChar"/>
    <w:link w:val="CommentSubject"/>
    <w:uiPriority w:val="99"/>
    <w:semiHidden/>
    <w:rsid w:val="00EB43F7"/>
    <w:rPr>
      <w:b/>
      <w:bCs/>
      <w:sz w:val="20"/>
      <w:szCs w:val="20"/>
    </w:rPr>
  </w:style>
  <w:style w:type="character" w:styleId="Hyperlink">
    <w:name w:val="Hyperlink"/>
    <w:basedOn w:val="DefaultParagraphFont"/>
    <w:uiPriority w:val="99"/>
    <w:unhideWhenUsed/>
    <w:rsid w:val="00242CED"/>
    <w:rPr>
      <w:color w:val="0000FF" w:themeColor="hyperlink"/>
      <w:u w:val="single"/>
    </w:rPr>
  </w:style>
  <w:style w:type="paragraph" w:styleId="Header">
    <w:name w:val="header"/>
    <w:basedOn w:val="Normal"/>
    <w:link w:val="HeaderChar"/>
    <w:uiPriority w:val="99"/>
    <w:unhideWhenUsed/>
    <w:rsid w:val="008755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55E3"/>
  </w:style>
  <w:style w:type="paragraph" w:styleId="Footer">
    <w:name w:val="footer"/>
    <w:basedOn w:val="Normal"/>
    <w:link w:val="FooterChar"/>
    <w:uiPriority w:val="99"/>
    <w:unhideWhenUsed/>
    <w:rsid w:val="008755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55E3"/>
  </w:style>
  <w:style w:type="character" w:styleId="FollowedHyperlink">
    <w:name w:val="FollowedHyperlink"/>
    <w:basedOn w:val="DefaultParagraphFont"/>
    <w:uiPriority w:val="99"/>
    <w:semiHidden/>
    <w:unhideWhenUsed/>
    <w:rsid w:val="00AC5D5B"/>
    <w:rPr>
      <w:color w:val="800080" w:themeColor="followedHyperlink"/>
      <w:u w:val="single"/>
    </w:rPr>
  </w:style>
  <w:style w:type="paragraph" w:styleId="FootnoteText">
    <w:name w:val="footnote text"/>
    <w:basedOn w:val="Normal"/>
    <w:link w:val="FootnoteTextChar"/>
    <w:uiPriority w:val="99"/>
    <w:unhideWhenUsed/>
    <w:rsid w:val="006E5D28"/>
    <w:pPr>
      <w:spacing w:after="0" w:line="240" w:lineRule="auto"/>
    </w:pPr>
    <w:rPr>
      <w:sz w:val="20"/>
      <w:szCs w:val="20"/>
    </w:rPr>
  </w:style>
  <w:style w:type="character" w:customStyle="1" w:styleId="FootnoteTextChar">
    <w:name w:val="Footnote Text Char"/>
    <w:basedOn w:val="DefaultParagraphFont"/>
    <w:link w:val="FootnoteText"/>
    <w:uiPriority w:val="99"/>
    <w:rsid w:val="006E5D28"/>
    <w:rPr>
      <w:sz w:val="20"/>
      <w:szCs w:val="20"/>
    </w:rPr>
  </w:style>
  <w:style w:type="character" w:styleId="FootnoteReference">
    <w:name w:val="footnote reference"/>
    <w:basedOn w:val="DefaultParagraphFont"/>
    <w:uiPriority w:val="99"/>
    <w:semiHidden/>
    <w:unhideWhenUsed/>
    <w:rsid w:val="006E5D28"/>
    <w:rPr>
      <w:vertAlign w:val="superscript"/>
    </w:rPr>
  </w:style>
  <w:style w:type="table" w:styleId="TableGrid">
    <w:name w:val="Table Grid"/>
    <w:basedOn w:val="TableNormal"/>
    <w:uiPriority w:val="5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71B6D"/>
    <w:rPr>
      <w:color w:val="605E5C"/>
      <w:shd w:val="clear" w:color="auto" w:fill="E1DFDD"/>
    </w:rPr>
  </w:style>
  <w:style w:type="paragraph" w:styleId="Revision">
    <w:name w:val="Revision"/>
    <w:hidden/>
    <w:uiPriority w:val="99"/>
    <w:semiHidden/>
    <w:rsid w:val="0074544F"/>
    <w:pPr>
      <w:spacing w:after="0" w:line="240" w:lineRule="auto"/>
    </w:pPr>
  </w:style>
  <w:style w:type="paragraph" w:styleId="NormalWeb">
    <w:name w:val="Normal (Web)"/>
    <w:basedOn w:val="Normal"/>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C95FE4"/>
  </w:style>
  <w:style w:type="character" w:styleId="Strong">
    <w:name w:val="Strong"/>
    <w:basedOn w:val="DefaultParagraphFont"/>
    <w:uiPriority w:val="22"/>
    <w:qFormat/>
    <w:rsid w:val="00DC16A7"/>
    <w:rPr>
      <w:b/>
      <w:bCs/>
    </w:rPr>
  </w:style>
  <w:style w:type="character" w:customStyle="1" w:styleId="ui-provider">
    <w:name w:val="ui-provider"/>
    <w:basedOn w:val="DefaultParagraphFont"/>
    <w:rsid w:val="00CA1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oi.org.il/publications/pressreleases/23-06-202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oi.org.il/publications/pressreleases/04-03-202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i.org.il/publications/pressreleases/17-12-2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oi.org.il/publications/pressreleases/08-11-23/"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boi.org.il/publications/pressreleases/b15-10-23/" TargetMode="External"/><Relationship Id="rId14" Type="http://schemas.openxmlformats.org/officeDocument/2006/relationships/hyperlink" Target="https://www.boi.org.il/bank-of-israel/iron-swords/boi-outline-banksoctober2024/" TargetMode="External"/><Relationship Id="rId22"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95CA2-E381-4597-935D-A233A2D2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1878</Words>
  <Characters>9391</Characters>
  <Application>Microsoft Office Word</Application>
  <DocSecurity>0</DocSecurity>
  <Lines>78</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2024-09-22T06:53:00Z</dcterms:created>
  <dcterms:modified xsi:type="dcterms:W3CDTF">2024-10-15T12:18:00Z</dcterms:modified>
</cp:coreProperties>
</file>