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55" w:rsidRDefault="00030576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48B36A" wp14:editId="0A17ABF9">
            <wp:simplePos x="0" y="0"/>
            <wp:positionH relativeFrom="column">
              <wp:posOffset>2609850</wp:posOffset>
            </wp:positionH>
            <wp:positionV relativeFrom="paragraph">
              <wp:posOffset>-12065</wp:posOffset>
            </wp:positionV>
            <wp:extent cx="914400" cy="914400"/>
            <wp:effectExtent l="0" t="0" r="0" b="0"/>
            <wp:wrapNone/>
            <wp:docPr id="10" name="תמונה 10" descr="http://portals/sites/boi/about/Mitug/DocList/%D7%AA%D7%9E%D7%95%D7%A0%D7%AA%20%D7%9C%D7%95%D7%92%D7%95%20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s/sites/boi/about/Mitug/DocList/%D7%AA%D7%9E%D7%95%D7%A0%D7%AA%20%D7%9C%D7%95%D7%92%D7%95%20(jpg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0150C4" w:rsidRPr="006702C1" w:rsidTr="00D73301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7330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0150C4" w:rsidRPr="006702C1" w:rsidRDefault="000150C4" w:rsidP="00D73301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50C4" w:rsidRPr="006702C1" w:rsidRDefault="000150C4" w:rsidP="00D73301">
            <w:pPr>
              <w:jc w:val="center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6C0940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0D5045">
              <w:rPr>
                <w:rFonts w:cs="David" w:hint="cs"/>
                <w:rtl/>
              </w:rPr>
              <w:t>י"</w:t>
            </w:r>
            <w:r w:rsidR="006C0940">
              <w:rPr>
                <w:rFonts w:cs="David" w:hint="cs"/>
                <w:rtl/>
              </w:rPr>
              <w:t>ז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6C0940">
              <w:rPr>
                <w:rFonts w:cs="David" w:hint="cs"/>
                <w:rtl/>
              </w:rPr>
              <w:t>טבת</w:t>
            </w:r>
            <w:r>
              <w:rPr>
                <w:rFonts w:cs="David"/>
                <w:rtl/>
              </w:rPr>
              <w:t xml:space="preserve">, </w:t>
            </w:r>
            <w:proofErr w:type="spellStart"/>
            <w:r>
              <w:rPr>
                <w:rFonts w:cs="David"/>
                <w:rtl/>
              </w:rPr>
              <w:t>התשע"</w:t>
            </w:r>
            <w:r w:rsidR="004346C1">
              <w:rPr>
                <w:rFonts w:cs="David" w:hint="cs"/>
                <w:rtl/>
              </w:rPr>
              <w:t>ט</w:t>
            </w:r>
            <w:proofErr w:type="spellEnd"/>
          </w:p>
          <w:p w:rsidR="000150C4" w:rsidRPr="006702C1" w:rsidRDefault="000150C4" w:rsidP="006C0940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F24859">
              <w:rPr>
                <w:rFonts w:cs="David" w:hint="cs"/>
                <w:rtl/>
              </w:rPr>
              <w:t>2</w:t>
            </w:r>
            <w:r w:rsidR="006C0940">
              <w:rPr>
                <w:rFonts w:cs="David" w:hint="cs"/>
                <w:rtl/>
              </w:rPr>
              <w:t>5</w:t>
            </w:r>
            <w:r w:rsidRPr="006702C1">
              <w:rPr>
                <w:rFonts w:cs="David"/>
                <w:rtl/>
              </w:rPr>
              <w:t xml:space="preserve"> </w:t>
            </w:r>
            <w:r w:rsidR="000D5045">
              <w:rPr>
                <w:rFonts w:cs="David" w:hint="cs"/>
                <w:rtl/>
              </w:rPr>
              <w:t>ב</w:t>
            </w:r>
            <w:r w:rsidR="006C0940">
              <w:rPr>
                <w:rFonts w:cs="David" w:hint="cs"/>
                <w:rtl/>
              </w:rPr>
              <w:t>דצמבר</w:t>
            </w:r>
            <w:r w:rsidRPr="006702C1">
              <w:rPr>
                <w:rFonts w:cs="David"/>
                <w:rtl/>
              </w:rPr>
              <w:t xml:space="preserve"> 201</w:t>
            </w:r>
            <w:r w:rsidR="00655559">
              <w:rPr>
                <w:rFonts w:cs="David" w:hint="cs"/>
                <w:rtl/>
              </w:rPr>
              <w:t>8</w:t>
            </w:r>
          </w:p>
        </w:tc>
      </w:tr>
    </w:tbl>
    <w:p w:rsidR="002D5576" w:rsidRDefault="00DB2C69" w:rsidP="002D468D">
      <w:pPr>
        <w:spacing w:before="240" w:line="360" w:lineRule="auto"/>
        <w:rPr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BB4BBF" w:rsidRDefault="00673D6C" w:rsidP="006C0940">
      <w:pPr>
        <w:pStyle w:val="ad"/>
        <w:rPr>
          <w:u w:val="none"/>
          <w:rtl/>
        </w:rPr>
      </w:pPr>
      <w:bookmarkStart w:id="0" w:name="_GoBack"/>
      <w:r w:rsidRPr="00FE10AB">
        <w:rPr>
          <w:u w:val="none"/>
          <w:rtl/>
        </w:rPr>
        <w:t xml:space="preserve">הנכסים וההתחייבויות של המשק </w:t>
      </w:r>
      <w:r w:rsidR="00807F97" w:rsidRPr="00FE10AB">
        <w:rPr>
          <w:rFonts w:hint="cs"/>
          <w:u w:val="none"/>
          <w:rtl/>
        </w:rPr>
        <w:t xml:space="preserve">מול </w:t>
      </w:r>
      <w:r w:rsidRPr="00FE10AB">
        <w:rPr>
          <w:u w:val="none"/>
          <w:rtl/>
        </w:rPr>
        <w:t>חו"ל</w:t>
      </w:r>
      <w:r w:rsidR="00922F75" w:rsidRPr="00FE10AB">
        <w:rPr>
          <w:rFonts w:hint="cs"/>
          <w:u w:val="none"/>
          <w:rtl/>
        </w:rPr>
        <w:t>,</w:t>
      </w:r>
      <w:r w:rsidR="00D77467" w:rsidRPr="00FE10AB">
        <w:rPr>
          <w:rFonts w:hint="cs"/>
          <w:u w:val="none"/>
          <w:rtl/>
        </w:rPr>
        <w:t xml:space="preserve"> </w:t>
      </w:r>
      <w:r w:rsidR="000150C4">
        <w:rPr>
          <w:rFonts w:hint="cs"/>
          <w:u w:val="none"/>
          <w:rtl/>
        </w:rPr>
        <w:t xml:space="preserve">רביע </w:t>
      </w:r>
      <w:r w:rsidR="006C0940">
        <w:rPr>
          <w:rFonts w:hint="cs"/>
          <w:u w:val="none"/>
          <w:rtl/>
        </w:rPr>
        <w:t>שלישי</w:t>
      </w:r>
      <w:r w:rsidR="005B6F96" w:rsidRPr="00FE10AB">
        <w:rPr>
          <w:rFonts w:hint="cs"/>
          <w:u w:val="none"/>
          <w:rtl/>
        </w:rPr>
        <w:t xml:space="preserve"> </w:t>
      </w:r>
      <w:r w:rsidR="00E74D0C" w:rsidRPr="00FE10AB">
        <w:rPr>
          <w:rFonts w:hint="cs"/>
          <w:u w:val="none"/>
          <w:rtl/>
        </w:rPr>
        <w:t>201</w:t>
      </w:r>
      <w:r w:rsidR="000D5045">
        <w:rPr>
          <w:rFonts w:hint="cs"/>
          <w:u w:val="none"/>
          <w:rtl/>
        </w:rPr>
        <w:t>8</w:t>
      </w:r>
    </w:p>
    <w:bookmarkEnd w:id="0"/>
    <w:p w:rsidR="00DC15F9" w:rsidRPr="009433F4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753653" w:rsidRPr="006B7B56" w:rsidRDefault="001F24CE" w:rsidP="0028420A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6B7B56">
        <w:rPr>
          <w:rFonts w:ascii="Arial" w:hAnsi="Arial" w:cs="David" w:hint="cs"/>
          <w:b/>
          <w:bCs/>
          <w:rtl/>
        </w:rPr>
        <w:t>יתרת</w:t>
      </w:r>
      <w:r w:rsidR="00ED12E8" w:rsidRPr="006B7B56">
        <w:rPr>
          <w:rFonts w:ascii="Arial" w:hAnsi="Arial" w:cs="David" w:hint="cs"/>
          <w:b/>
          <w:bCs/>
          <w:rtl/>
        </w:rPr>
        <w:t xml:space="preserve"> הנכסים של תושבי ישראל </w:t>
      </w:r>
      <w:r w:rsidR="00DF2C6B" w:rsidRPr="006B7B56">
        <w:rPr>
          <w:rFonts w:ascii="Arial" w:hAnsi="Arial" w:cs="David" w:hint="cs"/>
          <w:b/>
          <w:bCs/>
          <w:rtl/>
        </w:rPr>
        <w:t>בחו"ל</w:t>
      </w:r>
      <w:r w:rsidR="00B61E59" w:rsidRPr="006B7B56">
        <w:rPr>
          <w:rFonts w:ascii="Arial" w:hAnsi="Arial" w:cs="David" w:hint="cs"/>
          <w:b/>
          <w:bCs/>
          <w:rtl/>
        </w:rPr>
        <w:t xml:space="preserve"> </w:t>
      </w:r>
      <w:r w:rsidR="00A313A0" w:rsidRPr="006B7B56">
        <w:rPr>
          <w:rFonts w:ascii="Arial" w:hAnsi="Arial" w:cs="David" w:hint="cs"/>
          <w:b/>
          <w:bCs/>
          <w:rtl/>
        </w:rPr>
        <w:t>על</w:t>
      </w:r>
      <w:r w:rsidRPr="006B7B56">
        <w:rPr>
          <w:rFonts w:ascii="Arial" w:hAnsi="Arial" w:cs="David" w:hint="cs"/>
          <w:b/>
          <w:bCs/>
          <w:rtl/>
        </w:rPr>
        <w:t>ת</w:t>
      </w:r>
      <w:r w:rsidR="00A313A0" w:rsidRPr="006B7B56">
        <w:rPr>
          <w:rFonts w:ascii="Arial" w:hAnsi="Arial" w:cs="David" w:hint="cs"/>
          <w:b/>
          <w:bCs/>
          <w:rtl/>
        </w:rPr>
        <w:t xml:space="preserve">ה </w:t>
      </w:r>
      <w:r w:rsidR="00B61E59" w:rsidRPr="006B7B56">
        <w:rPr>
          <w:rFonts w:ascii="Arial" w:hAnsi="Arial" w:cs="David" w:hint="cs"/>
          <w:b/>
          <w:bCs/>
          <w:rtl/>
        </w:rPr>
        <w:t xml:space="preserve">ברביע </w:t>
      </w:r>
      <w:r w:rsidR="000949E8">
        <w:rPr>
          <w:rFonts w:ascii="Arial" w:hAnsi="Arial" w:cs="David" w:hint="cs"/>
          <w:b/>
          <w:bCs/>
          <w:rtl/>
        </w:rPr>
        <w:t>הש</w:t>
      </w:r>
      <w:r w:rsidR="00DE5B6B">
        <w:rPr>
          <w:rFonts w:ascii="Arial" w:hAnsi="Arial" w:cs="David" w:hint="cs"/>
          <w:b/>
          <w:bCs/>
          <w:rtl/>
        </w:rPr>
        <w:t>ל</w:t>
      </w:r>
      <w:r w:rsidR="000949E8">
        <w:rPr>
          <w:rFonts w:ascii="Arial" w:hAnsi="Arial" w:cs="David" w:hint="cs"/>
          <w:b/>
          <w:bCs/>
          <w:rtl/>
        </w:rPr>
        <w:t>י</w:t>
      </w:r>
      <w:r w:rsidR="00DE5B6B">
        <w:rPr>
          <w:rFonts w:ascii="Arial" w:hAnsi="Arial" w:cs="David" w:hint="cs"/>
          <w:b/>
          <w:bCs/>
          <w:rtl/>
        </w:rPr>
        <w:t>שי</w:t>
      </w:r>
      <w:r w:rsidR="007F449E" w:rsidRPr="006B7B56">
        <w:rPr>
          <w:rFonts w:ascii="Arial" w:hAnsi="Arial" w:cs="David" w:hint="cs"/>
          <w:b/>
          <w:bCs/>
          <w:rtl/>
        </w:rPr>
        <w:t xml:space="preserve"> של שנת 201</w:t>
      </w:r>
      <w:r w:rsidR="00AD1C0D" w:rsidRPr="006B7B56">
        <w:rPr>
          <w:rFonts w:ascii="Arial" w:hAnsi="Arial" w:cs="David" w:hint="cs"/>
          <w:b/>
          <w:bCs/>
          <w:rtl/>
        </w:rPr>
        <w:t>8</w:t>
      </w:r>
      <w:r w:rsidR="007F449E" w:rsidRPr="006B7B56">
        <w:rPr>
          <w:rFonts w:ascii="Arial" w:hAnsi="Arial" w:cs="David" w:hint="cs"/>
          <w:b/>
          <w:bCs/>
          <w:rtl/>
        </w:rPr>
        <w:t xml:space="preserve"> ב</w:t>
      </w:r>
      <w:r w:rsidR="0028420A">
        <w:rPr>
          <w:rFonts w:ascii="Arial" w:hAnsi="Arial" w:cs="David" w:hint="cs"/>
          <w:b/>
          <w:bCs/>
          <w:rtl/>
        </w:rPr>
        <w:t>כ-7.9</w:t>
      </w:r>
      <w:r w:rsidR="0028420A">
        <w:rPr>
          <w:rFonts w:ascii="Arial" w:hAnsi="Arial" w:cs="David" w:hint="cs"/>
          <w:rtl/>
        </w:rPr>
        <w:t xml:space="preserve"> </w:t>
      </w:r>
      <w:r w:rsidR="0028420A" w:rsidRPr="0028420A">
        <w:rPr>
          <w:rFonts w:ascii="Arial" w:hAnsi="Arial" w:cs="David" w:hint="cs"/>
          <w:b/>
          <w:bCs/>
          <w:rtl/>
        </w:rPr>
        <w:t>מיליארדי דולרים (1.8%)</w:t>
      </w:r>
      <w:r w:rsidR="00EC3532">
        <w:rPr>
          <w:rFonts w:ascii="Arial" w:hAnsi="Arial" w:cs="David" w:hint="cs"/>
          <w:b/>
          <w:bCs/>
          <w:rtl/>
        </w:rPr>
        <w:t xml:space="preserve"> </w:t>
      </w:r>
      <w:r w:rsidR="00EC3532" w:rsidRPr="00EC3532">
        <w:rPr>
          <w:rFonts w:ascii="Arial" w:hAnsi="Arial" w:cs="David" w:hint="cs"/>
          <w:b/>
          <w:bCs/>
          <w:rtl/>
        </w:rPr>
        <w:t>ועמדה בסוף ספטמבר על כ-446 מיליארדי דולרים</w:t>
      </w:r>
      <w:r w:rsidR="007F449E" w:rsidRPr="006B7B56">
        <w:rPr>
          <w:rFonts w:ascii="Arial" w:hAnsi="Arial" w:cs="David" w:hint="cs"/>
          <w:b/>
          <w:bCs/>
          <w:rtl/>
        </w:rPr>
        <w:t xml:space="preserve">: </w:t>
      </w:r>
      <w:r w:rsidR="0028420A" w:rsidRPr="0028420A">
        <w:rPr>
          <w:rFonts w:ascii="Arial" w:hAnsi="Arial" w:cs="David" w:hint="cs"/>
          <w:b/>
          <w:bCs/>
          <w:rtl/>
        </w:rPr>
        <w:t xml:space="preserve">עליות במחירי המניות הזרות שמחזיקים תושבי ישראל </w:t>
      </w:r>
      <w:r w:rsidR="0028420A">
        <w:rPr>
          <w:rFonts w:ascii="Arial" w:hAnsi="Arial" w:cs="David" w:hint="cs"/>
          <w:b/>
          <w:bCs/>
          <w:rtl/>
        </w:rPr>
        <w:t>במקביל ל</w:t>
      </w:r>
      <w:r w:rsidR="0028420A" w:rsidRPr="0028420A">
        <w:rPr>
          <w:rFonts w:ascii="Arial" w:hAnsi="Arial" w:cs="David" w:hint="cs"/>
          <w:b/>
          <w:bCs/>
          <w:rtl/>
        </w:rPr>
        <w:t xml:space="preserve">השקעות נטו בהון מניות </w:t>
      </w:r>
      <w:r w:rsidR="0028420A">
        <w:rPr>
          <w:rFonts w:ascii="Arial" w:hAnsi="Arial" w:cs="David" w:hint="cs"/>
          <w:b/>
          <w:bCs/>
          <w:rtl/>
        </w:rPr>
        <w:t>(</w:t>
      </w:r>
      <w:r w:rsidR="0028420A" w:rsidRPr="0028420A">
        <w:rPr>
          <w:rFonts w:ascii="Arial" w:hAnsi="Arial" w:cs="David" w:hint="cs"/>
          <w:b/>
          <w:bCs/>
          <w:rtl/>
        </w:rPr>
        <w:t>פיננסיות וישירות</w:t>
      </w:r>
      <w:r w:rsidR="0028420A">
        <w:rPr>
          <w:rFonts w:ascii="Arial" w:hAnsi="Arial" w:cs="David" w:hint="cs"/>
          <w:b/>
          <w:bCs/>
          <w:rtl/>
        </w:rPr>
        <w:t>)</w:t>
      </w:r>
      <w:r w:rsidR="0028420A" w:rsidRPr="0028420A">
        <w:rPr>
          <w:rFonts w:ascii="Arial" w:hAnsi="Arial" w:cs="David" w:hint="cs"/>
          <w:b/>
          <w:bCs/>
          <w:rtl/>
        </w:rPr>
        <w:t xml:space="preserve"> ובאג"ח זרות</w:t>
      </w:r>
      <w:r w:rsidR="00AD1C0D" w:rsidRPr="006B7B56">
        <w:rPr>
          <w:rFonts w:ascii="Arial" w:hAnsi="Arial" w:cs="David" w:hint="cs"/>
          <w:b/>
          <w:bCs/>
          <w:rtl/>
        </w:rPr>
        <w:t xml:space="preserve">. </w:t>
      </w:r>
    </w:p>
    <w:p w:rsidR="001F24CE" w:rsidRDefault="007F449E" w:rsidP="00EC3532">
      <w:pPr>
        <w:pStyle w:val="af7"/>
        <w:numPr>
          <w:ilvl w:val="0"/>
          <w:numId w:val="9"/>
        </w:numPr>
        <w:spacing w:line="360" w:lineRule="auto"/>
        <w:jc w:val="both"/>
        <w:rPr>
          <w:rFonts w:ascii="Arial" w:hAnsi="Arial" w:cs="David"/>
        </w:rPr>
      </w:pPr>
      <w:r w:rsidRPr="00EC3532">
        <w:rPr>
          <w:rFonts w:ascii="Arial" w:hAnsi="Arial" w:cs="David" w:hint="cs"/>
          <w:b/>
          <w:bCs/>
          <w:rtl/>
        </w:rPr>
        <w:t xml:space="preserve">יתרת ההתחייבויות של המשק לחו"ל עלתה במהלך הרביע </w:t>
      </w:r>
      <w:r w:rsidR="000949E8" w:rsidRPr="00EC3532">
        <w:rPr>
          <w:rFonts w:ascii="Arial" w:hAnsi="Arial" w:cs="David" w:hint="cs"/>
          <w:b/>
          <w:bCs/>
          <w:rtl/>
        </w:rPr>
        <w:t>הש</w:t>
      </w:r>
      <w:r w:rsidR="0028420A" w:rsidRPr="00EC3532">
        <w:rPr>
          <w:rFonts w:ascii="Arial" w:hAnsi="Arial" w:cs="David" w:hint="cs"/>
          <w:b/>
          <w:bCs/>
          <w:rtl/>
        </w:rPr>
        <w:t>ל</w:t>
      </w:r>
      <w:r w:rsidR="000949E8" w:rsidRPr="00EC3532">
        <w:rPr>
          <w:rFonts w:ascii="Arial" w:hAnsi="Arial" w:cs="David" w:hint="cs"/>
          <w:b/>
          <w:bCs/>
          <w:rtl/>
        </w:rPr>
        <w:t>י</w:t>
      </w:r>
      <w:r w:rsidR="0028420A" w:rsidRPr="00EC3532">
        <w:rPr>
          <w:rFonts w:ascii="Arial" w:hAnsi="Arial" w:cs="David" w:hint="cs"/>
          <w:b/>
          <w:bCs/>
          <w:rtl/>
        </w:rPr>
        <w:t>שי</w:t>
      </w:r>
      <w:r w:rsidRPr="00EC3532">
        <w:rPr>
          <w:rFonts w:ascii="Arial" w:hAnsi="Arial" w:cs="David" w:hint="cs"/>
          <w:b/>
          <w:bCs/>
          <w:rtl/>
        </w:rPr>
        <w:t xml:space="preserve"> ב-</w:t>
      </w:r>
      <w:r w:rsidR="0028420A" w:rsidRPr="00EC3532">
        <w:rPr>
          <w:rFonts w:ascii="Arial" w:hAnsi="Arial" w:cs="David" w:hint="cs"/>
          <w:b/>
          <w:bCs/>
          <w:rtl/>
        </w:rPr>
        <w:t>8.4 מיליארדי דולרים (2.7%)</w:t>
      </w:r>
      <w:r w:rsidR="00EC3532" w:rsidRPr="00EC3532">
        <w:rPr>
          <w:rFonts w:ascii="Arial" w:hAnsi="Arial" w:cs="David" w:hint="cs"/>
          <w:b/>
          <w:bCs/>
          <w:rtl/>
        </w:rPr>
        <w:t xml:space="preserve">  ועמדה בסוף ספטמבר על כ-320 מיליארדים</w:t>
      </w:r>
      <w:r w:rsidRPr="00EC3532">
        <w:rPr>
          <w:rFonts w:ascii="Arial" w:hAnsi="Arial" w:cs="David" w:hint="cs"/>
          <w:b/>
          <w:bCs/>
          <w:rtl/>
        </w:rPr>
        <w:t xml:space="preserve">: </w:t>
      </w:r>
      <w:r w:rsidR="0028420A" w:rsidRPr="00EC3532">
        <w:rPr>
          <w:rFonts w:ascii="Arial" w:hAnsi="Arial" w:cs="David" w:hint="cs"/>
          <w:b/>
          <w:bCs/>
          <w:rtl/>
        </w:rPr>
        <w:t>השקעות ישירות נטו של תושבי חוץ בהון מניות ו</w:t>
      </w:r>
      <w:r w:rsidR="00DA7BD2">
        <w:rPr>
          <w:rFonts w:ascii="Arial" w:hAnsi="Arial" w:cs="David" w:hint="cs"/>
          <w:b/>
          <w:bCs/>
          <w:rtl/>
        </w:rPr>
        <w:t xml:space="preserve">השקעות נטו </w:t>
      </w:r>
      <w:r w:rsidR="0028420A" w:rsidRPr="00EC3532">
        <w:rPr>
          <w:rFonts w:ascii="Arial" w:hAnsi="Arial" w:cs="David" w:hint="cs"/>
          <w:b/>
          <w:bCs/>
          <w:rtl/>
        </w:rPr>
        <w:t>באג"ח ישראליות במקביל ל</w:t>
      </w:r>
      <w:r w:rsidR="000949E8" w:rsidRPr="00EC3532">
        <w:rPr>
          <w:rFonts w:ascii="Arial" w:hAnsi="Arial" w:cs="David" w:hint="cs"/>
          <w:b/>
          <w:bCs/>
          <w:rtl/>
        </w:rPr>
        <w:t xml:space="preserve">עלייה במחירי המניות </w:t>
      </w:r>
      <w:r w:rsidR="0028420A" w:rsidRPr="00EC3532">
        <w:rPr>
          <w:rFonts w:ascii="Arial" w:hAnsi="Arial" w:cs="David" w:hint="cs"/>
          <w:b/>
          <w:bCs/>
          <w:rtl/>
        </w:rPr>
        <w:t xml:space="preserve">של </w:t>
      </w:r>
      <w:r w:rsidR="005E24F4" w:rsidRPr="00EC3532">
        <w:rPr>
          <w:rFonts w:ascii="Arial" w:hAnsi="Arial" w:cs="David" w:hint="cs"/>
          <w:b/>
          <w:bCs/>
          <w:rtl/>
        </w:rPr>
        <w:t>הישראליות שמחזיקים תושבי חוץ</w:t>
      </w:r>
      <w:r w:rsidRPr="00EC3532">
        <w:rPr>
          <w:rFonts w:ascii="Arial" w:hAnsi="Arial" w:cs="David" w:hint="cs"/>
          <w:b/>
          <w:bCs/>
          <w:rtl/>
        </w:rPr>
        <w:t>.</w:t>
      </w:r>
    </w:p>
    <w:p w:rsidR="00EC3532" w:rsidRPr="00EC3532" w:rsidRDefault="00EC3532" w:rsidP="00EC3532">
      <w:pPr>
        <w:pStyle w:val="af7"/>
        <w:spacing w:line="360" w:lineRule="auto"/>
        <w:ind w:left="643"/>
        <w:jc w:val="both"/>
        <w:rPr>
          <w:rFonts w:ascii="Arial" w:hAnsi="Arial" w:cs="David"/>
          <w:rtl/>
        </w:rPr>
      </w:pPr>
    </w:p>
    <w:p w:rsidR="007F449E" w:rsidRPr="006B7B56" w:rsidRDefault="000949E8" w:rsidP="005E24F4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0949E8">
        <w:rPr>
          <w:rFonts w:ascii="Arial" w:hAnsi="Arial" w:cs="David"/>
          <w:b/>
          <w:bCs/>
          <w:rtl/>
        </w:rPr>
        <w:t xml:space="preserve">היחס שבין החוב החיצוני ברוטו לתמ"ג </w:t>
      </w:r>
      <w:r w:rsidR="005E24F4" w:rsidRPr="005E24F4">
        <w:rPr>
          <w:rFonts w:ascii="Arial" w:hAnsi="Arial" w:cs="David" w:hint="cs"/>
          <w:b/>
          <w:bCs/>
          <w:rtl/>
        </w:rPr>
        <w:t>ירד במהלך הרביע השלישי ב-0.3 נקודות האחוז ועמד בסוף ספטמבר על 25.8%. הירידה ביחס החוב לתוצר שיקפה עלייה ביתרת החוב החיצוני ברוטו בשיעור נמוך מהעלייה בתוצר.</w:t>
      </w:r>
    </w:p>
    <w:p w:rsidR="005E24F4" w:rsidRDefault="000949E8" w:rsidP="005E24F4">
      <w:pPr>
        <w:pStyle w:val="af7"/>
        <w:numPr>
          <w:ilvl w:val="0"/>
          <w:numId w:val="9"/>
        </w:numPr>
        <w:spacing w:line="360" w:lineRule="auto"/>
        <w:ind w:right="426"/>
        <w:jc w:val="both"/>
        <w:rPr>
          <w:rFonts w:ascii="Arial" w:hAnsi="Arial" w:cs="David"/>
          <w:b/>
          <w:bCs/>
        </w:rPr>
      </w:pPr>
      <w:r w:rsidRPr="005E24F4">
        <w:rPr>
          <w:rFonts w:ascii="Arial" w:hAnsi="Arial" w:cs="David"/>
          <w:b/>
          <w:bCs/>
          <w:rtl/>
        </w:rPr>
        <w:t>עודף הנכסים על ההתחייבויות של המשק מול חו"ל ירד במהלך הרביע הש</w:t>
      </w:r>
      <w:r w:rsidR="005E24F4" w:rsidRPr="005E24F4">
        <w:rPr>
          <w:rFonts w:ascii="Arial" w:hAnsi="Arial" w:cs="David" w:hint="cs"/>
          <w:b/>
          <w:bCs/>
          <w:rtl/>
        </w:rPr>
        <w:t>ליש</w:t>
      </w:r>
      <w:r w:rsidRPr="005E24F4">
        <w:rPr>
          <w:rFonts w:ascii="Arial" w:hAnsi="Arial" w:cs="David"/>
          <w:b/>
          <w:bCs/>
          <w:rtl/>
        </w:rPr>
        <w:t>י ב-</w:t>
      </w:r>
      <w:r w:rsidR="005E24F4" w:rsidRPr="005E24F4">
        <w:rPr>
          <w:rFonts w:ascii="Arial" w:hAnsi="Arial" w:cs="David" w:hint="cs"/>
          <w:b/>
          <w:bCs/>
          <w:rtl/>
        </w:rPr>
        <w:t>0.5</w:t>
      </w:r>
      <w:r w:rsidRPr="005E24F4">
        <w:rPr>
          <w:rFonts w:ascii="Arial" w:hAnsi="Arial" w:cs="David"/>
          <w:b/>
          <w:bCs/>
          <w:rtl/>
        </w:rPr>
        <w:t xml:space="preserve"> מיליארדי דולרים (</w:t>
      </w:r>
      <w:r w:rsidR="005E24F4" w:rsidRPr="005E24F4">
        <w:rPr>
          <w:rFonts w:ascii="Arial" w:hAnsi="Arial" w:cs="David" w:hint="cs"/>
          <w:b/>
          <w:bCs/>
          <w:rtl/>
        </w:rPr>
        <w:t>0.4</w:t>
      </w:r>
      <w:r w:rsidRPr="005E24F4">
        <w:rPr>
          <w:rFonts w:ascii="Arial" w:hAnsi="Arial" w:cs="David"/>
          <w:b/>
          <w:bCs/>
          <w:rtl/>
        </w:rPr>
        <w:t xml:space="preserve">%-) ועמד בסוף </w:t>
      </w:r>
      <w:r w:rsidR="005E24F4" w:rsidRPr="005E24F4">
        <w:rPr>
          <w:rFonts w:ascii="Arial" w:hAnsi="Arial" w:cs="David" w:hint="cs"/>
          <w:b/>
          <w:bCs/>
          <w:rtl/>
        </w:rPr>
        <w:t>ספטמבר</w:t>
      </w:r>
      <w:r w:rsidRPr="005E24F4">
        <w:rPr>
          <w:rFonts w:ascii="Arial" w:hAnsi="Arial" w:cs="David"/>
          <w:b/>
          <w:bCs/>
          <w:rtl/>
        </w:rPr>
        <w:t xml:space="preserve"> על 1</w:t>
      </w:r>
      <w:r w:rsidR="005E24F4" w:rsidRPr="005E24F4">
        <w:rPr>
          <w:rFonts w:ascii="Arial" w:hAnsi="Arial" w:cs="David" w:hint="cs"/>
          <w:b/>
          <w:bCs/>
          <w:rtl/>
        </w:rPr>
        <w:t>27</w:t>
      </w:r>
      <w:r w:rsidRPr="005E24F4">
        <w:rPr>
          <w:rFonts w:ascii="Arial" w:hAnsi="Arial" w:cs="David"/>
          <w:b/>
          <w:bCs/>
          <w:rtl/>
        </w:rPr>
        <w:t xml:space="preserve"> מיליארדי</w:t>
      </w:r>
      <w:r w:rsidRPr="005E24F4">
        <w:rPr>
          <w:rFonts w:ascii="Arial" w:hAnsi="Arial" w:cs="David" w:hint="cs"/>
          <w:b/>
          <w:bCs/>
          <w:rtl/>
        </w:rPr>
        <w:t xml:space="preserve"> דולרים, ב</w:t>
      </w:r>
      <w:r w:rsidRPr="005E24F4">
        <w:rPr>
          <w:rFonts w:ascii="Arial" w:hAnsi="Arial" w:cs="David"/>
          <w:b/>
          <w:bCs/>
          <w:rtl/>
        </w:rPr>
        <w:t xml:space="preserve">עיקר </w:t>
      </w:r>
      <w:r w:rsidRPr="005E24F4">
        <w:rPr>
          <w:rFonts w:ascii="Arial" w:hAnsi="Arial" w:cs="David" w:hint="cs"/>
          <w:b/>
          <w:bCs/>
          <w:rtl/>
        </w:rPr>
        <w:t xml:space="preserve">כתוצאה </w:t>
      </w:r>
      <w:r w:rsidR="005E24F4" w:rsidRPr="005E24F4">
        <w:rPr>
          <w:rFonts w:ascii="Arial" w:hAnsi="Arial" w:cs="David" w:hint="cs"/>
          <w:b/>
          <w:bCs/>
          <w:rtl/>
        </w:rPr>
        <w:t>מהשקעות נטו של תושבי חוץ בהון מניות ואג"ח ישראליות</w:t>
      </w:r>
      <w:r w:rsidR="005E24F4" w:rsidRPr="005E24F4">
        <w:rPr>
          <w:rFonts w:ascii="Arial" w:hAnsi="Arial" w:cs="David"/>
          <w:b/>
          <w:bCs/>
          <w:rtl/>
        </w:rPr>
        <w:t xml:space="preserve"> </w:t>
      </w:r>
      <w:r w:rsidRPr="005E24F4">
        <w:rPr>
          <w:rFonts w:ascii="Arial" w:hAnsi="Arial" w:cs="David"/>
          <w:b/>
          <w:bCs/>
          <w:rtl/>
        </w:rPr>
        <w:t>אשר הגדיל</w:t>
      </w:r>
      <w:r w:rsidR="005E24F4" w:rsidRPr="005E24F4">
        <w:rPr>
          <w:rFonts w:ascii="Arial" w:hAnsi="Arial" w:cs="David" w:hint="cs"/>
          <w:b/>
          <w:bCs/>
          <w:rtl/>
        </w:rPr>
        <w:t>ו</w:t>
      </w:r>
      <w:r w:rsidRPr="005E24F4">
        <w:rPr>
          <w:rFonts w:ascii="Arial" w:hAnsi="Arial" w:cs="David"/>
          <w:b/>
          <w:bCs/>
          <w:rtl/>
        </w:rPr>
        <w:t xml:space="preserve"> את יתרת ההתחייבויות</w:t>
      </w:r>
      <w:r w:rsidR="0084099E" w:rsidRPr="005E24F4">
        <w:rPr>
          <w:rFonts w:ascii="Arial" w:hAnsi="Arial" w:cs="David" w:hint="cs"/>
          <w:b/>
          <w:bCs/>
          <w:rtl/>
        </w:rPr>
        <w:t xml:space="preserve">. </w:t>
      </w:r>
    </w:p>
    <w:p w:rsidR="00EC3532" w:rsidRPr="005E24F4" w:rsidRDefault="00EC3532" w:rsidP="00EC3532">
      <w:pPr>
        <w:pStyle w:val="af7"/>
        <w:spacing w:line="360" w:lineRule="auto"/>
        <w:ind w:left="643" w:right="426"/>
        <w:jc w:val="both"/>
        <w:rPr>
          <w:rFonts w:ascii="Arial" w:hAnsi="Arial" w:cs="David"/>
          <w:b/>
          <w:bCs/>
          <w:rtl/>
        </w:rPr>
      </w:pPr>
    </w:p>
    <w:p w:rsidR="002D5576" w:rsidRPr="005E24F4" w:rsidRDefault="000949E8" w:rsidP="005E24F4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0949E8">
        <w:rPr>
          <w:rFonts w:ascii="Arial" w:hAnsi="Arial" w:cs="David"/>
          <w:b/>
          <w:bCs/>
          <w:rtl/>
        </w:rPr>
        <w:t xml:space="preserve">עודף הנכסים על ההתחייבויות של המשק מול חו"ל במכשירי חוב בלבד (חוב חיצוני שלילי), </w:t>
      </w:r>
      <w:r w:rsidR="005E24F4" w:rsidRPr="005E24F4">
        <w:rPr>
          <w:rFonts w:ascii="Arial" w:hAnsi="Arial" w:cs="David" w:hint="cs"/>
          <w:b/>
          <w:bCs/>
          <w:rtl/>
        </w:rPr>
        <w:t>ירד במהלך הרביע השלישי בהיקף של כ- 0.9 מיליארדים (0.5%-) ועמד בסוף ספטמבר על 158 מיליארדי דולרים.</w:t>
      </w:r>
      <w:r w:rsidR="005E24F4" w:rsidRPr="005E24F4">
        <w:rPr>
          <w:rFonts w:ascii="Arial" w:hAnsi="Arial" w:cs="David"/>
          <w:b/>
          <w:bCs/>
          <w:rtl/>
        </w:rPr>
        <w:t xml:space="preserve"> </w:t>
      </w:r>
      <w:r w:rsidR="002D5576" w:rsidRPr="005E24F4">
        <w:rPr>
          <w:rFonts w:ascii="Arial" w:hAnsi="Arial" w:cs="David"/>
          <w:b/>
          <w:bCs/>
          <w:rtl/>
        </w:rPr>
        <w:br w:type="page"/>
      </w:r>
    </w:p>
    <w:p w:rsidR="004D208E" w:rsidRPr="00FE10AB" w:rsidRDefault="00092131" w:rsidP="005921B0">
      <w:pPr>
        <w:pStyle w:val="af"/>
        <w:rPr>
          <w:u w:val="none"/>
          <w:rtl/>
        </w:rPr>
      </w:pPr>
      <w:r w:rsidRPr="00FE10AB">
        <w:rPr>
          <w:rFonts w:hint="cs"/>
          <w:u w:val="none"/>
          <w:rtl/>
        </w:rPr>
        <w:lastRenderedPageBreak/>
        <w:t xml:space="preserve">לוח 1: </w:t>
      </w:r>
      <w:r w:rsidR="00054C99" w:rsidRPr="00FE10AB">
        <w:rPr>
          <w:rFonts w:hint="cs"/>
          <w:u w:val="none"/>
          <w:rtl/>
        </w:rPr>
        <w:t>יתרות הנכסים וההתחייבויות והשינויים בהם</w:t>
      </w:r>
    </w:p>
    <w:p w:rsidR="008B17A5" w:rsidRPr="00041FB7" w:rsidRDefault="001F143F" w:rsidP="008964DB">
      <w:pPr>
        <w:spacing w:after="360" w:line="360" w:lineRule="auto"/>
        <w:jc w:val="center"/>
        <w:rPr>
          <w:rtl/>
        </w:rPr>
      </w:pPr>
      <w:r w:rsidRPr="001F143F">
        <w:rPr>
          <w:noProof/>
          <w:lang w:eastAsia="en-US"/>
        </w:rPr>
        <w:drawing>
          <wp:inline distT="0" distB="0" distL="0" distR="0" wp14:anchorId="52480624" wp14:editId="3020771C">
            <wp:extent cx="5859109" cy="2878016"/>
            <wp:effectExtent l="0" t="0" r="8890" b="0"/>
            <wp:docPr id="1" name="תמונה 1" descr="לוח המפרט את היתרות של הנכסים וההתחייבויות של המשק מול חול ואת השינויים בהן. ניתן למצוא את הלוח בקובץ האקסל המצורף להודעה זו בגיליון &quot;לוח&quot;.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9109" cy="287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D04" w:rsidRPr="00FE10AB" w:rsidRDefault="00E95D04" w:rsidP="00E95D04">
      <w:pPr>
        <w:pStyle w:val="1"/>
        <w:rPr>
          <w:rStyle w:val="12"/>
          <w:b/>
          <w:bCs/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t xml:space="preserve">שווי תיק הנכסים של תושבי ישראל בחו"ל  </w:t>
      </w:r>
    </w:p>
    <w:p w:rsidR="00E95D04" w:rsidRDefault="00E95D04" w:rsidP="00B34352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 xml:space="preserve">שווי תיק הנכסים של תושבי ישראל בחו"ל </w:t>
      </w:r>
      <w:r w:rsidRPr="00AF6E37">
        <w:rPr>
          <w:rFonts w:ascii="Arial" w:hAnsi="Arial" w:cs="David" w:hint="cs"/>
          <w:rtl/>
        </w:rPr>
        <w:t xml:space="preserve">עלה </w:t>
      </w:r>
      <w:r>
        <w:rPr>
          <w:rFonts w:ascii="Arial" w:hAnsi="Arial" w:cs="David" w:hint="cs"/>
          <w:rtl/>
        </w:rPr>
        <w:t xml:space="preserve">ברביע </w:t>
      </w:r>
      <w:r w:rsidR="00B34352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rtl/>
        </w:rPr>
        <w:t xml:space="preserve"> של </w:t>
      </w:r>
      <w:r w:rsidRPr="00AF6E37">
        <w:rPr>
          <w:rFonts w:ascii="Arial" w:hAnsi="Arial" w:cs="David" w:hint="cs"/>
          <w:rtl/>
        </w:rPr>
        <w:t xml:space="preserve">שנת </w:t>
      </w:r>
      <w:r>
        <w:rPr>
          <w:rFonts w:ascii="Arial" w:hAnsi="Arial" w:cs="David" w:hint="cs"/>
          <w:rtl/>
        </w:rPr>
        <w:t>201</w:t>
      </w:r>
      <w:r w:rsidR="0056598D">
        <w:rPr>
          <w:rFonts w:ascii="Arial" w:hAnsi="Arial" w:cs="David" w:hint="cs"/>
          <w:rtl/>
        </w:rPr>
        <w:t>8</w:t>
      </w:r>
      <w:r w:rsidRPr="00AF6E37">
        <w:rPr>
          <w:rFonts w:ascii="Arial" w:hAnsi="Arial" w:cs="David" w:hint="cs"/>
          <w:rtl/>
        </w:rPr>
        <w:t xml:space="preserve"> ב</w:t>
      </w:r>
      <w:r w:rsidR="00214AB0">
        <w:rPr>
          <w:rFonts w:ascii="Arial" w:hAnsi="Arial" w:cs="David" w:hint="cs"/>
          <w:rtl/>
        </w:rPr>
        <w:t>כ</w:t>
      </w:r>
      <w:r w:rsidR="00B34352">
        <w:rPr>
          <w:rFonts w:ascii="Arial" w:hAnsi="Arial" w:cs="David" w:hint="cs"/>
          <w:rtl/>
        </w:rPr>
        <w:t xml:space="preserve">-7.9 </w:t>
      </w:r>
      <w:r w:rsidRPr="00AF6E37">
        <w:rPr>
          <w:rFonts w:ascii="Arial" w:hAnsi="Arial" w:cs="David" w:hint="cs"/>
          <w:rtl/>
        </w:rPr>
        <w:t>מיליארד</w:t>
      </w:r>
      <w:r w:rsidR="00B34352">
        <w:rPr>
          <w:rFonts w:ascii="Arial" w:hAnsi="Arial" w:cs="David" w:hint="cs"/>
          <w:rtl/>
        </w:rPr>
        <w:t>י</w:t>
      </w:r>
      <w:r w:rsidRPr="00AF6E37">
        <w:rPr>
          <w:rFonts w:ascii="Arial" w:hAnsi="Arial" w:cs="David" w:hint="cs"/>
          <w:rtl/>
        </w:rPr>
        <w:t xml:space="preserve"> דולרים (</w:t>
      </w:r>
      <w:r w:rsidR="00B34352">
        <w:rPr>
          <w:rFonts w:ascii="Arial" w:hAnsi="Arial" w:cs="David" w:hint="cs"/>
          <w:rtl/>
        </w:rPr>
        <w:t>1.8</w:t>
      </w:r>
      <w:r w:rsidR="0076000D" w:rsidRPr="00AF6E37">
        <w:rPr>
          <w:rFonts w:ascii="Arial" w:hAnsi="Arial" w:cs="David" w:hint="cs"/>
          <w:rtl/>
        </w:rPr>
        <w:t>%)</w:t>
      </w:r>
      <w:r w:rsidR="00214AB0">
        <w:rPr>
          <w:rFonts w:ascii="Arial" w:hAnsi="Arial" w:cs="David" w:hint="cs"/>
          <w:rtl/>
        </w:rPr>
        <w:t>,</w:t>
      </w:r>
      <w:r w:rsidRPr="00AF6E37">
        <w:rPr>
          <w:rFonts w:ascii="Arial" w:hAnsi="Arial" w:cs="David" w:hint="cs"/>
          <w:rtl/>
        </w:rPr>
        <w:t xml:space="preserve"> ועמד בסוף </w:t>
      </w:r>
      <w:r w:rsidR="00B34352">
        <w:rPr>
          <w:rFonts w:ascii="Arial" w:hAnsi="Arial" w:cs="David" w:hint="cs"/>
          <w:rtl/>
        </w:rPr>
        <w:t>ספטמבר</w:t>
      </w:r>
      <w:r w:rsidRPr="00AF6E37">
        <w:rPr>
          <w:rFonts w:ascii="Arial" w:hAnsi="Arial" w:cs="David" w:hint="cs"/>
          <w:rtl/>
        </w:rPr>
        <w:t xml:space="preserve"> על כ-</w:t>
      </w:r>
      <w:r w:rsidR="00E90F70">
        <w:rPr>
          <w:rFonts w:ascii="Arial" w:hAnsi="Arial" w:cs="David" w:hint="cs"/>
          <w:rtl/>
        </w:rPr>
        <w:t>4</w:t>
      </w:r>
      <w:r w:rsidR="00B34352">
        <w:rPr>
          <w:rFonts w:ascii="Arial" w:hAnsi="Arial" w:cs="David" w:hint="cs"/>
          <w:rtl/>
        </w:rPr>
        <w:t>46</w:t>
      </w:r>
      <w:r w:rsidRPr="00AF6E37">
        <w:rPr>
          <w:rFonts w:ascii="Arial" w:hAnsi="Arial" w:cs="David" w:hint="cs"/>
          <w:rtl/>
        </w:rPr>
        <w:t xml:space="preserve"> מיליארדי דולרים. </w:t>
      </w:r>
      <w:r w:rsidRPr="000E79EF">
        <w:rPr>
          <w:rFonts w:ascii="Arial" w:hAnsi="Arial" w:cs="David" w:hint="cs"/>
          <w:rtl/>
        </w:rPr>
        <w:t xml:space="preserve">הגידול בתיק הנכסים </w:t>
      </w:r>
      <w:r w:rsidR="00D46F81">
        <w:rPr>
          <w:rFonts w:ascii="Arial" w:hAnsi="Arial" w:cs="David" w:hint="cs"/>
          <w:rtl/>
        </w:rPr>
        <w:t>נבע</w:t>
      </w:r>
      <w:r w:rsidR="00D46F81" w:rsidRPr="000E79EF">
        <w:rPr>
          <w:rFonts w:ascii="Arial" w:hAnsi="Arial" w:cs="David" w:hint="cs"/>
          <w:rtl/>
        </w:rPr>
        <w:t xml:space="preserve"> </w:t>
      </w:r>
      <w:r w:rsidR="0056598D">
        <w:rPr>
          <w:rFonts w:ascii="Arial" w:hAnsi="Arial" w:cs="David" w:hint="cs"/>
          <w:rtl/>
        </w:rPr>
        <w:t>מ</w:t>
      </w:r>
      <w:r w:rsidR="00B34352">
        <w:rPr>
          <w:rFonts w:ascii="Arial" w:hAnsi="Arial" w:cs="David" w:hint="cs"/>
          <w:rtl/>
        </w:rPr>
        <w:t>גידול ביתרת ה</w:t>
      </w:r>
      <w:r w:rsidR="0056598D">
        <w:rPr>
          <w:rFonts w:ascii="Arial" w:hAnsi="Arial" w:cs="David" w:hint="cs"/>
          <w:rtl/>
        </w:rPr>
        <w:t xml:space="preserve">השקעות </w:t>
      </w:r>
      <w:r w:rsidR="00B34352">
        <w:rPr>
          <w:rFonts w:ascii="Arial" w:hAnsi="Arial" w:cs="David" w:hint="cs"/>
          <w:rtl/>
        </w:rPr>
        <w:t>הפיננסיות של תושבי ישראל בחו"ל ובעיקר במניות פיננסיות.</w:t>
      </w:r>
      <w:r w:rsidRPr="00C4262A">
        <w:rPr>
          <w:rFonts w:ascii="Arial" w:hAnsi="Arial" w:cs="David" w:hint="cs"/>
          <w:b/>
          <w:bCs/>
          <w:rtl/>
        </w:rPr>
        <w:t xml:space="preserve"> </w:t>
      </w:r>
    </w:p>
    <w:p w:rsidR="00D064D6" w:rsidRPr="002216F2" w:rsidRDefault="00B90A51" w:rsidP="002216F2">
      <w:pPr>
        <w:pStyle w:val="af7"/>
        <w:numPr>
          <w:ilvl w:val="0"/>
          <w:numId w:val="15"/>
        </w:numPr>
        <w:spacing w:line="360" w:lineRule="auto"/>
        <w:ind w:right="426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>שווי ההשקעות הישירות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="00624395" w:rsidRPr="002216F2">
        <w:rPr>
          <w:rFonts w:ascii="Arial" w:hAnsi="Arial" w:cs="David" w:hint="cs"/>
          <w:rtl/>
        </w:rPr>
        <w:t xml:space="preserve">עלה במהלך הרביע </w:t>
      </w:r>
      <w:r w:rsidR="00B34352" w:rsidRPr="002216F2">
        <w:rPr>
          <w:rFonts w:ascii="Arial" w:hAnsi="Arial" w:cs="David" w:hint="cs"/>
          <w:rtl/>
        </w:rPr>
        <w:t>השלישי</w:t>
      </w:r>
      <w:r w:rsidR="00624395" w:rsidRPr="002216F2">
        <w:rPr>
          <w:rFonts w:ascii="Arial" w:hAnsi="Arial" w:cs="David" w:hint="cs"/>
          <w:rtl/>
        </w:rPr>
        <w:t xml:space="preserve"> בכ-</w:t>
      </w:r>
      <w:r w:rsidR="00B34352" w:rsidRPr="002216F2">
        <w:rPr>
          <w:rFonts w:ascii="Arial" w:hAnsi="Arial" w:cs="David" w:hint="cs"/>
          <w:rtl/>
        </w:rPr>
        <w:t>1.6</w:t>
      </w:r>
      <w:r w:rsidR="00624395" w:rsidRPr="002216F2">
        <w:rPr>
          <w:rFonts w:ascii="Arial" w:hAnsi="Arial" w:cs="David" w:hint="cs"/>
          <w:rtl/>
        </w:rPr>
        <w:t xml:space="preserve"> מיליארדי</w:t>
      </w:r>
      <w:r w:rsidR="00B34352" w:rsidRPr="002216F2">
        <w:rPr>
          <w:rFonts w:ascii="Arial" w:hAnsi="Arial" w:cs="David" w:hint="cs"/>
          <w:rtl/>
        </w:rPr>
        <w:t>ם</w:t>
      </w:r>
      <w:r w:rsidR="00624395" w:rsidRPr="002216F2">
        <w:rPr>
          <w:rFonts w:ascii="Arial" w:hAnsi="Arial" w:cs="David" w:hint="cs"/>
          <w:rtl/>
        </w:rPr>
        <w:t xml:space="preserve"> (</w:t>
      </w:r>
      <w:r w:rsidR="00B34352" w:rsidRPr="002216F2">
        <w:rPr>
          <w:rFonts w:ascii="Arial" w:hAnsi="Arial" w:cs="David" w:hint="cs"/>
          <w:rtl/>
        </w:rPr>
        <w:t>1.6</w:t>
      </w:r>
      <w:r w:rsidR="00624395" w:rsidRPr="002216F2">
        <w:rPr>
          <w:rFonts w:ascii="Arial" w:hAnsi="Arial" w:cs="David" w:hint="cs"/>
          <w:rtl/>
        </w:rPr>
        <w:t>%) בעיקר כתוצאה מ</w:t>
      </w:r>
      <w:r w:rsidR="0018795A">
        <w:rPr>
          <w:rFonts w:ascii="Arial" w:hAnsi="Arial" w:cs="David" w:hint="cs"/>
          <w:rtl/>
        </w:rPr>
        <w:t xml:space="preserve">זרם </w:t>
      </w:r>
      <w:r w:rsidR="00624395" w:rsidRPr="002216F2">
        <w:rPr>
          <w:rFonts w:ascii="Arial" w:hAnsi="Arial" w:cs="David" w:hint="cs"/>
          <w:rtl/>
        </w:rPr>
        <w:t>השקעות ישירות נטו בהון מניות בהיקף של כ</w:t>
      </w:r>
      <w:r w:rsidR="0076000D" w:rsidRPr="002216F2">
        <w:rPr>
          <w:rFonts w:ascii="Arial" w:hAnsi="Arial" w:cs="David" w:hint="cs"/>
          <w:rtl/>
        </w:rPr>
        <w:t>-</w:t>
      </w:r>
      <w:r w:rsidR="00B34352" w:rsidRPr="002216F2">
        <w:rPr>
          <w:rFonts w:ascii="Arial" w:hAnsi="Arial" w:cs="David" w:hint="cs"/>
          <w:rtl/>
        </w:rPr>
        <w:t>1.2</w:t>
      </w:r>
      <w:r w:rsidR="0076000D" w:rsidRPr="002216F2">
        <w:rPr>
          <w:rFonts w:ascii="Arial" w:hAnsi="Arial" w:cs="David" w:hint="cs"/>
          <w:rtl/>
        </w:rPr>
        <w:t xml:space="preserve"> </w:t>
      </w:r>
      <w:r w:rsidR="00624395" w:rsidRPr="002216F2">
        <w:rPr>
          <w:rFonts w:ascii="Arial" w:hAnsi="Arial" w:cs="David" w:hint="cs"/>
          <w:rtl/>
        </w:rPr>
        <w:t>מיליארד</w:t>
      </w:r>
      <w:r w:rsidR="0076000D" w:rsidRPr="002216F2">
        <w:rPr>
          <w:rFonts w:ascii="Arial" w:hAnsi="Arial" w:cs="David" w:hint="cs"/>
          <w:rtl/>
        </w:rPr>
        <w:t>י</w:t>
      </w:r>
      <w:r w:rsidR="00B34352" w:rsidRPr="002216F2">
        <w:rPr>
          <w:rFonts w:ascii="Arial" w:hAnsi="Arial" w:cs="David" w:hint="cs"/>
          <w:rtl/>
        </w:rPr>
        <w:t>ם (1.2%)</w:t>
      </w:r>
      <w:r w:rsidR="00624395" w:rsidRPr="002216F2">
        <w:rPr>
          <w:rFonts w:ascii="Arial" w:hAnsi="Arial" w:cs="David" w:hint="cs"/>
          <w:rtl/>
        </w:rPr>
        <w:t>.</w:t>
      </w:r>
    </w:p>
    <w:p w:rsidR="002216F2" w:rsidRDefault="002216F2" w:rsidP="002216F2">
      <w:pPr>
        <w:pStyle w:val="2"/>
        <w:numPr>
          <w:ilvl w:val="0"/>
          <w:numId w:val="15"/>
        </w:numPr>
        <w:rPr>
          <w:rtl/>
        </w:rPr>
      </w:pPr>
      <w:r w:rsidRPr="00907615">
        <w:rPr>
          <w:rFonts w:hint="cs"/>
          <w:b/>
          <w:bCs/>
          <w:rtl/>
        </w:rPr>
        <w:t>שווי תיק ההשקעות הפיננסיות</w:t>
      </w:r>
      <w:r>
        <w:rPr>
          <w:rFonts w:hint="cs"/>
          <w:rtl/>
        </w:rPr>
        <w:t xml:space="preserve"> עלה במהלך הרביע השלישי בכ-6.8 מיליארדי דולרים</w:t>
      </w:r>
      <w:r w:rsidRPr="003F3174">
        <w:rPr>
          <w:rFonts w:hint="cs"/>
          <w:rtl/>
        </w:rPr>
        <w:t xml:space="preserve"> (</w:t>
      </w:r>
      <w:r>
        <w:rPr>
          <w:rFonts w:hint="cs"/>
          <w:rtl/>
        </w:rPr>
        <w:t>4.6</w:t>
      </w:r>
      <w:r w:rsidRPr="003F3174">
        <w:rPr>
          <w:rFonts w:hint="cs"/>
          <w:rtl/>
        </w:rPr>
        <w:t>%</w:t>
      </w:r>
      <w:r>
        <w:rPr>
          <w:rFonts w:hint="cs"/>
          <w:rtl/>
        </w:rPr>
        <w:t>)</w:t>
      </w:r>
      <w:r w:rsidRPr="003F3174">
        <w:rPr>
          <w:rFonts w:hint="cs"/>
          <w:rtl/>
        </w:rPr>
        <w:t xml:space="preserve"> </w:t>
      </w:r>
      <w:r>
        <w:rPr>
          <w:rFonts w:hint="cs"/>
          <w:rtl/>
        </w:rPr>
        <w:t>בעיקר כתוצאה מעליות במחירי המניות הזרות שמחזיקים תושבי ישראל בהיקף של כ-3 מיליארדים (2%) ו</w:t>
      </w:r>
      <w:r>
        <w:rPr>
          <w:rFonts w:ascii="Arial" w:hAnsi="Arial" w:hint="cs"/>
          <w:rtl/>
        </w:rPr>
        <w:t>מ</w:t>
      </w:r>
      <w:r w:rsidR="0018795A">
        <w:rPr>
          <w:rFonts w:ascii="Arial" w:hAnsi="Arial" w:hint="cs"/>
          <w:rtl/>
        </w:rPr>
        <w:t>זרם השקעות</w:t>
      </w:r>
      <w:r>
        <w:rPr>
          <w:rFonts w:ascii="Arial" w:hAnsi="Arial" w:hint="cs"/>
          <w:rtl/>
        </w:rPr>
        <w:t xml:space="preserve"> </w:t>
      </w:r>
      <w:r w:rsidR="0018795A">
        <w:rPr>
          <w:rFonts w:ascii="Arial" w:hAnsi="Arial" w:hint="cs"/>
          <w:rtl/>
        </w:rPr>
        <w:t xml:space="preserve">נטו </w:t>
      </w:r>
      <w:r>
        <w:rPr>
          <w:rFonts w:ascii="Arial" w:hAnsi="Arial" w:hint="cs"/>
          <w:rtl/>
        </w:rPr>
        <w:t xml:space="preserve">בהון </w:t>
      </w:r>
      <w:r w:rsidRPr="00BA0D1A">
        <w:rPr>
          <w:rFonts w:ascii="Arial" w:hAnsi="Arial" w:hint="cs"/>
          <w:rtl/>
        </w:rPr>
        <w:t>מניות</w:t>
      </w:r>
      <w:r>
        <w:rPr>
          <w:rFonts w:ascii="Arial" w:hAnsi="Arial" w:hint="cs"/>
          <w:rtl/>
        </w:rPr>
        <w:t xml:space="preserve"> פיננסיות ובאג"ח זרות </w:t>
      </w:r>
      <w:r>
        <w:rPr>
          <w:rFonts w:hint="cs"/>
          <w:rtl/>
        </w:rPr>
        <w:t xml:space="preserve">בהיקף של כ-1.9 וכ-1.6 מיליארדים בהתאמה. </w:t>
      </w:r>
    </w:p>
    <w:p w:rsidR="002216F2" w:rsidRDefault="002216F2" w:rsidP="002216F2">
      <w:pPr>
        <w:pStyle w:val="2"/>
        <w:ind w:left="720"/>
        <w:rPr>
          <w:rtl/>
        </w:rPr>
      </w:pPr>
      <w:r>
        <w:rPr>
          <w:rFonts w:hint="cs"/>
          <w:rtl/>
        </w:rPr>
        <w:t>עיקר ההשקעות בהון מניות פיננסיות התבצעו על ידי המשקיעים המוסדיים ומשקי הבית (1.1 ו- 0.8 מיליארדים בהתאמה). עיקר ההשקעות באג"ח זרות התבצעו על ידי המגזר הבנקאי ומשקי הבית (כמיליארד וכ-0.6 מיליארדים בהתאמה) (תרשים 1).</w:t>
      </w:r>
    </w:p>
    <w:p w:rsidR="008964DB" w:rsidRPr="00617539" w:rsidRDefault="008964DB" w:rsidP="0017204C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933151" w:rsidRPr="00C340A4" w:rsidRDefault="002216F2" w:rsidP="002216F2">
      <w:pPr>
        <w:pStyle w:val="2"/>
        <w:jc w:val="center"/>
        <w:rPr>
          <w:rtl/>
        </w:rPr>
      </w:pPr>
      <w:r>
        <w:rPr>
          <w:b/>
          <w:bCs/>
          <w:noProof/>
          <w:lang w:eastAsia="en-US"/>
        </w:rPr>
        <w:drawing>
          <wp:inline distT="0" distB="0" distL="0" distR="0" wp14:anchorId="5B2BE9A0" wp14:editId="3EAE8900">
            <wp:extent cx="3590654" cy="2443177"/>
            <wp:effectExtent l="0" t="0" r="0" b="0"/>
            <wp:docPr id="3" name="תמונה 3" descr="התרשים מתאר את ההשקעות הפיננסיות של תושבי ישראל בחו&quot;ל בחלוקה למגזר העסקי, המשקיעים המוסדיים, משקי הבית והמגזר הבנקאי. ניתן למצוא את התרשים בקובץ האקסל המצורף להודעה זו בגיליון &quot;תרשים1&quot;." title="תרשים 1: השקעות פיננסיות של תושבי ישראל בחו&quot;ל, לפי מגז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95" cy="249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4D6" w:rsidRPr="002216F2" w:rsidRDefault="00E95D04" w:rsidP="002216F2">
      <w:pPr>
        <w:pStyle w:val="af7"/>
        <w:numPr>
          <w:ilvl w:val="0"/>
          <w:numId w:val="16"/>
        </w:numPr>
        <w:spacing w:line="360" w:lineRule="auto"/>
        <w:ind w:right="426"/>
        <w:jc w:val="both"/>
        <w:rPr>
          <w:rFonts w:ascii="Arial" w:hAnsi="Arial" w:cs="David"/>
        </w:rPr>
      </w:pPr>
      <w:r w:rsidRPr="002216F2">
        <w:rPr>
          <w:rStyle w:val="20"/>
          <w:rFonts w:hint="cs"/>
          <w:b/>
          <w:bCs/>
          <w:rtl/>
        </w:rPr>
        <w:lastRenderedPageBreak/>
        <w:t>שווי ההשקעות האחרות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 xml:space="preserve">בחו"ל </w:t>
      </w:r>
      <w:r w:rsidR="00B3376B" w:rsidRPr="002216F2">
        <w:rPr>
          <w:rFonts w:ascii="Arial" w:hAnsi="Arial" w:cs="David" w:hint="cs"/>
          <w:rtl/>
        </w:rPr>
        <w:t>ירד במהלך</w:t>
      </w:r>
      <w:r w:rsidRPr="002216F2">
        <w:rPr>
          <w:rFonts w:ascii="Arial" w:hAnsi="Arial" w:cs="David" w:hint="cs"/>
          <w:rtl/>
        </w:rPr>
        <w:t xml:space="preserve"> </w:t>
      </w:r>
      <w:r w:rsidR="00B3376B" w:rsidRPr="002216F2">
        <w:rPr>
          <w:rFonts w:ascii="Arial" w:hAnsi="Arial" w:cs="David" w:hint="cs"/>
          <w:rtl/>
        </w:rPr>
        <w:t>ה</w:t>
      </w:r>
      <w:r w:rsidRPr="002216F2">
        <w:rPr>
          <w:rFonts w:ascii="Arial" w:hAnsi="Arial" w:cs="David" w:hint="cs"/>
          <w:rtl/>
        </w:rPr>
        <w:t xml:space="preserve">רביע </w:t>
      </w:r>
      <w:r w:rsidR="00844D86" w:rsidRPr="002216F2">
        <w:rPr>
          <w:rFonts w:ascii="Arial" w:hAnsi="Arial" w:cs="David" w:hint="cs"/>
          <w:rtl/>
        </w:rPr>
        <w:t>השלישי</w:t>
      </w:r>
      <w:r w:rsidR="00B3376B" w:rsidRPr="002216F2">
        <w:rPr>
          <w:rFonts w:ascii="Arial" w:hAnsi="Arial" w:cs="David" w:hint="cs"/>
          <w:rtl/>
        </w:rPr>
        <w:t xml:space="preserve"> בהיקף של כ- </w:t>
      </w:r>
      <w:r w:rsidR="00844D86" w:rsidRPr="002216F2">
        <w:rPr>
          <w:rFonts w:ascii="Arial" w:hAnsi="Arial" w:cs="David" w:hint="cs"/>
          <w:rtl/>
        </w:rPr>
        <w:t>1.8</w:t>
      </w:r>
      <w:r w:rsidR="00B3376B" w:rsidRPr="002216F2">
        <w:rPr>
          <w:rFonts w:ascii="Arial" w:hAnsi="Arial" w:cs="David" w:hint="cs"/>
          <w:rtl/>
        </w:rPr>
        <w:t xml:space="preserve"> מיליארדי דולרים (</w:t>
      </w:r>
      <w:r w:rsidR="00844D86" w:rsidRPr="002216F2">
        <w:rPr>
          <w:rFonts w:ascii="Arial" w:hAnsi="Arial" w:cs="David" w:hint="cs"/>
          <w:rtl/>
        </w:rPr>
        <w:t>2.4</w:t>
      </w:r>
      <w:r w:rsidR="00B3376B" w:rsidRPr="002216F2">
        <w:rPr>
          <w:rFonts w:ascii="Arial" w:hAnsi="Arial" w:cs="David" w:hint="cs"/>
          <w:rtl/>
        </w:rPr>
        <w:t>%-)</w:t>
      </w:r>
      <w:r w:rsidR="00D64EF3" w:rsidRPr="002216F2">
        <w:rPr>
          <w:rFonts w:ascii="Arial" w:hAnsi="Arial" w:cs="David" w:hint="cs"/>
          <w:rtl/>
        </w:rPr>
        <w:t>:</w:t>
      </w:r>
      <w:r w:rsidR="008610A8" w:rsidRPr="002216F2">
        <w:rPr>
          <w:rFonts w:ascii="Arial" w:hAnsi="Arial" w:cs="David" w:hint="cs"/>
          <w:rtl/>
        </w:rPr>
        <w:t xml:space="preserve"> </w:t>
      </w:r>
      <w:r w:rsidR="00D64EF3" w:rsidRPr="002216F2">
        <w:rPr>
          <w:rFonts w:ascii="Arial" w:hAnsi="Arial" w:cs="David" w:hint="cs"/>
          <w:rtl/>
        </w:rPr>
        <w:t>נרשמ</w:t>
      </w:r>
      <w:r w:rsidR="0018795A">
        <w:rPr>
          <w:rFonts w:ascii="Arial" w:hAnsi="Arial" w:cs="David" w:hint="cs"/>
          <w:rtl/>
        </w:rPr>
        <w:t>ו פירעונות</w:t>
      </w:r>
      <w:r w:rsidR="00B3376B" w:rsidRPr="002216F2">
        <w:rPr>
          <w:rFonts w:ascii="Arial" w:hAnsi="Arial" w:cs="David" w:hint="cs"/>
          <w:rtl/>
        </w:rPr>
        <w:t xml:space="preserve"> </w:t>
      </w:r>
      <w:r w:rsidR="00844D86" w:rsidRPr="002216F2">
        <w:rPr>
          <w:rFonts w:ascii="Arial" w:hAnsi="Arial" w:cs="David" w:hint="cs"/>
          <w:rtl/>
        </w:rPr>
        <w:t>באשראי הלקוחות</w:t>
      </w:r>
      <w:r w:rsidR="00B3376B" w:rsidRPr="002216F2">
        <w:rPr>
          <w:rFonts w:ascii="Arial" w:hAnsi="Arial" w:cs="David" w:hint="cs"/>
          <w:rtl/>
        </w:rPr>
        <w:t xml:space="preserve"> שנתנו תושבי ישראל לתושבי חוץ בהיקף של כ-</w:t>
      </w:r>
      <w:r w:rsidR="00844D86" w:rsidRPr="002216F2">
        <w:rPr>
          <w:rFonts w:ascii="Arial" w:hAnsi="Arial" w:cs="David" w:hint="cs"/>
          <w:rtl/>
        </w:rPr>
        <w:t>1.8</w:t>
      </w:r>
      <w:r w:rsidR="00B3376B" w:rsidRPr="002216F2">
        <w:rPr>
          <w:rFonts w:ascii="Arial" w:hAnsi="Arial" w:cs="David" w:hint="cs"/>
          <w:rtl/>
        </w:rPr>
        <w:t xml:space="preserve"> מיליארדי דולרים</w:t>
      </w:r>
      <w:r w:rsidR="00844D86" w:rsidRPr="002216F2">
        <w:rPr>
          <w:rFonts w:ascii="Arial" w:hAnsi="Arial" w:cs="David" w:hint="cs"/>
          <w:rtl/>
        </w:rPr>
        <w:t xml:space="preserve"> ומשיכות מפיקדונות תושבי ישראל ובנקים ישראליים בחו"ל בהיקף של 1.5 מיליארדים. מנגד, נרשמה </w:t>
      </w:r>
      <w:r w:rsidR="00B3376B" w:rsidRPr="002216F2">
        <w:rPr>
          <w:rFonts w:ascii="Arial" w:hAnsi="Arial" w:cs="David" w:hint="cs"/>
          <w:rtl/>
        </w:rPr>
        <w:t>עלייה ביתרת הנכסים האחרים של תושבי ישראל בחו"ל בהיקף של כ</w:t>
      </w:r>
      <w:r w:rsidR="00F61B83" w:rsidRPr="002216F2">
        <w:rPr>
          <w:rFonts w:ascii="Arial" w:hAnsi="Arial" w:cs="David" w:hint="cs"/>
          <w:rtl/>
        </w:rPr>
        <w:t>- 1.</w:t>
      </w:r>
      <w:r w:rsidR="00844D86" w:rsidRPr="002216F2">
        <w:rPr>
          <w:rFonts w:ascii="Arial" w:hAnsi="Arial" w:cs="David" w:hint="cs"/>
          <w:rtl/>
        </w:rPr>
        <w:t>1</w:t>
      </w:r>
      <w:r w:rsidR="00F61B83" w:rsidRPr="002216F2">
        <w:rPr>
          <w:rFonts w:ascii="Arial" w:hAnsi="Arial" w:cs="David" w:hint="cs"/>
          <w:rtl/>
        </w:rPr>
        <w:t xml:space="preserve"> מיליארדי דולרים</w:t>
      </w:r>
      <w:r w:rsidR="00844D86" w:rsidRPr="002216F2">
        <w:rPr>
          <w:rFonts w:ascii="Arial" w:hAnsi="Arial" w:cs="David" w:hint="cs"/>
          <w:rtl/>
        </w:rPr>
        <w:t>, בעיקר רכישה של קרנות השקעה ונדל"ן על ידי המשקיעים המוסדיים</w:t>
      </w:r>
      <w:r w:rsidR="008F6EC3" w:rsidRPr="002216F2">
        <w:rPr>
          <w:rFonts w:ascii="Arial" w:hAnsi="Arial" w:cs="David" w:hint="cs"/>
          <w:rtl/>
        </w:rPr>
        <w:t>.</w:t>
      </w:r>
    </w:p>
    <w:p w:rsidR="002216F2" w:rsidRPr="002216F2" w:rsidRDefault="002216F2" w:rsidP="002216F2">
      <w:pPr>
        <w:pStyle w:val="af7"/>
        <w:numPr>
          <w:ilvl w:val="0"/>
          <w:numId w:val="16"/>
        </w:numPr>
        <w:spacing w:after="240" w:line="360" w:lineRule="auto"/>
        <w:ind w:right="426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 xml:space="preserve">שווי יתרת רזרבות </w:t>
      </w:r>
      <w:proofErr w:type="spellStart"/>
      <w:r w:rsidRPr="002216F2">
        <w:rPr>
          <w:rStyle w:val="20"/>
          <w:rFonts w:hint="cs"/>
          <w:b/>
          <w:bCs/>
          <w:rtl/>
        </w:rPr>
        <w:t>המט"ח</w:t>
      </w:r>
      <w:proofErr w:type="spellEnd"/>
      <w:r w:rsidRPr="002216F2">
        <w:rPr>
          <w:rFonts w:ascii="Arial" w:hAnsi="Arial" w:cs="David" w:hint="cs"/>
          <w:rtl/>
        </w:rPr>
        <w:t xml:space="preserve"> עלה במהלך הרביע השלישי בהיקף של כ-0.6 מיליארדים (0.5%) ועמד בסוף הרביע על 115 מיליארדים.</w:t>
      </w:r>
    </w:p>
    <w:p w:rsidR="00595D2C" w:rsidRDefault="00D064D6" w:rsidP="0034126E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EC7480">
        <w:rPr>
          <w:rStyle w:val="20"/>
          <w:rFonts w:hint="cs"/>
          <w:b/>
          <w:bCs/>
          <w:rtl/>
        </w:rPr>
        <w:t>הרכב התיק בחו"ל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/>
          <w:rtl/>
        </w:rPr>
        <w:t>–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 w:hint="cs"/>
          <w:rtl/>
        </w:rPr>
        <w:t xml:space="preserve">כתוצאה מהעלייה בשווי ההשקעות </w:t>
      </w:r>
      <w:r w:rsidR="002247AE">
        <w:rPr>
          <w:rFonts w:ascii="Arial" w:hAnsi="Arial" w:cs="David" w:hint="cs"/>
          <w:rtl/>
        </w:rPr>
        <w:t>ב</w:t>
      </w:r>
      <w:r w:rsidR="0034126E">
        <w:rPr>
          <w:rFonts w:ascii="Arial" w:hAnsi="Arial" w:cs="David" w:hint="cs"/>
          <w:rtl/>
        </w:rPr>
        <w:t xml:space="preserve">הון </w:t>
      </w:r>
      <w:r w:rsidR="002247AE">
        <w:rPr>
          <w:rFonts w:ascii="Arial" w:hAnsi="Arial" w:cs="David" w:hint="cs"/>
          <w:rtl/>
        </w:rPr>
        <w:t xml:space="preserve">מניות </w:t>
      </w:r>
      <w:r w:rsidR="0034126E">
        <w:rPr>
          <w:rFonts w:ascii="Arial" w:hAnsi="Arial" w:cs="David" w:hint="cs"/>
          <w:rtl/>
        </w:rPr>
        <w:t>פיננסיות וישירות</w:t>
      </w:r>
      <w:r w:rsidR="002247AE">
        <w:rPr>
          <w:rFonts w:ascii="Arial" w:hAnsi="Arial" w:cs="David" w:hint="cs"/>
          <w:rtl/>
        </w:rPr>
        <w:t xml:space="preserve"> (נכס</w:t>
      </w:r>
      <w:r w:rsidR="009029FB">
        <w:rPr>
          <w:rFonts w:ascii="Arial" w:hAnsi="Arial" w:cs="David" w:hint="cs"/>
          <w:rtl/>
        </w:rPr>
        <w:t>י</w:t>
      </w:r>
      <w:r w:rsidR="002247AE">
        <w:rPr>
          <w:rFonts w:ascii="Arial" w:hAnsi="Arial" w:cs="David" w:hint="cs"/>
          <w:rtl/>
        </w:rPr>
        <w:t xml:space="preserve"> הון)</w:t>
      </w:r>
      <w:r w:rsidR="00595D2C">
        <w:rPr>
          <w:rFonts w:ascii="Arial" w:hAnsi="Arial" w:cs="David" w:hint="cs"/>
          <w:rtl/>
        </w:rPr>
        <w:t xml:space="preserve">, </w:t>
      </w:r>
      <w:r w:rsidR="0034126E">
        <w:rPr>
          <w:rFonts w:ascii="Arial" w:hAnsi="Arial" w:cs="David" w:hint="cs"/>
          <w:rtl/>
        </w:rPr>
        <w:t>במקביל</w:t>
      </w:r>
      <w:r w:rsidR="00595D2C">
        <w:rPr>
          <w:rFonts w:ascii="Arial" w:hAnsi="Arial" w:cs="David" w:hint="cs"/>
          <w:rtl/>
        </w:rPr>
        <w:t xml:space="preserve"> </w:t>
      </w:r>
      <w:r w:rsidR="0034126E">
        <w:rPr>
          <w:rFonts w:ascii="Arial" w:hAnsi="Arial" w:cs="David" w:hint="cs"/>
          <w:rtl/>
        </w:rPr>
        <w:t>לעלייה</w:t>
      </w:r>
      <w:r w:rsidR="00F61B83">
        <w:rPr>
          <w:rFonts w:ascii="Arial" w:hAnsi="Arial" w:cs="David" w:hint="cs"/>
          <w:rtl/>
        </w:rPr>
        <w:t xml:space="preserve"> זניחה </w:t>
      </w:r>
      <w:r w:rsidR="002247AE">
        <w:rPr>
          <w:rFonts w:ascii="Arial" w:hAnsi="Arial" w:cs="David" w:hint="cs"/>
          <w:rtl/>
        </w:rPr>
        <w:t xml:space="preserve">בשווי יתרת נכסי </w:t>
      </w:r>
      <w:r w:rsidR="0034126E">
        <w:rPr>
          <w:rFonts w:ascii="Arial" w:hAnsi="Arial" w:cs="David" w:hint="cs"/>
          <w:rtl/>
        </w:rPr>
        <w:t>ה</w:t>
      </w:r>
      <w:r w:rsidR="002247AE">
        <w:rPr>
          <w:rFonts w:ascii="Arial" w:hAnsi="Arial" w:cs="David" w:hint="cs"/>
          <w:rtl/>
        </w:rPr>
        <w:t>חוב</w:t>
      </w:r>
      <w:r w:rsidR="00595D2C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="00F23FA6">
        <w:rPr>
          <w:rFonts w:ascii="Arial" w:hAnsi="Arial" w:cs="David" w:hint="cs"/>
          <w:rtl/>
        </w:rPr>
        <w:t xml:space="preserve">נמשכה ברביע </w:t>
      </w:r>
      <w:r w:rsidR="0034126E">
        <w:rPr>
          <w:rFonts w:ascii="Arial" w:hAnsi="Arial" w:cs="David" w:hint="cs"/>
          <w:rtl/>
        </w:rPr>
        <w:t>השלישי</w:t>
      </w:r>
      <w:r w:rsidR="00F23FA6">
        <w:rPr>
          <w:rFonts w:ascii="Arial" w:hAnsi="Arial" w:cs="David" w:hint="cs"/>
          <w:rtl/>
        </w:rPr>
        <w:t xml:space="preserve"> העלייה במשקלם של מכשירי ההון </w:t>
      </w:r>
      <w:r w:rsidR="00F23FA6" w:rsidRPr="00F23FA6">
        <w:rPr>
          <w:rFonts w:ascii="Arial" w:hAnsi="Arial" w:cs="David" w:hint="cs"/>
          <w:rtl/>
        </w:rPr>
        <w:t>בתיק הנכסים של תושבי ישראל בחו"ל</w:t>
      </w:r>
      <w:r w:rsidR="00F23FA6">
        <w:rPr>
          <w:rFonts w:ascii="Arial" w:hAnsi="Arial" w:cs="David" w:hint="cs"/>
          <w:rtl/>
        </w:rPr>
        <w:t xml:space="preserve"> עד לרמה של </w:t>
      </w:r>
      <w:r w:rsidR="0034126E">
        <w:rPr>
          <w:rFonts w:ascii="Arial" w:hAnsi="Arial" w:cs="David" w:hint="cs"/>
          <w:rtl/>
        </w:rPr>
        <w:t>54</w:t>
      </w:r>
      <w:r w:rsidR="00F23FA6">
        <w:rPr>
          <w:rFonts w:ascii="Arial" w:hAnsi="Arial" w:cs="David" w:hint="cs"/>
          <w:rtl/>
        </w:rPr>
        <w:t>% מסך התיק</w:t>
      </w:r>
      <w:r w:rsidR="00F23FA6" w:rsidRPr="00F23FA6">
        <w:rPr>
          <w:rFonts w:ascii="Arial" w:hAnsi="Arial" w:cs="David" w:hint="cs"/>
          <w:rtl/>
        </w:rPr>
        <w:t>.</w:t>
      </w:r>
    </w:p>
    <w:p w:rsidR="002216F2" w:rsidRPr="00595D2C" w:rsidRDefault="002216F2" w:rsidP="0034126E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</w:p>
    <w:p w:rsidR="00890447" w:rsidRPr="00890447" w:rsidRDefault="00890447" w:rsidP="00890447">
      <w:pPr>
        <w:pStyle w:val="1"/>
        <w:rPr>
          <w:rtl/>
        </w:rPr>
      </w:pPr>
      <w:r w:rsidRPr="00890447">
        <w:rPr>
          <w:rStyle w:val="12"/>
          <w:rFonts w:hint="cs"/>
          <w:b/>
          <w:bCs/>
          <w:u w:val="none"/>
          <w:rtl/>
        </w:rPr>
        <w:t>יתרת ההתחייבויו</w:t>
      </w:r>
      <w:r w:rsidRPr="00890447">
        <w:rPr>
          <w:rStyle w:val="12"/>
          <w:rFonts w:hint="eastAsia"/>
          <w:b/>
          <w:bCs/>
          <w:u w:val="none"/>
          <w:rtl/>
        </w:rPr>
        <w:t>ת</w:t>
      </w:r>
      <w:r w:rsidRPr="00890447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890447">
        <w:rPr>
          <w:rFonts w:hint="cs"/>
          <w:rtl/>
        </w:rPr>
        <w:t xml:space="preserve"> </w:t>
      </w:r>
    </w:p>
    <w:p w:rsidR="00890447" w:rsidRPr="002216F2" w:rsidRDefault="00890447" w:rsidP="0034126E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יתרת ההתחייבויות של המשק לחו"ל </w:t>
      </w:r>
      <w:r w:rsidR="00EE168A">
        <w:rPr>
          <w:rFonts w:ascii="Arial" w:hAnsi="Arial" w:cs="David" w:hint="cs"/>
          <w:rtl/>
        </w:rPr>
        <w:t>עלתה</w:t>
      </w:r>
      <w:r w:rsidRPr="000E79EF">
        <w:rPr>
          <w:rFonts w:ascii="Arial" w:hAnsi="Arial" w:cs="David" w:hint="cs"/>
          <w:rtl/>
        </w:rPr>
        <w:t xml:space="preserve"> במהלך </w:t>
      </w:r>
      <w:r>
        <w:rPr>
          <w:rFonts w:ascii="Arial" w:hAnsi="Arial" w:cs="David" w:hint="cs"/>
          <w:rtl/>
        </w:rPr>
        <w:t xml:space="preserve">הרביע </w:t>
      </w:r>
      <w:r w:rsidR="0034126E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rtl/>
        </w:rPr>
        <w:t xml:space="preserve"> ב-</w:t>
      </w:r>
      <w:r w:rsidR="0034126E">
        <w:rPr>
          <w:rFonts w:ascii="Arial" w:hAnsi="Arial" w:cs="David" w:hint="cs"/>
          <w:rtl/>
        </w:rPr>
        <w:t>8.4</w:t>
      </w:r>
      <w:r>
        <w:rPr>
          <w:rFonts w:ascii="Arial" w:hAnsi="Arial" w:cs="David" w:hint="cs"/>
          <w:rtl/>
        </w:rPr>
        <w:t xml:space="preserve"> מיליארדי דולרים (</w:t>
      </w:r>
      <w:r w:rsidR="0034126E">
        <w:rPr>
          <w:rFonts w:ascii="Arial" w:hAnsi="Arial" w:cs="David" w:hint="cs"/>
          <w:rtl/>
        </w:rPr>
        <w:t>2.7</w:t>
      </w:r>
      <w:r w:rsidR="00EE168A">
        <w:rPr>
          <w:rFonts w:ascii="Arial" w:hAnsi="Arial" w:cs="David" w:hint="cs"/>
          <w:rtl/>
        </w:rPr>
        <w:t>%</w:t>
      </w:r>
      <w:r>
        <w:rPr>
          <w:rFonts w:ascii="Arial" w:hAnsi="Arial" w:cs="David" w:hint="cs"/>
          <w:rtl/>
        </w:rPr>
        <w:t>) ו</w:t>
      </w:r>
      <w:r w:rsidRPr="00672893">
        <w:rPr>
          <w:rFonts w:ascii="Arial" w:hAnsi="Arial" w:cs="David" w:hint="cs"/>
          <w:rtl/>
        </w:rPr>
        <w:t>עמד</w:t>
      </w:r>
      <w:r>
        <w:rPr>
          <w:rFonts w:ascii="Arial" w:hAnsi="Arial" w:cs="David" w:hint="cs"/>
          <w:rtl/>
        </w:rPr>
        <w:t>ה</w:t>
      </w:r>
      <w:r w:rsidRPr="00672893">
        <w:rPr>
          <w:rFonts w:ascii="Arial" w:hAnsi="Arial" w:cs="David" w:hint="cs"/>
          <w:rtl/>
        </w:rPr>
        <w:t xml:space="preserve"> בסוף </w:t>
      </w:r>
      <w:r w:rsidR="0034126E" w:rsidRPr="002216F2">
        <w:rPr>
          <w:rFonts w:ascii="Arial" w:hAnsi="Arial" w:cs="David" w:hint="cs"/>
          <w:rtl/>
        </w:rPr>
        <w:t>ספטמבר</w:t>
      </w:r>
      <w:r w:rsidRPr="002216F2">
        <w:rPr>
          <w:rFonts w:ascii="Arial" w:hAnsi="Arial" w:cs="David" w:hint="cs"/>
          <w:rtl/>
        </w:rPr>
        <w:t xml:space="preserve"> על כ-</w:t>
      </w:r>
      <w:r w:rsidR="0034126E" w:rsidRPr="002216F2">
        <w:rPr>
          <w:rFonts w:ascii="Arial" w:hAnsi="Arial" w:cs="David" w:hint="cs"/>
          <w:rtl/>
        </w:rPr>
        <w:t>320</w:t>
      </w:r>
      <w:r w:rsidRPr="002216F2">
        <w:rPr>
          <w:rFonts w:ascii="Arial" w:hAnsi="Arial" w:cs="David" w:hint="cs"/>
          <w:rtl/>
        </w:rPr>
        <w:t xml:space="preserve"> מיליארדים.</w:t>
      </w:r>
    </w:p>
    <w:p w:rsidR="000435BB" w:rsidRPr="002216F2" w:rsidRDefault="00890447" w:rsidP="002216F2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b/>
          <w:bCs/>
          <w:rtl/>
        </w:rPr>
      </w:pPr>
      <w:r w:rsidRPr="002216F2">
        <w:rPr>
          <w:rStyle w:val="20"/>
          <w:rFonts w:hint="cs"/>
          <w:b/>
          <w:bCs/>
          <w:rtl/>
        </w:rPr>
        <w:t>שווי יתרת ההשקעות הישירות במשק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>עלה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 xml:space="preserve">במהלך הרביע </w:t>
      </w:r>
      <w:r w:rsidR="0034126E" w:rsidRPr="002216F2">
        <w:rPr>
          <w:rFonts w:ascii="Arial" w:hAnsi="Arial" w:cs="David" w:hint="cs"/>
          <w:rtl/>
        </w:rPr>
        <w:t>השלישי</w:t>
      </w:r>
      <w:r w:rsidRPr="002216F2">
        <w:rPr>
          <w:rFonts w:ascii="Arial" w:hAnsi="Arial" w:cs="David" w:hint="cs"/>
          <w:rtl/>
        </w:rPr>
        <w:t xml:space="preserve"> </w:t>
      </w:r>
      <w:r w:rsidR="0046284A" w:rsidRPr="002216F2">
        <w:rPr>
          <w:rFonts w:ascii="Arial" w:hAnsi="Arial" w:cs="David" w:hint="cs"/>
          <w:rtl/>
        </w:rPr>
        <w:t>בכ</w:t>
      </w:r>
      <w:r w:rsidR="0034126E" w:rsidRPr="002216F2">
        <w:rPr>
          <w:rFonts w:ascii="Arial" w:hAnsi="Arial" w:cs="David" w:hint="cs"/>
          <w:rtl/>
        </w:rPr>
        <w:t>-3.2</w:t>
      </w:r>
      <w:r w:rsidRPr="002216F2">
        <w:rPr>
          <w:rFonts w:ascii="Arial" w:hAnsi="Arial" w:cs="David" w:hint="cs"/>
          <w:rtl/>
        </w:rPr>
        <w:t xml:space="preserve"> מיליארדי דולרים (</w:t>
      </w:r>
      <w:r w:rsidR="0034126E" w:rsidRPr="002216F2">
        <w:rPr>
          <w:rFonts w:ascii="Arial" w:hAnsi="Arial" w:cs="David" w:hint="cs"/>
          <w:rtl/>
        </w:rPr>
        <w:t>2.3</w:t>
      </w:r>
      <w:r w:rsidRPr="002216F2">
        <w:rPr>
          <w:rFonts w:ascii="Arial" w:hAnsi="Arial" w:cs="David" w:hint="cs"/>
          <w:rtl/>
        </w:rPr>
        <w:t xml:space="preserve">%). העלייה נבעה </w:t>
      </w:r>
      <w:r w:rsidR="0046284A" w:rsidRPr="002216F2">
        <w:rPr>
          <w:rFonts w:ascii="Arial" w:hAnsi="Arial" w:cs="David" w:hint="cs"/>
          <w:rtl/>
        </w:rPr>
        <w:t>מ</w:t>
      </w:r>
      <w:r w:rsidR="0018795A">
        <w:rPr>
          <w:rFonts w:ascii="Arial" w:hAnsi="Arial" w:cs="David" w:hint="cs"/>
          <w:rtl/>
        </w:rPr>
        <w:t xml:space="preserve">זרם </w:t>
      </w:r>
      <w:r w:rsidRPr="002216F2">
        <w:rPr>
          <w:rFonts w:ascii="Arial" w:hAnsi="Arial" w:cs="David" w:hint="cs"/>
          <w:rtl/>
        </w:rPr>
        <w:t xml:space="preserve">השקעות ישירות נטו </w:t>
      </w:r>
      <w:r w:rsidR="0046284A" w:rsidRPr="002216F2">
        <w:rPr>
          <w:rFonts w:ascii="Arial" w:hAnsi="Arial" w:cs="David" w:hint="cs"/>
          <w:rtl/>
        </w:rPr>
        <w:t xml:space="preserve">של תושבי חוץ </w:t>
      </w:r>
      <w:r w:rsidR="006301E0" w:rsidRPr="002216F2">
        <w:rPr>
          <w:rFonts w:ascii="Arial" w:hAnsi="Arial" w:cs="David" w:hint="cs"/>
          <w:rtl/>
        </w:rPr>
        <w:t xml:space="preserve">בהון מניות ישראליות. </w:t>
      </w:r>
    </w:p>
    <w:p w:rsidR="00FA5AFC" w:rsidRPr="002216F2" w:rsidRDefault="00695D66" w:rsidP="002216F2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>שווי יתרת ההשקעות הפיננסיות (מניות ואג"ח)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="00FA5AFC" w:rsidRPr="002216F2">
        <w:rPr>
          <w:rFonts w:ascii="Arial" w:hAnsi="Arial" w:cs="David" w:hint="cs"/>
          <w:rtl/>
        </w:rPr>
        <w:t>עלה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Pr="002216F2">
        <w:rPr>
          <w:rFonts w:ascii="Arial" w:hAnsi="Arial" w:cs="David" w:hint="cs"/>
          <w:rtl/>
        </w:rPr>
        <w:t xml:space="preserve">במהלך הרביע </w:t>
      </w:r>
      <w:r w:rsidR="0034126E" w:rsidRPr="002216F2">
        <w:rPr>
          <w:rFonts w:ascii="Arial" w:hAnsi="Arial" w:cs="David" w:hint="cs"/>
          <w:rtl/>
        </w:rPr>
        <w:t>השלישי</w:t>
      </w:r>
      <w:r w:rsidRPr="002216F2">
        <w:rPr>
          <w:rFonts w:ascii="Arial" w:hAnsi="Arial" w:cs="David" w:hint="cs"/>
          <w:rtl/>
        </w:rPr>
        <w:t xml:space="preserve"> בהיקף של כ-</w:t>
      </w:r>
      <w:r w:rsidR="0034126E" w:rsidRPr="002216F2">
        <w:rPr>
          <w:rFonts w:ascii="Arial" w:hAnsi="Arial" w:cs="David" w:hint="cs"/>
          <w:rtl/>
        </w:rPr>
        <w:t>7.1</w:t>
      </w:r>
      <w:r w:rsidRPr="002216F2">
        <w:rPr>
          <w:rFonts w:ascii="Arial" w:hAnsi="Arial" w:cs="David" w:hint="cs"/>
          <w:rtl/>
        </w:rPr>
        <w:t xml:space="preserve"> מיליארדי דולרים (</w:t>
      </w:r>
      <w:r w:rsidR="00FA5AFC" w:rsidRPr="002216F2">
        <w:rPr>
          <w:rFonts w:ascii="Arial" w:hAnsi="Arial" w:cs="David" w:hint="cs"/>
          <w:rtl/>
        </w:rPr>
        <w:t>5.</w:t>
      </w:r>
      <w:r w:rsidR="0034126E" w:rsidRPr="002216F2">
        <w:rPr>
          <w:rFonts w:ascii="Arial" w:hAnsi="Arial" w:cs="David" w:hint="cs"/>
          <w:rtl/>
        </w:rPr>
        <w:t>8</w:t>
      </w:r>
      <w:r w:rsidR="00AD61B2" w:rsidRPr="002216F2">
        <w:rPr>
          <w:rFonts w:ascii="Arial" w:hAnsi="Arial" w:cs="David" w:hint="cs"/>
          <w:rtl/>
        </w:rPr>
        <w:t>%</w:t>
      </w:r>
      <w:r w:rsidRPr="002216F2">
        <w:rPr>
          <w:rFonts w:ascii="Arial" w:hAnsi="Arial" w:cs="David" w:hint="cs"/>
          <w:rtl/>
        </w:rPr>
        <w:t xml:space="preserve">): </w:t>
      </w:r>
      <w:r w:rsidR="00FA5AFC" w:rsidRPr="002216F2">
        <w:rPr>
          <w:rFonts w:ascii="Arial" w:hAnsi="Arial" w:cs="David" w:hint="cs"/>
          <w:rtl/>
        </w:rPr>
        <w:t xml:space="preserve">בעיקר </w:t>
      </w:r>
      <w:r w:rsidR="008F6EC3" w:rsidRPr="002216F2">
        <w:rPr>
          <w:rFonts w:ascii="Arial" w:hAnsi="Arial" w:cs="David" w:hint="cs"/>
          <w:rtl/>
        </w:rPr>
        <w:t xml:space="preserve">כתוצאה </w:t>
      </w:r>
      <w:r w:rsidR="00FA5AFC" w:rsidRPr="002216F2">
        <w:rPr>
          <w:rFonts w:ascii="Arial" w:hAnsi="Arial" w:cs="David" w:hint="cs"/>
          <w:rtl/>
        </w:rPr>
        <w:t>מעל</w:t>
      </w:r>
      <w:r w:rsidR="00BB5CA9" w:rsidRPr="002216F2">
        <w:rPr>
          <w:rFonts w:ascii="Arial" w:hAnsi="Arial" w:cs="David" w:hint="cs"/>
          <w:rtl/>
        </w:rPr>
        <w:t>י</w:t>
      </w:r>
      <w:r w:rsidR="00FA5AFC" w:rsidRPr="002216F2">
        <w:rPr>
          <w:rFonts w:ascii="Arial" w:hAnsi="Arial" w:cs="David" w:hint="cs"/>
          <w:rtl/>
        </w:rPr>
        <w:t xml:space="preserve">יה במחירי המניות הישראליות הנסחרות בחו"ל בהיקף של כ- </w:t>
      </w:r>
      <w:r w:rsidR="0034126E" w:rsidRPr="002216F2">
        <w:rPr>
          <w:rFonts w:ascii="Arial" w:hAnsi="Arial" w:cs="David" w:hint="cs"/>
          <w:rtl/>
        </w:rPr>
        <w:t>3.2</w:t>
      </w:r>
      <w:r w:rsidR="00FA5AFC" w:rsidRPr="002216F2">
        <w:rPr>
          <w:rFonts w:ascii="Arial" w:hAnsi="Arial" w:cs="David" w:hint="cs"/>
          <w:rtl/>
        </w:rPr>
        <w:t xml:space="preserve"> מיליארדי דולרים. </w:t>
      </w:r>
    </w:p>
    <w:p w:rsidR="00695D66" w:rsidRPr="00D846D0" w:rsidRDefault="0018795A" w:rsidP="002216F2">
      <w:pPr>
        <w:spacing w:line="360" w:lineRule="auto"/>
        <w:ind w:left="720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זרם </w:t>
      </w:r>
      <w:r w:rsidR="00BB5CA9">
        <w:rPr>
          <w:rFonts w:ascii="Arial" w:hAnsi="Arial" w:cs="David" w:hint="cs"/>
          <w:rtl/>
        </w:rPr>
        <w:t>ה</w:t>
      </w:r>
      <w:r w:rsidR="00FA5AFC">
        <w:rPr>
          <w:rFonts w:ascii="Arial" w:hAnsi="Arial" w:cs="David" w:hint="cs"/>
          <w:rtl/>
        </w:rPr>
        <w:t xml:space="preserve">השקעות נטו של תושבי חוץ באג"ח </w:t>
      </w:r>
      <w:r w:rsidR="0034126E">
        <w:rPr>
          <w:rFonts w:ascii="Arial" w:hAnsi="Arial" w:cs="David" w:hint="cs"/>
          <w:rtl/>
        </w:rPr>
        <w:t>ובמניות ישראליות הסתכמו בכ-2.2 וכ-1.6</w:t>
      </w:r>
      <w:r w:rsidR="00FA5AFC">
        <w:rPr>
          <w:rFonts w:ascii="Arial" w:hAnsi="Arial" w:cs="David" w:hint="cs"/>
          <w:rtl/>
        </w:rPr>
        <w:t xml:space="preserve"> מיליארדי דולרים</w:t>
      </w:r>
      <w:r w:rsidR="00BB5CA9">
        <w:rPr>
          <w:rFonts w:ascii="Arial" w:hAnsi="Arial" w:cs="David" w:hint="cs"/>
          <w:rtl/>
        </w:rPr>
        <w:t xml:space="preserve"> </w:t>
      </w:r>
      <w:r w:rsidR="0034126E">
        <w:rPr>
          <w:rFonts w:ascii="Arial" w:hAnsi="Arial" w:cs="David" w:hint="cs"/>
          <w:rtl/>
        </w:rPr>
        <w:t xml:space="preserve">בהתאמה. עיקר ההשקעות באג"ח </w:t>
      </w:r>
      <w:r w:rsidR="00BB5CA9">
        <w:rPr>
          <w:rFonts w:ascii="Arial" w:hAnsi="Arial" w:cs="David" w:hint="cs"/>
          <w:rtl/>
        </w:rPr>
        <w:t xml:space="preserve">התרכזו </w:t>
      </w:r>
      <w:r w:rsidR="0034126E">
        <w:rPr>
          <w:rFonts w:ascii="Arial" w:hAnsi="Arial" w:cs="David" w:hint="cs"/>
          <w:rtl/>
        </w:rPr>
        <w:t>באג"ח ממשלתיות שקליות לטווח הקצר</w:t>
      </w:r>
      <w:r w:rsidR="00BB5CA9">
        <w:rPr>
          <w:rFonts w:ascii="Arial" w:hAnsi="Arial" w:cs="David" w:hint="cs"/>
          <w:rtl/>
        </w:rPr>
        <w:t xml:space="preserve">. </w:t>
      </w:r>
    </w:p>
    <w:p w:rsidR="00695D66" w:rsidRPr="002216F2" w:rsidRDefault="00695D66" w:rsidP="0018795A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2216F2">
        <w:rPr>
          <w:rStyle w:val="20"/>
          <w:rFonts w:hint="cs"/>
          <w:b/>
          <w:bCs/>
          <w:rtl/>
        </w:rPr>
        <w:t>שווי ההשקעות האחרות במשק</w:t>
      </w:r>
      <w:r w:rsidRPr="002216F2">
        <w:rPr>
          <w:rFonts w:ascii="Arial" w:hAnsi="Arial" w:cs="David" w:hint="cs"/>
          <w:b/>
          <w:bCs/>
          <w:rtl/>
        </w:rPr>
        <w:t xml:space="preserve"> </w:t>
      </w:r>
      <w:r w:rsidR="00DD2561" w:rsidRPr="002216F2">
        <w:rPr>
          <w:rFonts w:ascii="Arial" w:hAnsi="Arial" w:cs="David" w:hint="cs"/>
          <w:rtl/>
        </w:rPr>
        <w:t>ירד</w:t>
      </w:r>
      <w:r w:rsidRPr="002216F2">
        <w:rPr>
          <w:rFonts w:ascii="Arial" w:hAnsi="Arial" w:cs="David" w:hint="cs"/>
          <w:rtl/>
        </w:rPr>
        <w:t xml:space="preserve"> במהלך הרביע </w:t>
      </w:r>
      <w:r w:rsidR="00DD2561" w:rsidRPr="002216F2">
        <w:rPr>
          <w:rFonts w:ascii="Arial" w:hAnsi="Arial" w:cs="David" w:hint="cs"/>
          <w:rtl/>
        </w:rPr>
        <w:t>השלישי</w:t>
      </w:r>
      <w:r w:rsidRPr="002216F2">
        <w:rPr>
          <w:rFonts w:ascii="Arial" w:hAnsi="Arial" w:cs="David" w:hint="cs"/>
          <w:rtl/>
        </w:rPr>
        <w:t xml:space="preserve"> בכ-</w:t>
      </w:r>
      <w:r w:rsidR="00DD2561" w:rsidRPr="002216F2">
        <w:rPr>
          <w:rFonts w:ascii="Arial" w:hAnsi="Arial" w:cs="David" w:hint="cs"/>
          <w:rtl/>
        </w:rPr>
        <w:t>2</w:t>
      </w:r>
      <w:r w:rsidR="000A0832" w:rsidRPr="002216F2">
        <w:rPr>
          <w:rFonts w:ascii="Arial" w:hAnsi="Arial" w:cs="David" w:hint="cs"/>
          <w:rtl/>
        </w:rPr>
        <w:t xml:space="preserve"> </w:t>
      </w:r>
      <w:r w:rsidRPr="002216F2">
        <w:rPr>
          <w:rFonts w:ascii="Arial" w:hAnsi="Arial" w:cs="David" w:hint="cs"/>
          <w:rtl/>
        </w:rPr>
        <w:t>מיליארדי דולרים (</w:t>
      </w:r>
      <w:r w:rsidR="00DD2561" w:rsidRPr="002216F2">
        <w:rPr>
          <w:rFonts w:ascii="Arial" w:hAnsi="Arial" w:cs="David" w:hint="cs"/>
          <w:rtl/>
        </w:rPr>
        <w:t>3.8%-</w:t>
      </w:r>
      <w:r w:rsidRPr="002216F2">
        <w:rPr>
          <w:rFonts w:ascii="Arial" w:hAnsi="Arial" w:cs="David" w:hint="cs"/>
          <w:rtl/>
        </w:rPr>
        <w:t xml:space="preserve">): בעיקר </w:t>
      </w:r>
      <w:r w:rsidR="008A3008" w:rsidRPr="002216F2">
        <w:rPr>
          <w:rFonts w:ascii="Arial" w:hAnsi="Arial" w:cs="David" w:hint="cs"/>
          <w:rtl/>
        </w:rPr>
        <w:t xml:space="preserve">כתוצאה </w:t>
      </w:r>
      <w:r w:rsidR="00DD2561" w:rsidRPr="002216F2">
        <w:rPr>
          <w:rFonts w:ascii="Arial" w:hAnsi="Arial" w:cs="David" w:hint="cs"/>
          <w:rtl/>
        </w:rPr>
        <w:t>מ</w:t>
      </w:r>
      <w:r w:rsidR="0018795A">
        <w:rPr>
          <w:rFonts w:ascii="Arial" w:hAnsi="Arial" w:cs="David" w:hint="cs"/>
          <w:rtl/>
        </w:rPr>
        <w:t>פירעונות</w:t>
      </w:r>
      <w:r w:rsidR="00DD2561" w:rsidRPr="002216F2">
        <w:rPr>
          <w:rFonts w:ascii="Arial" w:hAnsi="Arial" w:cs="David" w:hint="cs"/>
          <w:rtl/>
        </w:rPr>
        <w:t xml:space="preserve"> באשראי הספקים</w:t>
      </w:r>
      <w:r w:rsidR="000A0832" w:rsidRPr="002216F2">
        <w:rPr>
          <w:rFonts w:ascii="Arial" w:hAnsi="Arial" w:cs="David" w:hint="cs"/>
          <w:rtl/>
        </w:rPr>
        <w:t xml:space="preserve"> בהיקף של כ- </w:t>
      </w:r>
      <w:r w:rsidR="00DD2561" w:rsidRPr="002216F2">
        <w:rPr>
          <w:rFonts w:ascii="Arial" w:hAnsi="Arial" w:cs="David" w:hint="cs"/>
          <w:rtl/>
        </w:rPr>
        <w:t>1</w:t>
      </w:r>
      <w:r w:rsidR="000A0832" w:rsidRPr="002216F2">
        <w:rPr>
          <w:rFonts w:ascii="Arial" w:hAnsi="Arial" w:cs="David" w:hint="cs"/>
          <w:rtl/>
        </w:rPr>
        <w:t>.8 מיליארדים</w:t>
      </w:r>
      <w:r w:rsidR="00DD2561" w:rsidRPr="002216F2">
        <w:rPr>
          <w:rFonts w:ascii="Arial" w:hAnsi="Arial" w:cs="David" w:hint="cs"/>
          <w:rtl/>
        </w:rPr>
        <w:t>.</w:t>
      </w:r>
    </w:p>
    <w:p w:rsidR="002216F2" w:rsidRDefault="002216F2" w:rsidP="002216F2">
      <w:pPr>
        <w:spacing w:before="240"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 xml:space="preserve">שווי התיק של תושבי חוץ </w:t>
      </w:r>
      <w:r w:rsidRPr="00FE10AB">
        <w:rPr>
          <w:rStyle w:val="20"/>
          <w:rFonts w:hint="cs"/>
          <w:b/>
          <w:bCs/>
          <w:rtl/>
        </w:rPr>
        <w:t>בבורסה לני"ע בתל-אביב</w:t>
      </w:r>
      <w:r>
        <w:rPr>
          <w:rFonts w:ascii="Arial" w:hAnsi="Arial" w:cs="David" w:hint="cs"/>
          <w:b/>
          <w:bCs/>
          <w:rtl/>
        </w:rPr>
        <w:t>,</w:t>
      </w:r>
      <w:r w:rsidRPr="00FE10AB">
        <w:rPr>
          <w:rFonts w:ascii="Arial" w:hAnsi="Arial" w:cs="David" w:hint="cs"/>
          <w:b/>
          <w:bCs/>
          <w:rtl/>
        </w:rPr>
        <w:t xml:space="preserve"> </w:t>
      </w:r>
      <w:r w:rsidRPr="008807BA">
        <w:rPr>
          <w:rFonts w:ascii="Arial" w:hAnsi="Arial" w:cs="David" w:hint="cs"/>
          <w:rtl/>
        </w:rPr>
        <w:t>המהווה חלק מיתרת ההשקעות של תושבי חוץ</w:t>
      </w:r>
      <w:r>
        <w:rPr>
          <w:rFonts w:ascii="Arial" w:hAnsi="Arial" w:cs="David" w:hint="cs"/>
          <w:b/>
          <w:bCs/>
          <w:rtl/>
        </w:rPr>
        <w:t xml:space="preserve"> </w:t>
      </w:r>
      <w:r w:rsidRPr="008807BA">
        <w:rPr>
          <w:rFonts w:ascii="Arial" w:hAnsi="Arial" w:cs="David" w:hint="cs"/>
          <w:rtl/>
        </w:rPr>
        <w:t>במשק</w:t>
      </w:r>
      <w:r>
        <w:rPr>
          <w:rFonts w:ascii="Arial" w:hAnsi="Arial" w:cs="David" w:hint="cs"/>
          <w:rtl/>
        </w:rPr>
        <w:t>,</w:t>
      </w:r>
      <w:r w:rsidRPr="008807BA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עלה ברביע השלישי בכ-5.7 מיליארדי דולרים ועמד בסוף ספטמבר על 51.3 מיליארדים. עיקר העלייה בשווי התיק הפיננסי ברביע השלישי</w:t>
      </w:r>
      <w:r w:rsidRPr="00BB5CA9">
        <w:rPr>
          <w:rFonts w:ascii="Arial" w:hAnsi="Arial" w:cs="David" w:hint="cs"/>
          <w:rtl/>
        </w:rPr>
        <w:t xml:space="preserve"> כתוצאה </w:t>
      </w:r>
      <w:r>
        <w:rPr>
          <w:rFonts w:ascii="Arial" w:hAnsi="Arial" w:cs="David" w:hint="cs"/>
          <w:rtl/>
        </w:rPr>
        <w:t>מ</w:t>
      </w:r>
      <w:r w:rsidR="00FF27A6">
        <w:rPr>
          <w:rFonts w:ascii="Arial" w:hAnsi="Arial" w:cs="David" w:hint="cs"/>
          <w:rtl/>
        </w:rPr>
        <w:t xml:space="preserve">זרם </w:t>
      </w:r>
      <w:r>
        <w:rPr>
          <w:rFonts w:ascii="Arial" w:hAnsi="Arial" w:cs="David" w:hint="cs"/>
          <w:rtl/>
        </w:rPr>
        <w:t>השקעות נטו באג"ח ממשלתיות שקליות והון מניות</w:t>
      </w:r>
      <w:r w:rsidRPr="00BB5CA9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ו</w:t>
      </w:r>
      <w:r w:rsidRPr="00BB5CA9">
        <w:rPr>
          <w:rFonts w:ascii="Arial" w:hAnsi="Arial" w:cs="David" w:hint="cs"/>
          <w:rtl/>
        </w:rPr>
        <w:t>מ</w:t>
      </w:r>
      <w:r>
        <w:rPr>
          <w:rFonts w:ascii="Arial" w:hAnsi="Arial" w:cs="David" w:hint="cs"/>
          <w:rtl/>
        </w:rPr>
        <w:t>עלייה במחירי המניות הישראליות הנסחרות בארץ</w:t>
      </w:r>
      <w:r w:rsidRPr="00BB5CA9">
        <w:rPr>
          <w:rFonts w:ascii="Arial" w:hAnsi="Arial" w:cs="David" w:hint="cs"/>
          <w:rtl/>
        </w:rPr>
        <w:t xml:space="preserve">. </w:t>
      </w:r>
      <w:r w:rsidRPr="003F3174">
        <w:rPr>
          <w:rFonts w:ascii="Arial" w:hAnsi="Arial" w:cs="David" w:hint="cs"/>
          <w:rtl/>
        </w:rPr>
        <w:t xml:space="preserve">(תרשים </w:t>
      </w:r>
      <w:r>
        <w:rPr>
          <w:rFonts w:ascii="Arial" w:hAnsi="Arial" w:cs="David" w:hint="cs"/>
          <w:rtl/>
        </w:rPr>
        <w:t>2 ותרשים 3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</w:t>
      </w:r>
    </w:p>
    <w:tbl>
      <w:tblPr>
        <w:tblStyle w:val="af1"/>
        <w:bidiVisual/>
        <w:tblW w:w="11357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5651"/>
      </w:tblGrid>
      <w:tr w:rsidR="002216F2" w:rsidTr="00B47776">
        <w:trPr>
          <w:trHeight w:val="3543"/>
        </w:trPr>
        <w:tc>
          <w:tcPr>
            <w:tcW w:w="5676" w:type="dxa"/>
          </w:tcPr>
          <w:p w:rsidR="002216F2" w:rsidRPr="00933151" w:rsidRDefault="00030EB4" w:rsidP="00B47776">
            <w:pPr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6B668E61">
                  <wp:extent cx="3483084" cy="2127738"/>
                  <wp:effectExtent l="0" t="0" r="3175" b="6350"/>
                  <wp:docPr id="5" name="תמונה 5" descr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." title="תרשים 2: שווי תיק ניירות הערך של תושבי חוץ בבורסה בתל אבי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3483" cy="2127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</w:tcPr>
          <w:p w:rsidR="002216F2" w:rsidRDefault="002216F2" w:rsidP="00B47776">
            <w:pPr>
              <w:pStyle w:val="2"/>
              <w:tabs>
                <w:tab w:val="left" w:pos="6348"/>
              </w:tabs>
              <w:ind w:right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311EA6B4" wp14:editId="7FEE020E">
                  <wp:extent cx="3366654" cy="2126673"/>
                  <wp:effectExtent l="0" t="0" r="5715" b="6985"/>
                  <wp:docPr id="6" name="Picture 6" descr="התרשים מתאר את השקעות תושבי חוץ בבורסה בתל אביב לאורך זמן, בחלוקה למכשירים. ניתן למצוא את התרשים בקובץ האקסל המצורף להודעה זו בגיליון &quot;תרשים3&quot;." title="תרשים 3: השקעות תושבי חוץ בבורסה בתל אביב, לפי מכשי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615" cy="212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6F2" w:rsidRDefault="002216F2" w:rsidP="00DD2561">
      <w:pPr>
        <w:spacing w:line="360" w:lineRule="auto"/>
        <w:jc w:val="both"/>
        <w:rPr>
          <w:rFonts w:ascii="Arial" w:hAnsi="Arial" w:cs="David"/>
          <w:rtl/>
        </w:rPr>
      </w:pPr>
    </w:p>
    <w:p w:rsidR="00695D66" w:rsidRPr="003F3174" w:rsidRDefault="00695D66" w:rsidP="00DD2561">
      <w:pPr>
        <w:spacing w:line="360" w:lineRule="auto"/>
        <w:jc w:val="both"/>
        <w:rPr>
          <w:rFonts w:ascii="Arial" w:hAnsi="Arial" w:cs="David"/>
          <w:rtl/>
        </w:rPr>
      </w:pPr>
      <w:r w:rsidRPr="00695D66">
        <w:rPr>
          <w:rFonts w:ascii="Arial" w:hAnsi="Arial" w:cs="David" w:hint="cs"/>
          <w:b/>
          <w:bCs/>
          <w:rtl/>
        </w:rPr>
        <w:t>יתרת ההתחייבויות במכשירי חוב בלבד</w:t>
      </w:r>
      <w:r>
        <w:rPr>
          <w:rFonts w:ascii="Arial" w:hAnsi="Arial" w:cs="David" w:hint="cs"/>
          <w:rtl/>
        </w:rPr>
        <w:t xml:space="preserve"> המהווה את </w:t>
      </w:r>
      <w:r w:rsidRPr="00645BE1">
        <w:rPr>
          <w:rFonts w:ascii="Arial" w:hAnsi="Arial" w:cs="David" w:hint="cs"/>
          <w:b/>
          <w:bCs/>
          <w:rtl/>
        </w:rPr>
        <w:t>החוב החיצוני ברוטו</w:t>
      </w:r>
      <w:r>
        <w:rPr>
          <w:rFonts w:ascii="Arial" w:hAnsi="Arial" w:cs="David" w:hint="cs"/>
          <w:b/>
          <w:bCs/>
          <w:rtl/>
        </w:rPr>
        <w:t xml:space="preserve"> של המשק</w:t>
      </w:r>
      <w:r w:rsidRPr="003F3174"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עלתה</w:t>
      </w:r>
      <w:r>
        <w:rPr>
          <w:rFonts w:ascii="Arial" w:hAnsi="Arial" w:cs="David" w:hint="cs"/>
          <w:rtl/>
        </w:rPr>
        <w:t xml:space="preserve"> </w:t>
      </w:r>
      <w:r w:rsidRPr="00645BE1">
        <w:rPr>
          <w:rFonts w:ascii="Arial" w:hAnsi="Arial" w:cs="David" w:hint="cs"/>
          <w:rtl/>
        </w:rPr>
        <w:t xml:space="preserve">במהלך הרביע </w:t>
      </w:r>
      <w:r w:rsidR="00DD2561">
        <w:rPr>
          <w:rFonts w:ascii="Arial" w:hAnsi="Arial" w:cs="David" w:hint="cs"/>
          <w:rtl/>
        </w:rPr>
        <w:t>השלישי</w:t>
      </w:r>
      <w:r>
        <w:rPr>
          <w:rFonts w:ascii="Arial" w:hAnsi="Arial" w:cs="David" w:hint="cs"/>
          <w:b/>
          <w:bCs/>
          <w:rtl/>
        </w:rPr>
        <w:t xml:space="preserve"> </w:t>
      </w:r>
      <w:r w:rsidRPr="0094002E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>כ-</w:t>
      </w:r>
      <w:r w:rsidR="00DD2561">
        <w:rPr>
          <w:rFonts w:ascii="Arial" w:hAnsi="Arial" w:cs="David" w:hint="cs"/>
          <w:rtl/>
        </w:rPr>
        <w:t>0</w:t>
      </w:r>
      <w:r w:rsidR="008F51E7">
        <w:rPr>
          <w:rFonts w:ascii="Arial" w:hAnsi="Arial" w:cs="David" w:hint="cs"/>
          <w:rtl/>
        </w:rPr>
        <w:t>.6</w:t>
      </w:r>
      <w:r w:rsidRPr="009400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מיליארדי </w:t>
      </w:r>
      <w:r w:rsidRPr="0094002E">
        <w:rPr>
          <w:rFonts w:ascii="Arial" w:hAnsi="Arial" w:cs="David" w:hint="cs"/>
          <w:rtl/>
        </w:rPr>
        <w:t>דולרים</w:t>
      </w:r>
      <w:r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DD2561">
        <w:rPr>
          <w:rFonts w:ascii="Arial" w:hAnsi="Arial" w:cs="David" w:hint="cs"/>
          <w:rtl/>
        </w:rPr>
        <w:t>0</w:t>
      </w:r>
      <w:r w:rsidR="00AA4817">
        <w:rPr>
          <w:rFonts w:ascii="Arial" w:hAnsi="Arial" w:cs="David" w:hint="cs"/>
          <w:rtl/>
        </w:rPr>
        <w:t>.</w:t>
      </w:r>
      <w:r w:rsidR="00A90AC3">
        <w:rPr>
          <w:rFonts w:ascii="Arial" w:hAnsi="Arial" w:cs="David" w:hint="cs"/>
          <w:rtl/>
        </w:rPr>
        <w:t>7</w:t>
      </w:r>
      <w:r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והגיעה לרמה של כ-</w:t>
      </w:r>
      <w:r w:rsidR="00AA4817">
        <w:rPr>
          <w:rFonts w:ascii="Arial" w:hAnsi="Arial" w:cs="David" w:hint="cs"/>
          <w:rtl/>
        </w:rPr>
        <w:t>93</w:t>
      </w:r>
      <w:r>
        <w:rPr>
          <w:rFonts w:ascii="Arial" w:hAnsi="Arial" w:cs="David" w:hint="cs"/>
          <w:rtl/>
        </w:rPr>
        <w:t xml:space="preserve"> מיליארדים, בעיקר </w:t>
      </w:r>
      <w:r w:rsidR="00BE4078">
        <w:rPr>
          <w:rFonts w:ascii="Arial" w:hAnsi="Arial" w:cs="David" w:hint="cs"/>
          <w:rtl/>
        </w:rPr>
        <w:t xml:space="preserve">כתוצאה </w:t>
      </w:r>
      <w:r w:rsidR="00A90AC3">
        <w:rPr>
          <w:rFonts w:ascii="Arial" w:hAnsi="Arial" w:cs="David" w:hint="cs"/>
          <w:rtl/>
        </w:rPr>
        <w:t xml:space="preserve">מהשקעות נטו של תושבי חוץ </w:t>
      </w:r>
      <w:r w:rsidR="00DD2561">
        <w:rPr>
          <w:rFonts w:ascii="Arial" w:hAnsi="Arial" w:cs="David" w:hint="cs"/>
          <w:rtl/>
        </w:rPr>
        <w:t>באג"ח ישראליות שקוזזו בחלקן על ידי הירידה באשראי ספקים</w:t>
      </w:r>
      <w:r w:rsidR="00AA4817">
        <w:rPr>
          <w:rFonts w:ascii="Arial" w:hAnsi="Arial" w:cs="David" w:hint="cs"/>
          <w:rtl/>
        </w:rPr>
        <w:t>.</w:t>
      </w:r>
    </w:p>
    <w:p w:rsidR="00695D66" w:rsidRDefault="00695D66" w:rsidP="00DD2561">
      <w:pPr>
        <w:spacing w:line="360" w:lineRule="auto"/>
        <w:jc w:val="both"/>
        <w:rPr>
          <w:rtl/>
        </w:rPr>
      </w:pPr>
      <w:r w:rsidRPr="00172330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BE4078">
        <w:rPr>
          <w:rFonts w:ascii="Arial" w:hAnsi="Arial" w:cs="David" w:hint="cs"/>
          <w:b/>
          <w:bCs/>
          <w:rtl/>
        </w:rPr>
        <w:t xml:space="preserve">ברוטו </w:t>
      </w:r>
      <w:r w:rsidRPr="00172330">
        <w:rPr>
          <w:rFonts w:ascii="Arial" w:hAnsi="Arial" w:cs="David" w:hint="cs"/>
          <w:b/>
          <w:bCs/>
          <w:rtl/>
        </w:rPr>
        <w:t>לתמ"ג</w:t>
      </w:r>
      <w:r w:rsidRPr="00C30766">
        <w:rPr>
          <w:rFonts w:ascii="Arial" w:hAnsi="Arial" w:cs="David" w:hint="cs"/>
          <w:rtl/>
        </w:rPr>
        <w:t xml:space="preserve"> </w:t>
      </w:r>
      <w:r w:rsidR="00DD2561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rtl/>
        </w:rPr>
        <w:t xml:space="preserve"> במהלך</w:t>
      </w:r>
      <w:r w:rsidRPr="00C30766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הרביע </w:t>
      </w:r>
      <w:r w:rsidR="00DD2561">
        <w:rPr>
          <w:rFonts w:ascii="Arial" w:hAnsi="Arial" w:cs="David" w:hint="cs"/>
          <w:rtl/>
        </w:rPr>
        <w:t>השלישי</w:t>
      </w:r>
      <w:r w:rsidRPr="00C30766">
        <w:rPr>
          <w:rFonts w:ascii="Arial" w:hAnsi="Arial" w:cs="David" w:hint="cs"/>
          <w:rtl/>
        </w:rPr>
        <w:t xml:space="preserve"> </w:t>
      </w:r>
      <w:r w:rsidR="00F26A11">
        <w:rPr>
          <w:rFonts w:ascii="Arial" w:hAnsi="Arial" w:cs="David" w:hint="cs"/>
          <w:rtl/>
        </w:rPr>
        <w:t>ב-</w:t>
      </w:r>
      <w:r w:rsidR="00DD2561">
        <w:rPr>
          <w:rFonts w:ascii="Arial" w:hAnsi="Arial" w:cs="David" w:hint="cs"/>
          <w:rtl/>
        </w:rPr>
        <w:t>0.3</w:t>
      </w:r>
      <w:r w:rsidR="00F26A11">
        <w:rPr>
          <w:rFonts w:ascii="Arial" w:hAnsi="Arial" w:cs="David" w:hint="cs"/>
          <w:rtl/>
        </w:rPr>
        <w:t xml:space="preserve"> נקודות האחוז </w:t>
      </w:r>
      <w:r>
        <w:rPr>
          <w:rFonts w:ascii="Arial" w:hAnsi="Arial" w:cs="David" w:hint="cs"/>
          <w:rtl/>
        </w:rPr>
        <w:t xml:space="preserve">ועמד בסוף </w:t>
      </w:r>
      <w:r w:rsidR="00DD2561">
        <w:rPr>
          <w:rFonts w:ascii="Arial" w:hAnsi="Arial" w:cs="David" w:hint="cs"/>
          <w:rtl/>
        </w:rPr>
        <w:t>ספטמבר</w:t>
      </w:r>
      <w:r w:rsidR="00AE5180">
        <w:rPr>
          <w:rFonts w:ascii="Arial" w:hAnsi="Arial" w:cs="David" w:hint="cs"/>
          <w:rtl/>
        </w:rPr>
        <w:t xml:space="preserve"> על </w:t>
      </w:r>
      <w:r w:rsidR="00DD2561">
        <w:rPr>
          <w:rFonts w:ascii="Arial" w:hAnsi="Arial" w:cs="David" w:hint="cs"/>
          <w:rtl/>
        </w:rPr>
        <w:t>25</w:t>
      </w:r>
      <w:r w:rsidR="00E5015B">
        <w:rPr>
          <w:rFonts w:ascii="Arial" w:hAnsi="Arial" w:cs="David" w:hint="cs"/>
          <w:rtl/>
        </w:rPr>
        <w:t>.</w:t>
      </w:r>
      <w:r w:rsidR="00DD2561">
        <w:rPr>
          <w:rFonts w:ascii="Arial" w:hAnsi="Arial" w:cs="David" w:hint="cs"/>
          <w:rtl/>
        </w:rPr>
        <w:t>8</w:t>
      </w:r>
      <w:r w:rsidRPr="00C30766">
        <w:rPr>
          <w:rFonts w:ascii="Arial" w:hAnsi="Arial" w:cs="David" w:hint="cs"/>
          <w:rtl/>
        </w:rPr>
        <w:t>%</w:t>
      </w:r>
      <w:r w:rsidR="00F92B7D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  <w:r w:rsidR="00DD2561">
        <w:rPr>
          <w:rFonts w:ascii="Arial" w:hAnsi="Arial" w:cs="David" w:hint="cs"/>
          <w:rtl/>
        </w:rPr>
        <w:t>הירידה</w:t>
      </w:r>
      <w:r w:rsidRPr="0070503C">
        <w:rPr>
          <w:rFonts w:ascii="Arial" w:hAnsi="Arial" w:cs="David" w:hint="cs"/>
          <w:rtl/>
        </w:rPr>
        <w:t xml:space="preserve"> ביחס החוב לתוצר </w:t>
      </w:r>
      <w:r w:rsidR="0076362E">
        <w:rPr>
          <w:rFonts w:ascii="Arial" w:hAnsi="Arial" w:cs="David" w:hint="cs"/>
          <w:rtl/>
        </w:rPr>
        <w:t>שיקפה</w:t>
      </w:r>
      <w:r w:rsidR="0076362E" w:rsidRPr="0070503C"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עלייה</w:t>
      </w:r>
      <w:r w:rsidR="007636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="00C75881">
        <w:rPr>
          <w:rFonts w:ascii="Arial" w:hAnsi="Arial" w:cs="David" w:hint="cs"/>
          <w:rtl/>
        </w:rPr>
        <w:t xml:space="preserve">יתרת החוב החיצוני ברוטו </w:t>
      </w:r>
      <w:r w:rsidR="00AE5180">
        <w:rPr>
          <w:rFonts w:ascii="Arial" w:hAnsi="Arial" w:cs="David" w:hint="cs"/>
          <w:rtl/>
        </w:rPr>
        <w:t>ב</w:t>
      </w:r>
      <w:r w:rsidR="008F51E7">
        <w:rPr>
          <w:rFonts w:ascii="Arial" w:hAnsi="Arial" w:cs="David" w:hint="cs"/>
          <w:rtl/>
        </w:rPr>
        <w:t xml:space="preserve">שיעור </w:t>
      </w:r>
      <w:r w:rsidR="00DD2561">
        <w:rPr>
          <w:rFonts w:ascii="Arial" w:hAnsi="Arial" w:cs="David" w:hint="cs"/>
          <w:rtl/>
        </w:rPr>
        <w:t>נמוך</w:t>
      </w:r>
      <w:r w:rsidR="008F51E7">
        <w:rPr>
          <w:rFonts w:ascii="Arial" w:hAnsi="Arial" w:cs="David" w:hint="cs"/>
          <w:rtl/>
        </w:rPr>
        <w:t xml:space="preserve"> מה</w:t>
      </w:r>
      <w:r w:rsidR="00C75881">
        <w:rPr>
          <w:rFonts w:ascii="Arial" w:hAnsi="Arial" w:cs="David" w:hint="cs"/>
          <w:rtl/>
        </w:rPr>
        <w:t>עלייה בתוצר</w:t>
      </w:r>
      <w:r>
        <w:rPr>
          <w:rFonts w:ascii="Arial" w:hAnsi="Arial" w:cs="David" w:hint="cs"/>
          <w:rtl/>
        </w:rPr>
        <w:t>.</w:t>
      </w:r>
      <w:r w:rsidRPr="00AD79F3">
        <w:rPr>
          <w:rFonts w:ascii="Arial" w:hAnsi="Arial" w:cs="David" w:hint="cs"/>
          <w:rtl/>
        </w:rPr>
        <w:t xml:space="preserve"> </w:t>
      </w:r>
      <w:r w:rsidRPr="00C30766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4</w:t>
      </w:r>
      <w:r w:rsidRPr="00C30766">
        <w:rPr>
          <w:rFonts w:ascii="Arial" w:hAnsi="Arial" w:cs="David" w:hint="cs"/>
          <w:rtl/>
        </w:rPr>
        <w:t xml:space="preserve">). </w:t>
      </w:r>
      <w:r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tl/>
        </w:rPr>
      </w:pPr>
    </w:p>
    <w:p w:rsidR="00695D66" w:rsidRDefault="00A866EA" w:rsidP="0034171E">
      <w:pPr>
        <w:spacing w:after="240"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6EF0ABF7">
            <wp:extent cx="4273200" cy="2607456"/>
            <wp:effectExtent l="0" t="0" r="0" b="2540"/>
            <wp:docPr id="8" name="Picture 8" descr=" 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00" cy="2607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5DA" w:rsidRPr="008708DF" w:rsidRDefault="006F7093" w:rsidP="000F55DA">
      <w:pPr>
        <w:pStyle w:val="1"/>
        <w:rPr>
          <w:u w:val="none"/>
        </w:rPr>
      </w:pPr>
      <w:r w:rsidRPr="008708DF">
        <w:rPr>
          <w:rFonts w:hint="cs"/>
          <w:u w:val="none"/>
          <w:rtl/>
        </w:rPr>
        <w:t>עודף הנכסים על ההתחייבויות</w:t>
      </w:r>
      <w:r w:rsidR="00CC3A41" w:rsidRPr="008708DF">
        <w:rPr>
          <w:rFonts w:hint="cs"/>
          <w:u w:val="none"/>
          <w:rtl/>
        </w:rPr>
        <w:t xml:space="preserve"> של המשק מול חו"ל</w:t>
      </w:r>
      <w:r w:rsidR="00CE3CF7" w:rsidRPr="008708DF">
        <w:rPr>
          <w:rFonts w:hint="cs"/>
          <w:u w:val="none"/>
          <w:rtl/>
        </w:rPr>
        <w:t xml:space="preserve"> </w:t>
      </w:r>
    </w:p>
    <w:p w:rsidR="00A16F73" w:rsidRDefault="000F55DA" w:rsidP="00AD1765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AA4817">
        <w:rPr>
          <w:rFonts w:ascii="Arial" w:hAnsi="Arial" w:cs="David" w:hint="cs"/>
          <w:rtl/>
        </w:rPr>
        <w:t>ירד</w:t>
      </w:r>
      <w:r w:rsidR="00CC3A41" w:rsidRPr="003F3174">
        <w:rPr>
          <w:rFonts w:ascii="Arial" w:hAnsi="Arial" w:cs="David" w:hint="cs"/>
          <w:rtl/>
        </w:rPr>
        <w:t xml:space="preserve"> </w:t>
      </w:r>
      <w:r w:rsidR="005C4E3E">
        <w:rPr>
          <w:rFonts w:ascii="Arial" w:hAnsi="Arial" w:cs="David" w:hint="cs"/>
          <w:rtl/>
        </w:rPr>
        <w:t>במהלך</w:t>
      </w:r>
      <w:r w:rsidR="00B46419" w:rsidRPr="003F3174">
        <w:rPr>
          <w:rFonts w:ascii="Arial" w:hAnsi="Arial" w:cs="David" w:hint="cs"/>
          <w:rtl/>
        </w:rPr>
        <w:t xml:space="preserve"> </w:t>
      </w:r>
      <w:r w:rsidR="00E875CD">
        <w:rPr>
          <w:rFonts w:ascii="Arial" w:hAnsi="Arial" w:cs="David" w:hint="cs"/>
          <w:rtl/>
        </w:rPr>
        <w:t>הרב</w:t>
      </w:r>
      <w:r w:rsidR="005413A0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ע </w:t>
      </w:r>
      <w:r w:rsidR="00DD2561">
        <w:rPr>
          <w:rFonts w:ascii="Arial" w:hAnsi="Arial" w:cs="David" w:hint="cs"/>
          <w:rtl/>
        </w:rPr>
        <w:t>השלישי</w:t>
      </w:r>
      <w:r w:rsidR="00E875CD">
        <w:rPr>
          <w:rFonts w:ascii="Arial" w:hAnsi="Arial" w:cs="David" w:hint="cs"/>
          <w:rtl/>
        </w:rPr>
        <w:t xml:space="preserve"> </w:t>
      </w:r>
      <w:r w:rsidR="005C4E3E" w:rsidRPr="003F3174">
        <w:rPr>
          <w:rFonts w:ascii="Arial" w:hAnsi="Arial" w:cs="David" w:hint="cs"/>
          <w:rtl/>
        </w:rPr>
        <w:t>ב</w:t>
      </w:r>
      <w:r w:rsidR="005C4E3E">
        <w:rPr>
          <w:rFonts w:ascii="Arial" w:hAnsi="Arial" w:cs="David" w:hint="cs"/>
          <w:rtl/>
        </w:rPr>
        <w:t>-</w:t>
      </w:r>
      <w:r w:rsidR="00DD2561">
        <w:rPr>
          <w:rFonts w:ascii="Arial" w:hAnsi="Arial" w:cs="David" w:hint="cs"/>
          <w:rtl/>
        </w:rPr>
        <w:t xml:space="preserve">0.5 </w:t>
      </w:r>
      <w:r w:rsidR="002D6205">
        <w:rPr>
          <w:rFonts w:ascii="Arial" w:hAnsi="Arial" w:cs="David" w:hint="cs"/>
          <w:rtl/>
        </w:rPr>
        <w:t>מיליארדי דולרים</w:t>
      </w:r>
      <w:r w:rsidR="001654D9" w:rsidRPr="003F3174">
        <w:rPr>
          <w:rFonts w:ascii="Arial" w:hAnsi="Arial" w:cs="David" w:hint="cs"/>
          <w:rtl/>
        </w:rPr>
        <w:t xml:space="preserve"> (</w:t>
      </w:r>
      <w:r w:rsidR="00DD2561">
        <w:rPr>
          <w:rFonts w:ascii="Arial" w:hAnsi="Arial" w:cs="David" w:hint="cs"/>
          <w:rtl/>
        </w:rPr>
        <w:t>0.</w:t>
      </w:r>
      <w:r w:rsidR="00AD1765">
        <w:rPr>
          <w:rFonts w:ascii="Arial" w:hAnsi="Arial" w:cs="David" w:hint="cs"/>
          <w:rtl/>
        </w:rPr>
        <w:t>4</w:t>
      </w:r>
      <w:r w:rsidR="008708DF">
        <w:rPr>
          <w:rFonts w:ascii="Arial" w:hAnsi="Arial" w:cs="David" w:hint="cs"/>
          <w:rtl/>
        </w:rPr>
        <w:t>%</w:t>
      </w:r>
      <w:r w:rsidR="00AA4817">
        <w:rPr>
          <w:rFonts w:ascii="Arial" w:hAnsi="Arial" w:cs="David" w:hint="cs"/>
          <w:rtl/>
        </w:rPr>
        <w:t>-</w:t>
      </w:r>
      <w:r w:rsidR="001654D9" w:rsidRPr="003F3174">
        <w:rPr>
          <w:rFonts w:ascii="Arial" w:hAnsi="Arial" w:cs="David" w:hint="cs"/>
          <w:rtl/>
        </w:rPr>
        <w:t>)</w:t>
      </w:r>
      <w:r w:rsidR="006676D5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 xml:space="preserve">ועמד </w:t>
      </w:r>
      <w:r w:rsidR="00B46419" w:rsidRPr="003F3174">
        <w:rPr>
          <w:rFonts w:ascii="Arial" w:hAnsi="Arial" w:cs="David" w:hint="cs"/>
          <w:rtl/>
        </w:rPr>
        <w:t>ב</w:t>
      </w:r>
      <w:r w:rsidR="000E2DCA" w:rsidRPr="003F3174">
        <w:rPr>
          <w:rFonts w:ascii="Arial" w:hAnsi="Arial" w:cs="David" w:hint="cs"/>
          <w:rtl/>
        </w:rPr>
        <w:t xml:space="preserve">סוף </w:t>
      </w:r>
      <w:r w:rsidR="00AD1765">
        <w:rPr>
          <w:rFonts w:ascii="Arial" w:hAnsi="Arial" w:cs="David" w:hint="cs"/>
          <w:rtl/>
        </w:rPr>
        <w:t>ספטמבר</w:t>
      </w:r>
      <w:r w:rsidR="004C7474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>על</w:t>
      </w:r>
      <w:r w:rsidR="00D258EC" w:rsidRPr="003F3174">
        <w:rPr>
          <w:rFonts w:ascii="Arial" w:hAnsi="Arial" w:cs="David" w:hint="cs"/>
          <w:rtl/>
        </w:rPr>
        <w:t xml:space="preserve"> </w:t>
      </w:r>
      <w:r w:rsidR="00AD1765">
        <w:rPr>
          <w:rFonts w:ascii="Arial" w:hAnsi="Arial" w:cs="David" w:hint="cs"/>
          <w:rtl/>
        </w:rPr>
        <w:t>127</w:t>
      </w:r>
      <w:r w:rsidR="007057B4" w:rsidRPr="003F3174">
        <w:rPr>
          <w:rFonts w:ascii="Arial" w:hAnsi="Arial" w:cs="David" w:hint="cs"/>
          <w:rtl/>
        </w:rPr>
        <w:t xml:space="preserve"> מיליארדי</w:t>
      </w:r>
      <w:r w:rsidR="008708DF">
        <w:rPr>
          <w:rFonts w:ascii="Arial" w:hAnsi="Arial" w:cs="David" w:hint="cs"/>
          <w:rtl/>
        </w:rPr>
        <w:t>ם</w:t>
      </w:r>
      <w:r w:rsidR="00036848">
        <w:rPr>
          <w:rFonts w:ascii="Arial" w:hAnsi="Arial" w:cs="David" w:hint="cs"/>
          <w:rtl/>
        </w:rPr>
        <w:t xml:space="preserve"> </w:t>
      </w:r>
      <w:r w:rsidR="00036848" w:rsidRPr="003F3174">
        <w:rPr>
          <w:rFonts w:ascii="Arial" w:hAnsi="Arial" w:cs="David" w:hint="cs"/>
          <w:rtl/>
        </w:rPr>
        <w:t xml:space="preserve">(תרשים </w:t>
      </w:r>
      <w:r w:rsidR="00036848">
        <w:rPr>
          <w:rFonts w:ascii="Arial" w:hAnsi="Arial" w:cs="David" w:hint="cs"/>
          <w:rtl/>
        </w:rPr>
        <w:t>5)</w:t>
      </w:r>
      <w:r w:rsidR="007057B4" w:rsidRPr="003F3174">
        <w:rPr>
          <w:rFonts w:ascii="Arial" w:hAnsi="Arial" w:cs="David" w:hint="cs"/>
          <w:rtl/>
        </w:rPr>
        <w:t xml:space="preserve">. </w:t>
      </w:r>
    </w:p>
    <w:p w:rsidR="00A23889" w:rsidRDefault="00A23889" w:rsidP="00AD1765">
      <w:pPr>
        <w:spacing w:line="360" w:lineRule="auto"/>
        <w:ind w:right="426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עיקר </w:t>
      </w:r>
      <w:r w:rsidR="00AA4817">
        <w:rPr>
          <w:rFonts w:ascii="Arial" w:hAnsi="Arial" w:cs="David" w:hint="cs"/>
          <w:rtl/>
        </w:rPr>
        <w:t>הירידה</w:t>
      </w:r>
      <w:r>
        <w:rPr>
          <w:rFonts w:ascii="Arial" w:hAnsi="Arial" w:cs="David" w:hint="cs"/>
          <w:rtl/>
        </w:rPr>
        <w:t xml:space="preserve"> בעודף </w:t>
      </w:r>
      <w:r w:rsidR="00922388">
        <w:rPr>
          <w:rFonts w:ascii="Arial" w:hAnsi="Arial" w:cs="David" w:hint="cs"/>
          <w:rtl/>
        </w:rPr>
        <w:t xml:space="preserve">הנכסים </w:t>
      </w:r>
      <w:r>
        <w:rPr>
          <w:rFonts w:ascii="Arial" w:hAnsi="Arial" w:cs="David" w:hint="cs"/>
          <w:rtl/>
        </w:rPr>
        <w:t xml:space="preserve">מקורו </w:t>
      </w:r>
      <w:r w:rsidR="00AD1765">
        <w:rPr>
          <w:rFonts w:ascii="Arial" w:hAnsi="Arial" w:cs="David" w:hint="cs"/>
          <w:rtl/>
        </w:rPr>
        <w:t>ב</w:t>
      </w:r>
      <w:r w:rsidR="00FF27A6">
        <w:rPr>
          <w:rFonts w:ascii="Arial" w:hAnsi="Arial" w:cs="David" w:hint="cs"/>
          <w:rtl/>
        </w:rPr>
        <w:t xml:space="preserve">זרם </w:t>
      </w:r>
      <w:r w:rsidR="00AD1765">
        <w:rPr>
          <w:rFonts w:ascii="Arial" w:hAnsi="Arial" w:cs="David" w:hint="cs"/>
          <w:rtl/>
        </w:rPr>
        <w:t>השקעות נטו של תושבי חוץ בהון מניות ואג"ח ישראליות</w:t>
      </w:r>
      <w:r w:rsidR="00922388">
        <w:rPr>
          <w:rFonts w:ascii="Arial" w:hAnsi="Arial" w:cs="David" w:hint="cs"/>
          <w:rtl/>
        </w:rPr>
        <w:t xml:space="preserve">. </w:t>
      </w:r>
    </w:p>
    <w:p w:rsidR="008964DB" w:rsidRPr="00036848" w:rsidRDefault="008964DB" w:rsidP="008964DB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B516A1" w:rsidRDefault="00030EB4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 wp14:anchorId="1EBDF3F4">
            <wp:extent cx="4596056" cy="2678723"/>
            <wp:effectExtent l="0" t="0" r="0" b="7620"/>
            <wp:docPr id="9" name="תמונה 9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5&quot;." title="תרשים 5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00" cy="2682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4DB" w:rsidRPr="0034171E" w:rsidRDefault="008964DB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</w:p>
    <w:p w:rsidR="001C20BD" w:rsidRDefault="001C20BD" w:rsidP="008964DB">
      <w:pPr>
        <w:pStyle w:val="1"/>
      </w:pPr>
      <w:r w:rsidRPr="00690E6A">
        <w:rPr>
          <w:rFonts w:hint="cs"/>
          <w:rtl/>
        </w:rPr>
        <w:t xml:space="preserve">עודף הנכסים על ההתחייבויות של המשק מול חו"ל במכשירי חוב בלבד </w:t>
      </w:r>
    </w:p>
    <w:p w:rsidR="001F545C" w:rsidRPr="00690E6A" w:rsidRDefault="001C20BD" w:rsidP="001C20BD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עודף הנכסים על ההתחייבויות במכשירי חוב בלבד (ה</w:t>
      </w:r>
      <w:r w:rsidR="00785F18" w:rsidRPr="00690E6A">
        <w:rPr>
          <w:rFonts w:ascii="Arial" w:hAnsi="Arial" w:cs="David" w:hint="cs"/>
          <w:rtl/>
        </w:rPr>
        <w:t xml:space="preserve">חוב חיצוני </w:t>
      </w:r>
      <w:r>
        <w:rPr>
          <w:rFonts w:ascii="Arial" w:hAnsi="Arial" w:cs="David" w:hint="cs"/>
          <w:rtl/>
        </w:rPr>
        <w:t>ה</w:t>
      </w:r>
      <w:r w:rsidR="00785F18" w:rsidRPr="00690E6A">
        <w:rPr>
          <w:rFonts w:ascii="Arial" w:hAnsi="Arial" w:cs="David" w:hint="cs"/>
          <w:rtl/>
        </w:rPr>
        <w:t>שלילי</w:t>
      </w:r>
      <w:r>
        <w:rPr>
          <w:rFonts w:ascii="Arial" w:hAnsi="Arial" w:cs="David" w:hint="cs"/>
          <w:rtl/>
        </w:rPr>
        <w:t xml:space="preserve"> נטו)</w:t>
      </w:r>
      <w:r w:rsidR="001F545C" w:rsidRPr="00690E6A">
        <w:rPr>
          <w:rFonts w:ascii="Arial" w:hAnsi="Arial" w:cs="David" w:hint="cs"/>
          <w:rtl/>
        </w:rPr>
        <w:t xml:space="preserve">, </w:t>
      </w:r>
      <w:r w:rsidR="00AA4817">
        <w:rPr>
          <w:rFonts w:ascii="Arial" w:hAnsi="Arial" w:cs="David" w:hint="cs"/>
          <w:rtl/>
        </w:rPr>
        <w:t>ירד במהלך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AA4817">
        <w:rPr>
          <w:rFonts w:ascii="Arial" w:hAnsi="Arial" w:cs="David" w:hint="cs"/>
          <w:rtl/>
        </w:rPr>
        <w:t>ה</w:t>
      </w:r>
      <w:r w:rsidR="00EA0CA3">
        <w:rPr>
          <w:rFonts w:ascii="Arial" w:hAnsi="Arial" w:cs="David" w:hint="cs"/>
          <w:rtl/>
        </w:rPr>
        <w:t xml:space="preserve">רביע </w:t>
      </w:r>
      <w:r w:rsidR="00AD1765">
        <w:rPr>
          <w:rFonts w:ascii="Arial" w:hAnsi="Arial" w:cs="David" w:hint="cs"/>
          <w:rtl/>
        </w:rPr>
        <w:t>השלישי</w:t>
      </w:r>
      <w:r w:rsidR="00AA4817">
        <w:rPr>
          <w:rFonts w:ascii="Arial" w:hAnsi="Arial" w:cs="David" w:hint="cs"/>
          <w:rtl/>
        </w:rPr>
        <w:t xml:space="preserve"> בהיקף של כ- </w:t>
      </w:r>
      <w:r w:rsidR="00AD1765">
        <w:rPr>
          <w:rFonts w:ascii="Arial" w:hAnsi="Arial" w:cs="David" w:hint="cs"/>
          <w:rtl/>
        </w:rPr>
        <w:t>0.9</w:t>
      </w:r>
      <w:r w:rsidR="00AA4817">
        <w:rPr>
          <w:rFonts w:ascii="Arial" w:hAnsi="Arial" w:cs="David" w:hint="cs"/>
          <w:rtl/>
        </w:rPr>
        <w:t xml:space="preserve"> מיליארדים (</w:t>
      </w:r>
      <w:r w:rsidR="00AD1765">
        <w:rPr>
          <w:rFonts w:ascii="Arial" w:hAnsi="Arial" w:cs="David" w:hint="cs"/>
          <w:rtl/>
        </w:rPr>
        <w:t>0.5</w:t>
      </w:r>
      <w:r w:rsidR="00AA4817">
        <w:rPr>
          <w:rFonts w:ascii="Arial" w:hAnsi="Arial" w:cs="David" w:hint="cs"/>
          <w:rtl/>
        </w:rPr>
        <w:t>%-)</w:t>
      </w:r>
      <w:r w:rsidR="00922388">
        <w:rPr>
          <w:rFonts w:ascii="Arial" w:hAnsi="Arial" w:cs="David" w:hint="cs"/>
          <w:rtl/>
        </w:rPr>
        <w:t xml:space="preserve"> ועמד בסוף </w:t>
      </w:r>
      <w:r w:rsidR="00AD1765">
        <w:rPr>
          <w:rFonts w:ascii="Arial" w:hAnsi="Arial" w:cs="David" w:hint="cs"/>
          <w:rtl/>
        </w:rPr>
        <w:t>ספטמבר</w:t>
      </w:r>
      <w:r w:rsidR="00922388">
        <w:rPr>
          <w:rFonts w:ascii="Arial" w:hAnsi="Arial" w:cs="David" w:hint="cs"/>
          <w:rtl/>
        </w:rPr>
        <w:t xml:space="preserve"> על</w:t>
      </w:r>
      <w:r w:rsidR="00EA0CA3">
        <w:rPr>
          <w:rFonts w:ascii="Arial" w:hAnsi="Arial" w:cs="David" w:hint="cs"/>
          <w:rtl/>
        </w:rPr>
        <w:t xml:space="preserve"> </w:t>
      </w:r>
      <w:r w:rsidR="00AD1765">
        <w:rPr>
          <w:rFonts w:ascii="Arial" w:hAnsi="Arial" w:cs="David" w:hint="cs"/>
          <w:rtl/>
        </w:rPr>
        <w:t>158</w:t>
      </w:r>
      <w:r w:rsidR="00F9624C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מיליארד</w:t>
      </w:r>
      <w:r w:rsidR="00F9624C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דולר</w:t>
      </w:r>
      <w:r w:rsidR="00F9624C">
        <w:rPr>
          <w:rFonts w:ascii="Arial" w:hAnsi="Arial" w:cs="David" w:hint="cs"/>
          <w:rtl/>
        </w:rPr>
        <w:t>ים</w:t>
      </w:r>
      <w:r w:rsidR="00EA0CA3">
        <w:rPr>
          <w:rFonts w:ascii="Arial" w:hAnsi="Arial" w:cs="David" w:hint="cs"/>
          <w:rtl/>
        </w:rPr>
        <w:t xml:space="preserve"> </w:t>
      </w:r>
      <w:r w:rsidR="00172E92" w:rsidRPr="00690E6A">
        <w:rPr>
          <w:rFonts w:ascii="Arial" w:hAnsi="Arial" w:cs="David" w:hint="cs"/>
          <w:rtl/>
        </w:rPr>
        <w:t xml:space="preserve">(תרשים </w:t>
      </w:r>
      <w:r w:rsidR="00212D62">
        <w:rPr>
          <w:rFonts w:ascii="Arial" w:hAnsi="Arial" w:cs="David" w:hint="cs"/>
          <w:rtl/>
        </w:rPr>
        <w:t>6</w:t>
      </w:r>
      <w:r w:rsidR="00172E92" w:rsidRPr="00690E6A">
        <w:rPr>
          <w:rFonts w:ascii="Arial" w:hAnsi="Arial" w:cs="David" w:hint="cs"/>
          <w:rtl/>
        </w:rPr>
        <w:t>)</w:t>
      </w:r>
      <w:r w:rsidR="001F545C"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Pr="00AA4817" w:rsidRDefault="009522BF" w:rsidP="00D111E8">
      <w:pPr>
        <w:spacing w:line="360" w:lineRule="auto"/>
        <w:jc w:val="both"/>
        <w:rPr>
          <w:rFonts w:ascii="Arial" w:hAnsi="Arial" w:cs="David"/>
          <w:color w:val="FF0000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C27D8A">
        <w:rPr>
          <w:rFonts w:ascii="Arial" w:hAnsi="Arial" w:cs="David" w:hint="cs"/>
          <w:rtl/>
        </w:rPr>
        <w:t xml:space="preserve"> (פירעון/מימוש תוך שנה),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F86ED1">
        <w:rPr>
          <w:rFonts w:ascii="Arial" w:hAnsi="Arial" w:cs="David" w:hint="cs"/>
          <w:rtl/>
        </w:rPr>
        <w:t xml:space="preserve">הרביע </w:t>
      </w:r>
      <w:r w:rsidR="00AD1765">
        <w:rPr>
          <w:rFonts w:ascii="Arial" w:hAnsi="Arial" w:cs="David" w:hint="cs"/>
          <w:rtl/>
        </w:rPr>
        <w:t>השלישי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34171E">
        <w:rPr>
          <w:rFonts w:ascii="Arial" w:hAnsi="Arial" w:cs="David" w:hint="cs"/>
          <w:rtl/>
        </w:rPr>
        <w:t>1</w:t>
      </w:r>
      <w:r w:rsidR="00F86ED1">
        <w:rPr>
          <w:rFonts w:ascii="Arial" w:hAnsi="Arial" w:cs="David" w:hint="cs"/>
          <w:rtl/>
        </w:rPr>
        <w:t>6</w:t>
      </w:r>
      <w:r w:rsidR="00D111E8">
        <w:rPr>
          <w:rFonts w:ascii="Arial" w:hAnsi="Arial" w:cs="David" w:hint="cs"/>
          <w:rtl/>
        </w:rPr>
        <w:t>3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E73CFA">
        <w:rPr>
          <w:rFonts w:ascii="Arial" w:hAnsi="Arial" w:cs="David" w:hint="cs"/>
          <w:rtl/>
        </w:rPr>
        <w:t xml:space="preserve"> בבנק ישראל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FD38AF">
        <w:rPr>
          <w:rFonts w:ascii="Arial" w:hAnsi="Arial" w:cs="David" w:hint="cs"/>
          <w:rtl/>
        </w:rPr>
        <w:t>4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353187">
        <w:rPr>
          <w:rFonts w:ascii="Arial" w:hAnsi="Arial" w:cs="David" w:hint="cs"/>
          <w:rtl/>
        </w:rPr>
        <w:t>.</w:t>
      </w:r>
      <w:r w:rsidR="006E70F9" w:rsidRPr="00BD0A6B"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Fonts w:ascii="Arial" w:hAnsi="Arial" w:cs="David"/>
          <w:rtl/>
        </w:rPr>
      </w:pPr>
    </w:p>
    <w:p w:rsidR="00164CA6" w:rsidRDefault="00390878" w:rsidP="0034171E">
      <w:pPr>
        <w:spacing w:after="480"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085E11CC">
            <wp:extent cx="4595446" cy="2737339"/>
            <wp:effectExtent l="0" t="0" r="0" b="6350"/>
            <wp:docPr id="11" name="תמונה 11" descr="התרשים מתאר את התפתחות החוב החיצוני השלילי נטו של המשק, לאורך זמן. את התרשים ניתן למצוא בקובץ האקסל המצורף להודעה זו בגיליון &quot;תרשים6&quot;." title="תרשים 6: החוב החיצוני השליל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71" cy="2741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B516A1" w:rsidRDefault="00030576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7" w:history="1">
        <w:r w:rsidR="00FE10AB" w:rsidRPr="001E49F5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1E49F5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1E49F5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8"/>
      <w:footerReference w:type="default" r:id="rId19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F7" w:rsidRDefault="006F54F7">
      <w:r>
        <w:separator/>
      </w:r>
    </w:p>
  </w:endnote>
  <w:endnote w:type="continuationSeparator" w:id="0">
    <w:p w:rsidR="006F54F7" w:rsidRDefault="006F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0150C4" w:rsidRDefault="00BD0A6B" w:rsidP="00844D86">
    <w:pPr>
      <w:spacing w:line="360" w:lineRule="auto"/>
      <w:rPr>
        <w:rtl/>
        <w:lang w:val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F7" w:rsidRDefault="006F54F7">
      <w:r>
        <w:separator/>
      </w:r>
    </w:p>
  </w:footnote>
  <w:footnote w:type="continuationSeparator" w:id="0">
    <w:p w:rsidR="006F54F7" w:rsidRDefault="006F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3F2"/>
    <w:multiLevelType w:val="hybridMultilevel"/>
    <w:tmpl w:val="944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B797A"/>
    <w:multiLevelType w:val="hybridMultilevel"/>
    <w:tmpl w:val="268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24D0D"/>
    <w:multiLevelType w:val="hybridMultilevel"/>
    <w:tmpl w:val="6B98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87443"/>
    <w:multiLevelType w:val="hybridMultilevel"/>
    <w:tmpl w:val="ECAE6962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1"/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D2A"/>
    <w:rsid w:val="00011F11"/>
    <w:rsid w:val="000123AD"/>
    <w:rsid w:val="000124A8"/>
    <w:rsid w:val="000135D6"/>
    <w:rsid w:val="00013B67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576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1FB7"/>
    <w:rsid w:val="00042106"/>
    <w:rsid w:val="000435BB"/>
    <w:rsid w:val="0004432B"/>
    <w:rsid w:val="00044505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2D1B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1A9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2ABB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49E8"/>
    <w:rsid w:val="00095024"/>
    <w:rsid w:val="0009532A"/>
    <w:rsid w:val="0009677B"/>
    <w:rsid w:val="00096BD1"/>
    <w:rsid w:val="000A0832"/>
    <w:rsid w:val="000A1B54"/>
    <w:rsid w:val="000A1F79"/>
    <w:rsid w:val="000A22D3"/>
    <w:rsid w:val="000A2761"/>
    <w:rsid w:val="000A347E"/>
    <w:rsid w:val="000A3734"/>
    <w:rsid w:val="000A3A08"/>
    <w:rsid w:val="000A3A38"/>
    <w:rsid w:val="000A406E"/>
    <w:rsid w:val="000A4372"/>
    <w:rsid w:val="000A6793"/>
    <w:rsid w:val="000B016F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41"/>
    <w:rsid w:val="000C3098"/>
    <w:rsid w:val="000C34DE"/>
    <w:rsid w:val="000C4143"/>
    <w:rsid w:val="000C4221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5045"/>
    <w:rsid w:val="000D7BE3"/>
    <w:rsid w:val="000D7D13"/>
    <w:rsid w:val="000E0BB9"/>
    <w:rsid w:val="000E1CA2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936"/>
    <w:rsid w:val="00184F2F"/>
    <w:rsid w:val="001854A0"/>
    <w:rsid w:val="00186B7B"/>
    <w:rsid w:val="00187403"/>
    <w:rsid w:val="0018795A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B4A"/>
    <w:rsid w:val="001B1C19"/>
    <w:rsid w:val="001B3C77"/>
    <w:rsid w:val="001B5E81"/>
    <w:rsid w:val="001B60EB"/>
    <w:rsid w:val="001B65AD"/>
    <w:rsid w:val="001B65E4"/>
    <w:rsid w:val="001B6796"/>
    <w:rsid w:val="001B6CCF"/>
    <w:rsid w:val="001B6E49"/>
    <w:rsid w:val="001B763A"/>
    <w:rsid w:val="001C1516"/>
    <w:rsid w:val="001C18D8"/>
    <w:rsid w:val="001C20BD"/>
    <w:rsid w:val="001C282E"/>
    <w:rsid w:val="001C2DA6"/>
    <w:rsid w:val="001C4F8A"/>
    <w:rsid w:val="001C731D"/>
    <w:rsid w:val="001C7A6F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E6C92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2D62"/>
    <w:rsid w:val="0021387A"/>
    <w:rsid w:val="00213C9B"/>
    <w:rsid w:val="00214626"/>
    <w:rsid w:val="002148E3"/>
    <w:rsid w:val="00214AB0"/>
    <w:rsid w:val="002150D3"/>
    <w:rsid w:val="00216A49"/>
    <w:rsid w:val="0021746F"/>
    <w:rsid w:val="00217D61"/>
    <w:rsid w:val="002207F2"/>
    <w:rsid w:val="002216F2"/>
    <w:rsid w:val="00222132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3F20"/>
    <w:rsid w:val="00244E4A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5CFD"/>
    <w:rsid w:val="00285E6E"/>
    <w:rsid w:val="00286792"/>
    <w:rsid w:val="00286ABF"/>
    <w:rsid w:val="00287759"/>
    <w:rsid w:val="0029184D"/>
    <w:rsid w:val="002926E9"/>
    <w:rsid w:val="00293FCB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B73BC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03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EBF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4126E"/>
    <w:rsid w:val="0034171E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B9C"/>
    <w:rsid w:val="00387D92"/>
    <w:rsid w:val="00390878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69C2"/>
    <w:rsid w:val="003B722A"/>
    <w:rsid w:val="003C00A0"/>
    <w:rsid w:val="003C0CDF"/>
    <w:rsid w:val="003C1113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42EC"/>
    <w:rsid w:val="003D4CAA"/>
    <w:rsid w:val="003D54FC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4A30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46C1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84A"/>
    <w:rsid w:val="00462D19"/>
    <w:rsid w:val="004632C9"/>
    <w:rsid w:val="0046464F"/>
    <w:rsid w:val="0046466F"/>
    <w:rsid w:val="00464B84"/>
    <w:rsid w:val="00465696"/>
    <w:rsid w:val="00465CE7"/>
    <w:rsid w:val="004660CF"/>
    <w:rsid w:val="00467A05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1CD9"/>
    <w:rsid w:val="00492221"/>
    <w:rsid w:val="00492477"/>
    <w:rsid w:val="0049277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B98"/>
    <w:rsid w:val="004A7CC6"/>
    <w:rsid w:val="004A7D21"/>
    <w:rsid w:val="004B0116"/>
    <w:rsid w:val="004B0B04"/>
    <w:rsid w:val="004B1624"/>
    <w:rsid w:val="004B16A8"/>
    <w:rsid w:val="004B1E96"/>
    <w:rsid w:val="004B23E1"/>
    <w:rsid w:val="004B588B"/>
    <w:rsid w:val="004B733C"/>
    <w:rsid w:val="004C0706"/>
    <w:rsid w:val="004C0E4C"/>
    <w:rsid w:val="004C0FC6"/>
    <w:rsid w:val="004C1731"/>
    <w:rsid w:val="004C1A4E"/>
    <w:rsid w:val="004C2014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4889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45A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087E"/>
    <w:rsid w:val="00511A57"/>
    <w:rsid w:val="00511F43"/>
    <w:rsid w:val="0051262C"/>
    <w:rsid w:val="0051301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93"/>
    <w:rsid w:val="005353B3"/>
    <w:rsid w:val="00535467"/>
    <w:rsid w:val="00536DFD"/>
    <w:rsid w:val="00537605"/>
    <w:rsid w:val="0053772E"/>
    <w:rsid w:val="005413A0"/>
    <w:rsid w:val="00542A8B"/>
    <w:rsid w:val="00543858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6598D"/>
    <w:rsid w:val="00566529"/>
    <w:rsid w:val="00566FD6"/>
    <w:rsid w:val="0057281B"/>
    <w:rsid w:val="00572E61"/>
    <w:rsid w:val="00572E7B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EDC"/>
    <w:rsid w:val="005918F3"/>
    <w:rsid w:val="00592141"/>
    <w:rsid w:val="005921B0"/>
    <w:rsid w:val="00595077"/>
    <w:rsid w:val="0059552E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C7BF5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395"/>
    <w:rsid w:val="0062473C"/>
    <w:rsid w:val="00625A5B"/>
    <w:rsid w:val="006262EC"/>
    <w:rsid w:val="006264D5"/>
    <w:rsid w:val="0062686E"/>
    <w:rsid w:val="006301E0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64C"/>
    <w:rsid w:val="006527F9"/>
    <w:rsid w:val="00653878"/>
    <w:rsid w:val="00654804"/>
    <w:rsid w:val="00655559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60A8"/>
    <w:rsid w:val="006666C7"/>
    <w:rsid w:val="006676D5"/>
    <w:rsid w:val="00670AFB"/>
    <w:rsid w:val="00670C47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1C9A"/>
    <w:rsid w:val="00683371"/>
    <w:rsid w:val="00683FF7"/>
    <w:rsid w:val="00684B23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5D66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B7B56"/>
    <w:rsid w:val="006C0915"/>
    <w:rsid w:val="006C0940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450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1437"/>
    <w:rsid w:val="006F1E66"/>
    <w:rsid w:val="006F234A"/>
    <w:rsid w:val="006F280F"/>
    <w:rsid w:val="006F2A0F"/>
    <w:rsid w:val="006F3332"/>
    <w:rsid w:val="006F38F9"/>
    <w:rsid w:val="006F54F7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3791"/>
    <w:rsid w:val="007346B6"/>
    <w:rsid w:val="007347A9"/>
    <w:rsid w:val="0073706C"/>
    <w:rsid w:val="0073774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00D"/>
    <w:rsid w:val="00760C22"/>
    <w:rsid w:val="007614E7"/>
    <w:rsid w:val="0076181D"/>
    <w:rsid w:val="007622E4"/>
    <w:rsid w:val="00762BCF"/>
    <w:rsid w:val="007633A4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1A1C"/>
    <w:rsid w:val="007E2533"/>
    <w:rsid w:val="007E2737"/>
    <w:rsid w:val="007E3168"/>
    <w:rsid w:val="007E4158"/>
    <w:rsid w:val="007E4451"/>
    <w:rsid w:val="007E457E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CE0"/>
    <w:rsid w:val="00832B15"/>
    <w:rsid w:val="00832BAD"/>
    <w:rsid w:val="008341F5"/>
    <w:rsid w:val="00834251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9CE"/>
    <w:rsid w:val="00844D86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DFB"/>
    <w:rsid w:val="00853B22"/>
    <w:rsid w:val="00853E21"/>
    <w:rsid w:val="00854096"/>
    <w:rsid w:val="00856481"/>
    <w:rsid w:val="008565B0"/>
    <w:rsid w:val="008571E3"/>
    <w:rsid w:val="00857BD6"/>
    <w:rsid w:val="00857D91"/>
    <w:rsid w:val="008610A8"/>
    <w:rsid w:val="00861C59"/>
    <w:rsid w:val="00861E02"/>
    <w:rsid w:val="00862A15"/>
    <w:rsid w:val="008637F8"/>
    <w:rsid w:val="00864EA9"/>
    <w:rsid w:val="00864F15"/>
    <w:rsid w:val="00865562"/>
    <w:rsid w:val="008677EF"/>
    <w:rsid w:val="00867E70"/>
    <w:rsid w:val="0087007C"/>
    <w:rsid w:val="008708DF"/>
    <w:rsid w:val="00870DB4"/>
    <w:rsid w:val="00871B0D"/>
    <w:rsid w:val="0087208C"/>
    <w:rsid w:val="00872666"/>
    <w:rsid w:val="0087334E"/>
    <w:rsid w:val="00873827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511"/>
    <w:rsid w:val="008846F8"/>
    <w:rsid w:val="008849C0"/>
    <w:rsid w:val="00884A8B"/>
    <w:rsid w:val="0088577C"/>
    <w:rsid w:val="00886278"/>
    <w:rsid w:val="00887000"/>
    <w:rsid w:val="008873B5"/>
    <w:rsid w:val="008877D7"/>
    <w:rsid w:val="0089044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7883"/>
    <w:rsid w:val="00897DE3"/>
    <w:rsid w:val="00897E35"/>
    <w:rsid w:val="008A0635"/>
    <w:rsid w:val="008A18F4"/>
    <w:rsid w:val="008A23B2"/>
    <w:rsid w:val="008A2D5C"/>
    <w:rsid w:val="008A3008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29FB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6742"/>
    <w:rsid w:val="0091686C"/>
    <w:rsid w:val="009168BC"/>
    <w:rsid w:val="00917E4C"/>
    <w:rsid w:val="00920C63"/>
    <w:rsid w:val="00920D7C"/>
    <w:rsid w:val="00921282"/>
    <w:rsid w:val="00921B27"/>
    <w:rsid w:val="00921B3A"/>
    <w:rsid w:val="00922388"/>
    <w:rsid w:val="00922702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151"/>
    <w:rsid w:val="0093344B"/>
    <w:rsid w:val="009342A6"/>
    <w:rsid w:val="0093475D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61E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4AC"/>
    <w:rsid w:val="009B5D73"/>
    <w:rsid w:val="009B6B87"/>
    <w:rsid w:val="009C09AB"/>
    <w:rsid w:val="009C1028"/>
    <w:rsid w:val="009C1FB0"/>
    <w:rsid w:val="009C41BB"/>
    <w:rsid w:val="009C4FF2"/>
    <w:rsid w:val="009C55BF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1D3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889"/>
    <w:rsid w:val="00A23A58"/>
    <w:rsid w:val="00A23DD3"/>
    <w:rsid w:val="00A246B4"/>
    <w:rsid w:val="00A24D52"/>
    <w:rsid w:val="00A26E38"/>
    <w:rsid w:val="00A30B5D"/>
    <w:rsid w:val="00A30C05"/>
    <w:rsid w:val="00A313A0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66EA"/>
    <w:rsid w:val="00A87A94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817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765"/>
    <w:rsid w:val="00AD1C0D"/>
    <w:rsid w:val="00AD1E60"/>
    <w:rsid w:val="00AD2397"/>
    <w:rsid w:val="00AD2C76"/>
    <w:rsid w:val="00AD2FE4"/>
    <w:rsid w:val="00AD4C5B"/>
    <w:rsid w:val="00AD56CC"/>
    <w:rsid w:val="00AD5FCC"/>
    <w:rsid w:val="00AD61B2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D35"/>
    <w:rsid w:val="00B24031"/>
    <w:rsid w:val="00B2487A"/>
    <w:rsid w:val="00B248E1"/>
    <w:rsid w:val="00B2509E"/>
    <w:rsid w:val="00B258B1"/>
    <w:rsid w:val="00B278B5"/>
    <w:rsid w:val="00B3105F"/>
    <w:rsid w:val="00B32084"/>
    <w:rsid w:val="00B32626"/>
    <w:rsid w:val="00B332F0"/>
    <w:rsid w:val="00B3376B"/>
    <w:rsid w:val="00B33887"/>
    <w:rsid w:val="00B34352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47A7A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0A51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A0D1A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5CA9"/>
    <w:rsid w:val="00BB6657"/>
    <w:rsid w:val="00BB7169"/>
    <w:rsid w:val="00BB7ACD"/>
    <w:rsid w:val="00BB7B1F"/>
    <w:rsid w:val="00BB7D6C"/>
    <w:rsid w:val="00BC0BAA"/>
    <w:rsid w:val="00BC1D2F"/>
    <w:rsid w:val="00BC2AB4"/>
    <w:rsid w:val="00BC3A7C"/>
    <w:rsid w:val="00BC4074"/>
    <w:rsid w:val="00BC41B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24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4C0"/>
    <w:rsid w:val="00BF27E4"/>
    <w:rsid w:val="00BF2F90"/>
    <w:rsid w:val="00BF32D8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6F"/>
    <w:rsid w:val="00C17094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2D3"/>
    <w:rsid w:val="00C52920"/>
    <w:rsid w:val="00C534F9"/>
    <w:rsid w:val="00C53A37"/>
    <w:rsid w:val="00C53C33"/>
    <w:rsid w:val="00C53DE0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2855"/>
    <w:rsid w:val="00C738FD"/>
    <w:rsid w:val="00C73C05"/>
    <w:rsid w:val="00C73E9E"/>
    <w:rsid w:val="00C754AF"/>
    <w:rsid w:val="00C75881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44A5"/>
    <w:rsid w:val="00CA54B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C0410"/>
    <w:rsid w:val="00CC0765"/>
    <w:rsid w:val="00CC089B"/>
    <w:rsid w:val="00CC0B70"/>
    <w:rsid w:val="00CC1B06"/>
    <w:rsid w:val="00CC1DF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5E2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7014"/>
    <w:rsid w:val="00D10890"/>
    <w:rsid w:val="00D111E8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138"/>
    <w:rsid w:val="00D21D55"/>
    <w:rsid w:val="00D21FDB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4E54"/>
    <w:rsid w:val="00D45999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61C2"/>
    <w:rsid w:val="00D665D6"/>
    <w:rsid w:val="00D671D0"/>
    <w:rsid w:val="00D70743"/>
    <w:rsid w:val="00D70E5B"/>
    <w:rsid w:val="00D71C55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019D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A67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A7BD2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561"/>
    <w:rsid w:val="00DD290C"/>
    <w:rsid w:val="00DD3088"/>
    <w:rsid w:val="00DD4C4E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B6B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DF7BDD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40D9"/>
    <w:rsid w:val="00E461C6"/>
    <w:rsid w:val="00E465F4"/>
    <w:rsid w:val="00E46FD8"/>
    <w:rsid w:val="00E47276"/>
    <w:rsid w:val="00E5015B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70"/>
    <w:rsid w:val="00E91B53"/>
    <w:rsid w:val="00E91CAF"/>
    <w:rsid w:val="00E91D66"/>
    <w:rsid w:val="00E93F6D"/>
    <w:rsid w:val="00E946BC"/>
    <w:rsid w:val="00E9538C"/>
    <w:rsid w:val="00E95830"/>
    <w:rsid w:val="00E95A20"/>
    <w:rsid w:val="00E95D04"/>
    <w:rsid w:val="00EA094B"/>
    <w:rsid w:val="00EA0CA3"/>
    <w:rsid w:val="00EA129E"/>
    <w:rsid w:val="00EA148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3532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D7E7E"/>
    <w:rsid w:val="00EE00B8"/>
    <w:rsid w:val="00EE0540"/>
    <w:rsid w:val="00EE0ADE"/>
    <w:rsid w:val="00EE168A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1F55"/>
    <w:rsid w:val="00F12DD4"/>
    <w:rsid w:val="00F14276"/>
    <w:rsid w:val="00F145E8"/>
    <w:rsid w:val="00F14803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3FA6"/>
    <w:rsid w:val="00F2481C"/>
    <w:rsid w:val="00F24859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B89"/>
    <w:rsid w:val="00F3344C"/>
    <w:rsid w:val="00F35045"/>
    <w:rsid w:val="00F354FF"/>
    <w:rsid w:val="00F35736"/>
    <w:rsid w:val="00F358B1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2F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83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6DD8"/>
    <w:rsid w:val="00F77A88"/>
    <w:rsid w:val="00F80F3A"/>
    <w:rsid w:val="00F8111D"/>
    <w:rsid w:val="00F81531"/>
    <w:rsid w:val="00F82753"/>
    <w:rsid w:val="00F83769"/>
    <w:rsid w:val="00F848B6"/>
    <w:rsid w:val="00F86ED1"/>
    <w:rsid w:val="00F872B7"/>
    <w:rsid w:val="00F90AE7"/>
    <w:rsid w:val="00F92B7D"/>
    <w:rsid w:val="00F93CFB"/>
    <w:rsid w:val="00F946D9"/>
    <w:rsid w:val="00F94DA7"/>
    <w:rsid w:val="00F9624C"/>
    <w:rsid w:val="00F965A6"/>
    <w:rsid w:val="00F968C5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AFC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27A6"/>
    <w:rsid w:val="00FF31D8"/>
    <w:rsid w:val="00FF3A00"/>
    <w:rsid w:val="00FF4F2A"/>
    <w:rsid w:val="00FF5990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F23FA6"/>
    <w:rPr>
      <w:sz w:val="16"/>
      <w:szCs w:val="16"/>
    </w:rPr>
  </w:style>
  <w:style w:type="paragraph" w:styleId="af3">
    <w:name w:val="annotation text"/>
    <w:basedOn w:val="a"/>
    <w:link w:val="af4"/>
    <w:rsid w:val="00F23FA6"/>
    <w:rPr>
      <w:sz w:val="20"/>
      <w:szCs w:val="20"/>
    </w:rPr>
  </w:style>
  <w:style w:type="character" w:customStyle="1" w:styleId="af4">
    <w:name w:val="טקסט הערה תו"/>
    <w:basedOn w:val="a0"/>
    <w:link w:val="af3"/>
    <w:rsid w:val="00F23FA6"/>
    <w:rPr>
      <w:lang w:eastAsia="he-IL"/>
    </w:rPr>
  </w:style>
  <w:style w:type="paragraph" w:styleId="af5">
    <w:name w:val="annotation subject"/>
    <w:basedOn w:val="af3"/>
    <w:next w:val="af3"/>
    <w:link w:val="af6"/>
    <w:rsid w:val="00F23FA6"/>
    <w:rPr>
      <w:b/>
      <w:bCs/>
    </w:rPr>
  </w:style>
  <w:style w:type="character" w:customStyle="1" w:styleId="af6">
    <w:name w:val="נושא הערה תו"/>
    <w:basedOn w:val="af4"/>
    <w:link w:val="af5"/>
    <w:rsid w:val="00F23FA6"/>
    <w:rPr>
      <w:b/>
      <w:bCs/>
      <w:lang w:eastAsia="he-IL"/>
    </w:rPr>
  </w:style>
  <w:style w:type="paragraph" w:styleId="af7">
    <w:name w:val="List Paragraph"/>
    <w:basedOn w:val="a"/>
    <w:uiPriority w:val="34"/>
    <w:qFormat/>
    <w:rsid w:val="005E2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F23FA6"/>
    <w:rPr>
      <w:sz w:val="16"/>
      <w:szCs w:val="16"/>
    </w:rPr>
  </w:style>
  <w:style w:type="paragraph" w:styleId="af3">
    <w:name w:val="annotation text"/>
    <w:basedOn w:val="a"/>
    <w:link w:val="af4"/>
    <w:rsid w:val="00F23FA6"/>
    <w:rPr>
      <w:sz w:val="20"/>
      <w:szCs w:val="20"/>
    </w:rPr>
  </w:style>
  <w:style w:type="character" w:customStyle="1" w:styleId="af4">
    <w:name w:val="טקסט הערה תו"/>
    <w:basedOn w:val="a0"/>
    <w:link w:val="af3"/>
    <w:rsid w:val="00F23FA6"/>
    <w:rPr>
      <w:lang w:eastAsia="he-IL"/>
    </w:rPr>
  </w:style>
  <w:style w:type="paragraph" w:styleId="af5">
    <w:name w:val="annotation subject"/>
    <w:basedOn w:val="af3"/>
    <w:next w:val="af3"/>
    <w:link w:val="af6"/>
    <w:rsid w:val="00F23FA6"/>
    <w:rPr>
      <w:b/>
      <w:bCs/>
    </w:rPr>
  </w:style>
  <w:style w:type="character" w:customStyle="1" w:styleId="af6">
    <w:name w:val="נושא הערה תו"/>
    <w:basedOn w:val="af4"/>
    <w:link w:val="af5"/>
    <w:rsid w:val="00F23FA6"/>
    <w:rPr>
      <w:b/>
      <w:bCs/>
      <w:lang w:eastAsia="he-IL"/>
    </w:rPr>
  </w:style>
  <w:style w:type="paragraph" w:styleId="af7">
    <w:name w:val="List Paragraph"/>
    <w:basedOn w:val="a"/>
    <w:uiPriority w:val="34"/>
    <w:qFormat/>
    <w:rsid w:val="005E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boi.org.il/he/DataAndStatistics/Pages/MainPage.aspx?Level=2&amp;Sid=27&amp;SubjectType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9BD3B69-A106-4570-9E6E-4192E0075002}"/>
</file>

<file path=customXml/itemProps2.xml><?xml version="1.0" encoding="utf-8"?>
<ds:datastoreItem xmlns:ds="http://schemas.openxmlformats.org/officeDocument/2006/customXml" ds:itemID="{437D544E-3009-42B8-8013-B87AC5E76E2D}"/>
</file>

<file path=customXml/itemProps3.xml><?xml version="1.0" encoding="utf-8"?>
<ds:datastoreItem xmlns:ds="http://schemas.openxmlformats.org/officeDocument/2006/customXml" ds:itemID="{4DC55580-EB52-4637-822F-23BA9827558C}"/>
</file>

<file path=customXml/itemProps4.xml><?xml version="1.0" encoding="utf-8"?>
<ds:datastoreItem xmlns:ds="http://schemas.openxmlformats.org/officeDocument/2006/customXml" ds:itemID="{9E540B25-9E12-4967-967C-7E34DEC6F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4578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5442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2018-12-25T09:37:00Z</dcterms:created>
  <dcterms:modified xsi:type="dcterms:W3CDTF">2018-12-25T09:37:00Z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495614266</vt:i4>
  </property>
  <property fmtid="{D5CDD505-2E9C-101B-9397-08002B2CF9AE}" pid="4" name="_ReviewingToolsShownOnce">
    <vt:lpwstr/>
  </property>
  <property fmtid="{D5CDD505-2E9C-101B-9397-08002B2CF9AE}" pid="5" name="ContentTypeId">
    <vt:lpwstr>0x0101000644CCD52964FE4BBD8AB8E0B060EA47</vt:lpwstr>
  </property>
</Properties>
</file>