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8520" w:type="dxa"/>
        <w:jc w:val="center"/>
        <w:tblLayout w:type="fixed"/>
        <w:tblLook w:val="0000" w:firstRow="0" w:lastRow="0" w:firstColumn="0" w:lastColumn="0" w:noHBand="0" w:noVBand="0"/>
        <w:tblCaption w:val="כותרת עליונה"/>
        <w:tblDescription w:val="כותרת עליונה"/>
      </w:tblPr>
      <w:tblGrid>
        <w:gridCol w:w="2840"/>
        <w:gridCol w:w="2596"/>
        <w:gridCol w:w="3084"/>
      </w:tblGrid>
      <w:tr w:rsidR="00BC7619" w:rsidRPr="00D515E2" w:rsidTr="00834D85">
        <w:trPr>
          <w:tblHeader/>
          <w:jc w:val="center"/>
        </w:trPr>
        <w:tc>
          <w:tcPr>
            <w:tcW w:w="2840" w:type="dxa"/>
            <w:tcBorders>
              <w:top w:val="nil"/>
              <w:left w:val="nil"/>
              <w:bottom w:val="nil"/>
              <w:right w:val="nil"/>
            </w:tcBorders>
            <w:vAlign w:val="center"/>
          </w:tcPr>
          <w:p w:rsidR="00BC7619" w:rsidRPr="00D515E2" w:rsidRDefault="00BC7619" w:rsidP="00834D85">
            <w:pPr>
              <w:jc w:val="center"/>
              <w:rPr>
                <w:b/>
                <w:bCs/>
              </w:rPr>
            </w:pPr>
            <w:r w:rsidRPr="00D515E2">
              <w:rPr>
                <w:b/>
                <w:bCs/>
                <w:rtl/>
              </w:rPr>
              <w:t>בנק ישראל</w:t>
            </w:r>
          </w:p>
          <w:p w:rsidR="00BC7619" w:rsidRPr="00D515E2" w:rsidRDefault="00BC7619" w:rsidP="00834D85">
            <w:pPr>
              <w:ind w:right="-101"/>
              <w:jc w:val="center"/>
            </w:pPr>
            <w:r w:rsidRPr="00D515E2">
              <w:rPr>
                <w:rtl/>
              </w:rPr>
              <w:t>דוברות והסברה כלכלית</w:t>
            </w:r>
          </w:p>
        </w:tc>
        <w:tc>
          <w:tcPr>
            <w:tcW w:w="2596" w:type="dxa"/>
            <w:tcBorders>
              <w:top w:val="nil"/>
              <w:left w:val="nil"/>
              <w:bottom w:val="nil"/>
              <w:right w:val="nil"/>
            </w:tcBorders>
          </w:tcPr>
          <w:p w:rsidR="00BC7619" w:rsidRPr="00D515E2" w:rsidRDefault="00BC7619" w:rsidP="00834D85">
            <w:pPr>
              <w:jc w:val="center"/>
            </w:pPr>
            <w:r w:rsidRPr="00D515E2">
              <w:rPr>
                <w:noProof/>
              </w:rPr>
              <w:drawing>
                <wp:inline distT="0" distB="0" distL="0" distR="0" wp14:anchorId="1B43BE16" wp14:editId="10E00A91">
                  <wp:extent cx="914400" cy="91440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tc>
        <w:tc>
          <w:tcPr>
            <w:tcW w:w="3084" w:type="dxa"/>
            <w:tcBorders>
              <w:top w:val="nil"/>
              <w:left w:val="nil"/>
              <w:bottom w:val="nil"/>
              <w:right w:val="nil"/>
            </w:tcBorders>
            <w:vAlign w:val="center"/>
          </w:tcPr>
          <w:p w:rsidR="00BC7619" w:rsidRPr="00024B29" w:rsidRDefault="00BC7619" w:rsidP="00114EE1">
            <w:pPr>
              <w:spacing w:line="480" w:lineRule="auto"/>
              <w:jc w:val="right"/>
              <w:rPr>
                <w:highlight w:val="yellow"/>
              </w:rPr>
            </w:pPr>
            <w:r w:rsidRPr="00D515E2">
              <w:rPr>
                <w:rFonts w:hint="eastAsia"/>
                <w:rtl/>
              </w:rPr>
              <w:t>‏</w:t>
            </w:r>
            <w:r w:rsidRPr="006C2DBF">
              <w:rPr>
                <w:rtl/>
              </w:rPr>
              <w:t xml:space="preserve">ירושלים, </w:t>
            </w:r>
            <w:r w:rsidR="00CC7DA0" w:rsidRPr="006C2DBF">
              <w:rPr>
                <w:rFonts w:hint="eastAsia"/>
                <w:rtl/>
              </w:rPr>
              <w:t>‏</w:t>
            </w:r>
            <w:r w:rsidR="00D265FC" w:rsidRPr="006C2DBF">
              <w:rPr>
                <w:rFonts w:hint="eastAsia"/>
                <w:rtl/>
              </w:rPr>
              <w:t>‏</w:t>
            </w:r>
            <w:r w:rsidR="006C2DBF" w:rsidRPr="006C2DBF">
              <w:rPr>
                <w:rFonts w:hint="eastAsia"/>
                <w:rtl/>
              </w:rPr>
              <w:t>‏</w:t>
            </w:r>
            <w:r w:rsidR="00114EE1">
              <w:rPr>
                <w:rFonts w:hint="cs"/>
                <w:rtl/>
              </w:rPr>
              <w:t>כ"ה</w:t>
            </w:r>
            <w:r w:rsidR="006C2DBF" w:rsidRPr="006C2DBF">
              <w:rPr>
                <w:rtl/>
              </w:rPr>
              <w:t xml:space="preserve"> כסלו, תשפ"ג</w:t>
            </w:r>
          </w:p>
          <w:p w:rsidR="00BC7619" w:rsidRPr="00D515E2" w:rsidRDefault="00BC7619" w:rsidP="00114EE1">
            <w:pPr>
              <w:spacing w:line="480" w:lineRule="auto"/>
              <w:jc w:val="right"/>
            </w:pPr>
            <w:r w:rsidRPr="00024B29">
              <w:rPr>
                <w:rFonts w:hint="eastAsia"/>
                <w:highlight w:val="yellow"/>
                <w:rtl/>
              </w:rPr>
              <w:t>‏‏</w:t>
            </w:r>
            <w:r w:rsidR="00CC7DA0" w:rsidRPr="00024B29">
              <w:rPr>
                <w:rFonts w:hint="eastAsia"/>
                <w:highlight w:val="yellow"/>
                <w:rtl/>
              </w:rPr>
              <w:t>‏</w:t>
            </w:r>
            <w:r w:rsidR="00D265FC" w:rsidRPr="00024B29">
              <w:rPr>
                <w:rFonts w:hint="eastAsia"/>
                <w:highlight w:val="yellow"/>
                <w:rtl/>
              </w:rPr>
              <w:t>‏</w:t>
            </w:r>
            <w:r w:rsidR="006C2DBF">
              <w:rPr>
                <w:rFonts w:hint="eastAsia"/>
                <w:highlight w:val="yellow"/>
                <w:rtl/>
              </w:rPr>
              <w:t>‏</w:t>
            </w:r>
            <w:r w:rsidR="00114EE1">
              <w:rPr>
                <w:rFonts w:hint="cs"/>
                <w:rtl/>
              </w:rPr>
              <w:t>19</w:t>
            </w:r>
            <w:r w:rsidR="006C2DBF" w:rsidRPr="006C2DBF">
              <w:rPr>
                <w:rtl/>
              </w:rPr>
              <w:t xml:space="preserve"> </w:t>
            </w:r>
            <w:r w:rsidR="00114EE1">
              <w:rPr>
                <w:rFonts w:hint="cs"/>
                <w:rtl/>
              </w:rPr>
              <w:t>בדצמבר</w:t>
            </w:r>
            <w:r w:rsidR="006C2DBF" w:rsidRPr="006C2DBF">
              <w:rPr>
                <w:rtl/>
              </w:rPr>
              <w:t>, 2022</w:t>
            </w:r>
          </w:p>
        </w:tc>
      </w:tr>
    </w:tbl>
    <w:p w:rsidR="00BC7619" w:rsidRPr="00D515E2" w:rsidRDefault="00BC7619" w:rsidP="00BC7619">
      <w:pPr>
        <w:spacing w:before="240"/>
        <w:ind w:right="-102"/>
        <w:rPr>
          <w:rtl/>
        </w:rPr>
      </w:pPr>
      <w:r w:rsidRPr="00D515E2">
        <w:rPr>
          <w:rtl/>
        </w:rPr>
        <w:t>הודעה לעיתונות:</w:t>
      </w:r>
    </w:p>
    <w:p w:rsidR="003F5D40" w:rsidRPr="003812A7" w:rsidRDefault="003F5D40" w:rsidP="003F5D40">
      <w:pPr>
        <w:rPr>
          <w:rFonts w:asciiTheme="minorBidi" w:hAnsiTheme="minorBidi"/>
          <w:rtl/>
        </w:rPr>
      </w:pPr>
    </w:p>
    <w:p w:rsidR="003F5D40" w:rsidRPr="00D71FD8" w:rsidRDefault="00CC7DA0" w:rsidP="00114EE1">
      <w:pPr>
        <w:jc w:val="center"/>
        <w:rPr>
          <w:rStyle w:val="a3"/>
          <w:sz w:val="28"/>
          <w:szCs w:val="28"/>
          <w:rtl/>
        </w:rPr>
      </w:pPr>
      <w:r>
        <w:rPr>
          <w:rStyle w:val="a3"/>
          <w:rFonts w:hint="cs"/>
          <w:sz w:val="28"/>
          <w:szCs w:val="28"/>
          <w:rtl/>
        </w:rPr>
        <w:t xml:space="preserve">כנס </w:t>
      </w:r>
      <w:r w:rsidR="00114EE1">
        <w:rPr>
          <w:rStyle w:val="a3"/>
          <w:rFonts w:hint="cs"/>
          <w:sz w:val="28"/>
          <w:szCs w:val="28"/>
          <w:rtl/>
        </w:rPr>
        <w:t>חטיבת המחקר</w:t>
      </w:r>
      <w:r>
        <w:rPr>
          <w:rStyle w:val="a3"/>
          <w:rFonts w:hint="cs"/>
          <w:sz w:val="28"/>
          <w:szCs w:val="28"/>
          <w:rtl/>
        </w:rPr>
        <w:t xml:space="preserve"> בנושא</w:t>
      </w:r>
      <w:r w:rsidR="003516D5">
        <w:rPr>
          <w:rStyle w:val="a3"/>
          <w:rFonts w:hint="cs"/>
          <w:sz w:val="28"/>
          <w:szCs w:val="28"/>
          <w:rtl/>
        </w:rPr>
        <w:t xml:space="preserve"> </w:t>
      </w:r>
      <w:r w:rsidR="00114EE1">
        <w:rPr>
          <w:rStyle w:val="a3"/>
          <w:rFonts w:hint="cs"/>
          <w:sz w:val="28"/>
          <w:szCs w:val="28"/>
          <w:rtl/>
        </w:rPr>
        <w:t>הון אנושי ושוק העבודה</w:t>
      </w:r>
    </w:p>
    <w:p w:rsidR="003F5D40" w:rsidRPr="0004703D" w:rsidRDefault="003F5D40" w:rsidP="003F5D40">
      <w:pPr>
        <w:rPr>
          <w:rFonts w:asciiTheme="minorBidi" w:hAnsiTheme="minorBidi"/>
          <w:b/>
          <w:bCs/>
          <w:rtl/>
        </w:rPr>
      </w:pPr>
    </w:p>
    <w:p w:rsidR="00CC7DA0" w:rsidRDefault="00CC7DA0" w:rsidP="00BD3610">
      <w:pPr>
        <w:rPr>
          <w:rFonts w:asciiTheme="majorBidi" w:eastAsiaTheme="minorHAnsi" w:hAnsiTheme="majorBidi"/>
          <w:color w:val="000000"/>
          <w:rtl/>
        </w:rPr>
      </w:pPr>
      <w:r w:rsidRPr="00435D27">
        <w:rPr>
          <w:rtl/>
        </w:rPr>
        <w:t xml:space="preserve">כנס </w:t>
      </w:r>
      <w:r w:rsidR="00114EE1">
        <w:rPr>
          <w:rFonts w:hint="cs"/>
          <w:rtl/>
        </w:rPr>
        <w:t>חטיבת המחקר</w:t>
      </w:r>
      <w:r w:rsidRPr="00435D27">
        <w:rPr>
          <w:rtl/>
        </w:rPr>
        <w:t xml:space="preserve"> בנושא</w:t>
      </w:r>
      <w:r w:rsidRPr="00435D27">
        <w:rPr>
          <w:b/>
          <w:bCs/>
          <w:rtl/>
        </w:rPr>
        <w:t> </w:t>
      </w:r>
      <w:r w:rsidR="00114EE1">
        <w:rPr>
          <w:rFonts w:hint="cs"/>
          <w:b/>
          <w:bCs/>
          <w:rtl/>
        </w:rPr>
        <w:t>הון אנושי ושוק העבודה</w:t>
      </w:r>
      <w:r w:rsidRPr="00435D27">
        <w:rPr>
          <w:rFonts w:hint="cs"/>
          <w:rtl/>
        </w:rPr>
        <w:t xml:space="preserve"> </w:t>
      </w:r>
      <w:r w:rsidR="00435D27">
        <w:rPr>
          <w:rFonts w:hint="cs"/>
          <w:rtl/>
        </w:rPr>
        <w:t>ש</w:t>
      </w:r>
      <w:r w:rsidR="00435D27" w:rsidRPr="00435D27">
        <w:rPr>
          <w:rFonts w:hint="cs"/>
          <w:rtl/>
        </w:rPr>
        <w:t>נערך היום</w:t>
      </w:r>
      <w:r w:rsidR="00024B29">
        <w:rPr>
          <w:rFonts w:hint="cs"/>
          <w:rtl/>
        </w:rPr>
        <w:t>,</w:t>
      </w:r>
      <w:r w:rsidR="00435D27" w:rsidRPr="00435D27">
        <w:rPr>
          <w:rFonts w:hint="cs"/>
          <w:rtl/>
        </w:rPr>
        <w:t xml:space="preserve"> </w:t>
      </w:r>
      <w:r w:rsidR="00435D27">
        <w:rPr>
          <w:rFonts w:hint="cs"/>
          <w:rtl/>
        </w:rPr>
        <w:t>עוסק</w:t>
      </w:r>
      <w:r w:rsidR="00435D27" w:rsidRPr="00435D27">
        <w:rPr>
          <w:rFonts w:hint="cs"/>
          <w:rtl/>
        </w:rPr>
        <w:t xml:space="preserve"> </w:t>
      </w:r>
      <w:r w:rsidR="00BD3610">
        <w:rPr>
          <w:rFonts w:hint="cs"/>
          <w:rtl/>
        </w:rPr>
        <w:t>בהשפעות ההון האנושי, ב</w:t>
      </w:r>
      <w:r w:rsidR="00114EE1">
        <w:rPr>
          <w:rFonts w:hint="cs"/>
          <w:rtl/>
        </w:rPr>
        <w:t xml:space="preserve">כל היבטיו על עולם התעסוקה, ומתמקד בסוגיות פרטניות </w:t>
      </w:r>
      <w:r w:rsidR="00BD3610">
        <w:rPr>
          <w:rFonts w:hint="cs"/>
          <w:rtl/>
        </w:rPr>
        <w:t>שנוגעות</w:t>
      </w:r>
      <w:r w:rsidR="00114EE1">
        <w:rPr>
          <w:rFonts w:hint="cs"/>
          <w:rtl/>
        </w:rPr>
        <w:t xml:space="preserve"> בשוק העבודה </w:t>
      </w:r>
      <w:r w:rsidR="00114EE1">
        <w:rPr>
          <w:rFonts w:asciiTheme="majorBidi" w:eastAsiaTheme="minorHAnsi" w:hAnsiTheme="majorBidi" w:hint="cs"/>
          <w:color w:val="000000"/>
          <w:rtl/>
        </w:rPr>
        <w:t>בתחומים מרכזיים.</w:t>
      </w:r>
    </w:p>
    <w:p w:rsidR="00114EE1" w:rsidRPr="006C2DBF" w:rsidRDefault="00114EE1" w:rsidP="00AD3BE2">
      <w:pPr>
        <w:rPr>
          <w:rFonts w:asciiTheme="majorBidi" w:eastAsiaTheme="minorHAnsi" w:hAnsiTheme="majorBidi"/>
          <w:color w:val="000000"/>
          <w:rtl/>
        </w:rPr>
      </w:pPr>
      <w:r>
        <w:rPr>
          <w:rFonts w:asciiTheme="majorBidi" w:eastAsiaTheme="minorHAnsi" w:hAnsiTheme="majorBidi" w:hint="cs"/>
          <w:color w:val="000000"/>
          <w:rtl/>
        </w:rPr>
        <w:t xml:space="preserve">בכנס </w:t>
      </w:r>
      <w:r w:rsidR="00AD3BE2">
        <w:rPr>
          <w:rFonts w:asciiTheme="majorBidi" w:eastAsiaTheme="minorHAnsi" w:hAnsiTheme="majorBidi" w:hint="cs"/>
          <w:color w:val="000000"/>
          <w:rtl/>
        </w:rPr>
        <w:t xml:space="preserve">הוצגו מחקרים של חוקרי החטיבה העוסקים בשוק העבודה, התקיים ריאיון עם הפרופ' </w:t>
      </w:r>
      <w:proofErr w:type="spellStart"/>
      <w:r w:rsidR="00AD3BE2">
        <w:rPr>
          <w:rFonts w:asciiTheme="majorBidi" w:eastAsiaTheme="minorHAnsi" w:hAnsiTheme="majorBidi" w:hint="cs"/>
          <w:color w:val="000000"/>
          <w:rtl/>
        </w:rPr>
        <w:t>ג'וש</w:t>
      </w:r>
      <w:proofErr w:type="spellEnd"/>
      <w:r w:rsidR="00AD3BE2">
        <w:rPr>
          <w:rFonts w:asciiTheme="majorBidi" w:eastAsiaTheme="minorHAnsi" w:hAnsiTheme="majorBidi" w:hint="cs"/>
          <w:color w:val="000000"/>
          <w:rtl/>
        </w:rPr>
        <w:t xml:space="preserve"> </w:t>
      </w:r>
      <w:proofErr w:type="spellStart"/>
      <w:r w:rsidR="00AD3BE2">
        <w:rPr>
          <w:rFonts w:asciiTheme="majorBidi" w:eastAsiaTheme="minorHAnsi" w:hAnsiTheme="majorBidi" w:hint="cs"/>
          <w:color w:val="000000"/>
          <w:rtl/>
        </w:rPr>
        <w:t>אנגריסט</w:t>
      </w:r>
      <w:proofErr w:type="spellEnd"/>
      <w:r w:rsidR="00AD3BE2">
        <w:rPr>
          <w:rFonts w:asciiTheme="majorBidi" w:eastAsiaTheme="minorHAnsi" w:hAnsiTheme="majorBidi" w:hint="cs"/>
          <w:color w:val="000000"/>
          <w:rtl/>
        </w:rPr>
        <w:t>, זוכה פרס נובל לכלכלה בשנת 2021 והתקיים פאנל מומחים מהאקדמיה ומהשירות הציבורי.</w:t>
      </w:r>
    </w:p>
    <w:p w:rsidR="008F4B52" w:rsidRPr="006363B7" w:rsidRDefault="003F5D40" w:rsidP="00085F4A">
      <w:pPr>
        <w:rPr>
          <w:rFonts w:ascii="David" w:hAnsi="David"/>
          <w:rtl/>
        </w:rPr>
      </w:pPr>
      <w:r w:rsidRPr="00435D27">
        <w:rPr>
          <w:rFonts w:hint="cs"/>
          <w:rtl/>
        </w:rPr>
        <w:t>נגיד בנק ישראל</w:t>
      </w:r>
      <w:r>
        <w:rPr>
          <w:rFonts w:hint="cs"/>
          <w:rtl/>
        </w:rPr>
        <w:t xml:space="preserve">, </w:t>
      </w:r>
      <w:r w:rsidRPr="00435D27">
        <w:rPr>
          <w:rFonts w:hint="cs"/>
          <w:b/>
          <w:bCs/>
          <w:rtl/>
        </w:rPr>
        <w:t>פרופ' אמיר ירון</w:t>
      </w:r>
      <w:r>
        <w:rPr>
          <w:rFonts w:hint="cs"/>
          <w:rtl/>
        </w:rPr>
        <w:t>, פתח את הכנס</w:t>
      </w:r>
      <w:r w:rsidR="008F4B52">
        <w:rPr>
          <w:rFonts w:hint="cs"/>
          <w:rtl/>
        </w:rPr>
        <w:t xml:space="preserve"> </w:t>
      </w:r>
      <w:r w:rsidR="00085F4A">
        <w:rPr>
          <w:rFonts w:ascii="David" w:hAnsi="David" w:hint="cs"/>
          <w:rtl/>
        </w:rPr>
        <w:t xml:space="preserve">וציין </w:t>
      </w:r>
      <w:r w:rsidR="00AD3BE2">
        <w:rPr>
          <w:rFonts w:ascii="David" w:hAnsi="David" w:hint="cs"/>
          <w:rtl/>
        </w:rPr>
        <w:t xml:space="preserve">כמה ההון האנושי ושוק העבודה הוא נושא כלכלי משמעותי וחשוב. הנגיד סקר את מצב שוק העבודה בישראל והרחיב על הצעדים הנדרשים בעתיד. הנגיד הדגיש </w:t>
      </w:r>
      <w:r w:rsidR="006363B7">
        <w:rPr>
          <w:rFonts w:ascii="David" w:hAnsi="David" w:hint="cs"/>
          <w:rtl/>
        </w:rPr>
        <w:t>את חשיבותו של ה</w:t>
      </w:r>
      <w:r w:rsidR="00AD3BE2">
        <w:rPr>
          <w:rFonts w:ascii="David" w:hAnsi="David" w:hint="cs"/>
          <w:rtl/>
        </w:rPr>
        <w:t xml:space="preserve">הון אנושי </w:t>
      </w:r>
      <w:r w:rsidR="006363B7">
        <w:rPr>
          <w:rFonts w:ascii="David" w:hAnsi="David" w:hint="cs"/>
          <w:rtl/>
        </w:rPr>
        <w:t xml:space="preserve">בסביבת העבודה ומחוצה לה, והשפעותיו על שוק העבודה ועל הקידמה הטכנולוגית. ההון האנושי </w:t>
      </w:r>
      <w:r w:rsidR="00AD3BE2">
        <w:rPr>
          <w:rFonts w:ascii="David" w:hAnsi="David" w:hint="cs"/>
          <w:rtl/>
        </w:rPr>
        <w:t>הוא אחד התורמים הראשיים לצמיחה כלכלית ו</w:t>
      </w:r>
      <w:r w:rsidR="00085F4A">
        <w:rPr>
          <w:rFonts w:ascii="David" w:hAnsi="David" w:hint="cs"/>
          <w:rtl/>
        </w:rPr>
        <w:t xml:space="preserve">הנגיד </w:t>
      </w:r>
      <w:r w:rsidR="00AD3BE2">
        <w:rPr>
          <w:rFonts w:ascii="David" w:hAnsi="David" w:hint="cs"/>
          <w:rtl/>
        </w:rPr>
        <w:t>הצי</w:t>
      </w:r>
      <w:r w:rsidR="00BD3610">
        <w:rPr>
          <w:rFonts w:ascii="David" w:hAnsi="David" w:hint="cs"/>
          <w:rtl/>
        </w:rPr>
        <w:t>ג</w:t>
      </w:r>
      <w:r w:rsidR="00AD3BE2">
        <w:rPr>
          <w:rFonts w:ascii="David" w:hAnsi="David" w:hint="cs"/>
          <w:rtl/>
        </w:rPr>
        <w:t xml:space="preserve"> נתונים עדכניים ממחקרים על ההשפעה החיובית הישירה של השכלה על הגדלת פריון, הגדלת ההכנסה וצמצום אי השוויון.</w:t>
      </w:r>
    </w:p>
    <w:p w:rsidR="00D953EC" w:rsidRPr="004D00B5" w:rsidRDefault="00AD3BE2" w:rsidP="004D00B5">
      <w:pPr>
        <w:spacing w:before="240"/>
        <w:rPr>
          <w:rtl/>
        </w:rPr>
      </w:pPr>
      <w:r>
        <w:rPr>
          <w:rFonts w:ascii="David" w:hAnsi="David" w:hint="cs"/>
          <w:rtl/>
        </w:rPr>
        <w:t>הנגיד עסק בחשיבות ההשקעה בגילאים הצעירים ועל התרומה העתידית של השקעה זו ל</w:t>
      </w:r>
      <w:r w:rsidR="00BD3610">
        <w:rPr>
          <w:rFonts w:ascii="David" w:hAnsi="David" w:hint="cs"/>
          <w:rtl/>
        </w:rPr>
        <w:t>שיפור אורח החיים ורמת החיים בתחומים רבים. הנגיד הדגיש את החשיבות של שיפור מערכת החינוך למען שיפור ההון האנושי של הגיל הצעיר. הבנק הגיש לממשלה המלצות בנושא זה במסגרת דו"ח הפריון ובמסמכים אחרים.</w:t>
      </w:r>
      <w:r w:rsidR="006363B7">
        <w:rPr>
          <w:rFonts w:ascii="David" w:hAnsi="David" w:hint="cs"/>
          <w:rtl/>
        </w:rPr>
        <w:t xml:space="preserve"> </w:t>
      </w:r>
      <w:r w:rsidR="00CC7DA0" w:rsidRPr="004D00B5">
        <w:rPr>
          <w:rFonts w:hint="cs"/>
          <w:rtl/>
        </w:rPr>
        <w:t>ל</w:t>
      </w:r>
      <w:r w:rsidR="006363B7" w:rsidRPr="004D00B5">
        <w:rPr>
          <w:rFonts w:hint="cs"/>
          <w:rtl/>
        </w:rPr>
        <w:t>ינק ל</w:t>
      </w:r>
      <w:r w:rsidR="004D00B5">
        <w:rPr>
          <w:rFonts w:hint="cs"/>
          <w:rtl/>
        </w:rPr>
        <w:t>דבריו המלאים של הנגיד.</w:t>
      </w:r>
      <w:bookmarkStart w:id="0" w:name="_GoBack"/>
      <w:bookmarkEnd w:id="0"/>
    </w:p>
    <w:p w:rsidR="0097295E" w:rsidRDefault="0097295E" w:rsidP="008F4B52">
      <w:pPr>
        <w:spacing w:before="240"/>
        <w:rPr>
          <w:rtl/>
        </w:rPr>
      </w:pPr>
    </w:p>
    <w:p w:rsidR="0097295E" w:rsidRDefault="0097295E" w:rsidP="0097295E">
      <w:pPr>
        <w:rPr>
          <w:rFonts w:ascii="Arial" w:hAnsi="Arial" w:cs="Arial"/>
          <w:sz w:val="22"/>
          <w:szCs w:val="22"/>
        </w:rPr>
      </w:pPr>
      <w:r>
        <w:rPr>
          <w:rFonts w:hint="cs"/>
          <w:b/>
          <w:bCs/>
          <w:rtl/>
        </w:rPr>
        <w:t>פרופ' מישל סטרבצ'ינסקי, מנהל חטיבת המחקר</w:t>
      </w:r>
      <w:r w:rsidR="0028339B">
        <w:rPr>
          <w:rFonts w:hint="cs"/>
          <w:b/>
          <w:bCs/>
          <w:rtl/>
        </w:rPr>
        <w:t xml:space="preserve"> מסר:</w:t>
      </w:r>
      <w:r>
        <w:rPr>
          <w:rFonts w:hint="cs"/>
          <w:rtl/>
        </w:rPr>
        <w:t xml:space="preserve"> </w:t>
      </w:r>
      <w:r w:rsidRPr="0097295E">
        <w:rPr>
          <w:rFonts w:ascii="David" w:hAnsi="David"/>
          <w:rtl/>
        </w:rPr>
        <w:t>"בשנים האחרונות ישראל אינה מצטיינת במבחנים הבינלאומיים שבודקים ידע בסיס</w:t>
      </w:r>
      <w:r w:rsidR="00622446">
        <w:rPr>
          <w:rFonts w:ascii="David" w:hAnsi="David"/>
          <w:rtl/>
        </w:rPr>
        <w:t xml:space="preserve">י בתחומים העיקריים המשפיעים על </w:t>
      </w:r>
      <w:r w:rsidRPr="0097295E">
        <w:rPr>
          <w:rFonts w:ascii="David" w:hAnsi="David"/>
          <w:rtl/>
        </w:rPr>
        <w:t>תפקוד שוק העבודה – הן ברמה של תלמידי בתי הספר והן ברמה של המבוגרים. בנוסף, הרכב האוכלוסייה שצפוי במדינה בשלושים השנים הבאות מספק אתגר משמעותי במיוחד לאור הגידול של קבוצות חלשות שיהוו חלק ניכר מהאוכלוסייה בגיל העבודה. האתגר המשמעותי ביותר של המשק בהסתכלות עתידית הוא ליצור את התנאים כדי שהאוכלוסייה הצעירה תקבל את הכלים הנכונים להתמודדות עם אתגרי כלכלת העתיד - הכוללים ידע במקצועות שמאפשרים להתברג בענפי הטכנולוגיה העילית. הדגש שניתן בכנס על מחקרים בתחומים אלה והדעות שהושמעו על ידי המומחים במסגרת הפ</w:t>
      </w:r>
      <w:r w:rsidR="00622446">
        <w:rPr>
          <w:rFonts w:ascii="David" w:hAnsi="David" w:hint="cs"/>
          <w:rtl/>
        </w:rPr>
        <w:t>א</w:t>
      </w:r>
      <w:r w:rsidRPr="0097295E">
        <w:rPr>
          <w:rFonts w:ascii="David" w:hAnsi="David"/>
          <w:rtl/>
        </w:rPr>
        <w:t xml:space="preserve">נל נותנים תקווה שניתן יהיה לבצע רפורמות על ידי הממשלה ולהפעיל כלי מדיניות שישנו את כיוון המסלול המסתמן. אמירה זו רלבנטית במיוחד לממשלה החדשה שמתגבשת בימים אלה." </w:t>
      </w:r>
    </w:p>
    <w:p w:rsidR="0097295E" w:rsidRDefault="0097295E" w:rsidP="003E74A2">
      <w:pPr>
        <w:spacing w:before="240"/>
        <w:rPr>
          <w:rtl/>
        </w:rPr>
      </w:pPr>
      <w:r>
        <w:rPr>
          <w:rFonts w:hint="cs"/>
          <w:rtl/>
        </w:rPr>
        <w:lastRenderedPageBreak/>
        <w:t>להלן</w:t>
      </w:r>
      <w:r w:rsidR="003E74A2">
        <w:rPr>
          <w:rFonts w:hint="cs"/>
          <w:rtl/>
        </w:rPr>
        <w:t xml:space="preserve"> תמצית הנושאים שעלו בתכנים השונים שהוצגו בכנס:</w:t>
      </w:r>
    </w:p>
    <w:p w:rsidR="0097295E" w:rsidRPr="0097295E" w:rsidRDefault="00622446" w:rsidP="00622446">
      <w:pPr>
        <w:bidi w:val="0"/>
        <w:spacing w:before="240"/>
        <w:rPr>
          <w:b/>
          <w:bCs/>
        </w:rPr>
      </w:pPr>
      <w:r>
        <w:rPr>
          <w:rFonts w:hint="cs"/>
          <w:b/>
          <w:bCs/>
        </w:rPr>
        <w:t>T</w:t>
      </w:r>
      <w:r>
        <w:rPr>
          <w:b/>
          <w:bCs/>
        </w:rPr>
        <w:t>he Effects of a Retirement Age Reform on Couples' Labor Supply Decisions</w:t>
      </w:r>
    </w:p>
    <w:p w:rsidR="0097295E" w:rsidRDefault="0097295E" w:rsidP="0097295E">
      <w:pPr>
        <w:spacing w:before="240"/>
        <w:rPr>
          <w:b/>
          <w:bCs/>
          <w:rtl/>
        </w:rPr>
      </w:pPr>
      <w:r w:rsidRPr="0097295E">
        <w:rPr>
          <w:rtl/>
        </w:rPr>
        <w:t>המחקר של שירלי ליכטמן-שדות ואדית זנד בחן את השפעת העלאת גיל הפרישה הרשמי במהלך שנות ה</w:t>
      </w:r>
      <w:r w:rsidR="00AB0706">
        <w:rPr>
          <w:rFonts w:hint="cs"/>
          <w:rtl/>
        </w:rPr>
        <w:t>-</w:t>
      </w:r>
      <w:r w:rsidRPr="0097295E">
        <w:rPr>
          <w:rtl/>
        </w:rPr>
        <w:t>2000 על החלטות התעסוקה של זוגות נשואים.</w:t>
      </w:r>
      <w:r w:rsidRPr="0097295E">
        <w:t xml:space="preserve"> </w:t>
      </w:r>
      <w:r w:rsidRPr="0097295E">
        <w:rPr>
          <w:rtl/>
        </w:rPr>
        <w:t>בעבודה זו, נאמדו החלטות הפרישה של זוגות נשואים והתלות האפשרית ביניהן, תוך שימוש בקובץ מפורט של נתונים אדמיניסטרטיביים. תוצאות המחקר מראות כי העלאת גיל הפרישה הרשמי של פרטים מגדילה את היצע העבודה שלהם. עם זאת, ההשפעות הצולבות בין בני הזוג שונות לפי מגדר. היצע העבודה של גברים אינו מושפע מהעלאת גיל הפרישה הרשמי של בנות זוגם. מנגד, העלאת גיל הפרישה הרשמי של גברים תרמה לעליה בגיל הפרישה בפועל של נשותיהם, אם בת הזוג לא הגיעה לגיל הפרישה הרשמי.</w:t>
      </w:r>
      <w:r w:rsidRPr="0097295E">
        <w:t xml:space="preserve"> </w:t>
      </w:r>
      <w:r w:rsidRPr="0097295E">
        <w:rPr>
          <w:rtl/>
        </w:rPr>
        <w:t>הממצאים על השפעות ההדדיות בהעלאת גיל הפרישה הרשמי של בני זוג על מאפייני השתתפותם בשוק העבודה מלמדים כי חשוב לנתח את העלאת גיל הפרישה בקונטקסט זוגי, משום שהדבר יאפשר לאמוד נכון את השפעות ההעלאה ולעצב באופן מיטבי רפורמות פנסיוניות עתידיות.</w:t>
      </w:r>
    </w:p>
    <w:p w:rsidR="0097295E" w:rsidRPr="0097295E" w:rsidRDefault="0097295E" w:rsidP="0097295E">
      <w:pPr>
        <w:spacing w:before="240"/>
      </w:pPr>
      <w:r w:rsidRPr="0097295E">
        <w:rPr>
          <w:rFonts w:hint="cs"/>
          <w:b/>
          <w:bCs/>
          <w:rtl/>
        </w:rPr>
        <w:t>השפעת אירועים ביטחוניים על התעסוקה של ערביי ישראל</w:t>
      </w:r>
    </w:p>
    <w:p w:rsidR="0097295E" w:rsidRPr="0097295E" w:rsidRDefault="0097295E" w:rsidP="0097295E">
      <w:pPr>
        <w:spacing w:before="240"/>
      </w:pPr>
      <w:r w:rsidRPr="0097295E">
        <w:rPr>
          <w:rFonts w:hint="cs"/>
          <w:rtl/>
        </w:rPr>
        <w:t>המחקר של נדב צבי ונעם זוסמן בוחן את השפעת מלחמת "לבנון השנייה" והמבצעים הצבאיים ברצועת עזה (במבצעים "עופרת יצוקה", "עמוד ענן" ו"צוק איתן") על סיכויי ההיפרדות מעסקים בבעלות יהודית במגזר העסקי של עובדים ערבים לעומת עמיתים לעבודה יהודים דומים להם.</w:t>
      </w:r>
    </w:p>
    <w:p w:rsidR="0097295E" w:rsidRPr="0097295E" w:rsidRDefault="0097295E" w:rsidP="0097295E">
      <w:pPr>
        <w:spacing w:before="240"/>
        <w:rPr>
          <w:rtl/>
        </w:rPr>
      </w:pPr>
      <w:r w:rsidRPr="0097295E">
        <w:rPr>
          <w:rFonts w:hint="cs"/>
          <w:rtl/>
        </w:rPr>
        <w:t>באופן כללי השפעת האירועים על סיכויי ההיפרדות היחסיים של עובדים ערבים קטנה: הסיכויים פחתו בשלושת החודשים שלאחר מלחמת "לבנון השנייה" ב-0.7 נקודת אחוז (לפני המלחמה הסיכויים היחסיים של ערבים היו נמוכים ב-2.6 נקודות אחוז); לאחר המבצעים "עופרת יצוקה" ו"עמוד ענן" – שהיו בעוצמה נמוכה בהרבה מהאירועים האחרים – לא חל שינוי בסיכויי ההיפרדות היחסיים, ואילו לאחר "צוק איתן" הם עלו ב-0.8 נקודת אחוז בכל הארץ (לפני המבצע הסיכויים היחסיים של ערבים היו נמוכים ב-1.4 נקודות אחוז) וב-2.2 נקודות אחוז במחוז הדרום. במהלך השנה לאחר סיום מלחמת "לבנון השנייה" חזרו סיכויי ההיפרדות היחסיים לרמתם לפני כן, ובשנה שלאחר "צוק איתן" הצטמצמה העלייה אבל נותרה מובהקת.</w:t>
      </w:r>
    </w:p>
    <w:p w:rsidR="0097295E" w:rsidRPr="0097295E" w:rsidRDefault="0097295E" w:rsidP="0097295E">
      <w:pPr>
        <w:tabs>
          <w:tab w:val="clear" w:pos="567"/>
          <w:tab w:val="clear" w:pos="1134"/>
        </w:tabs>
        <w:spacing w:before="240"/>
        <w:rPr>
          <w:rtl/>
        </w:rPr>
      </w:pPr>
      <w:r w:rsidRPr="0097295E">
        <w:rPr>
          <w:b/>
          <w:bCs/>
          <w:rtl/>
        </w:rPr>
        <w:t>חדלות פירעון של יחידים: אשראי צרכני, מחזור העסקים ומדד "היד הרכה"</w:t>
      </w:r>
    </w:p>
    <w:p w:rsidR="0097295E" w:rsidRDefault="0097295E" w:rsidP="00085F4A">
      <w:pPr>
        <w:spacing w:before="240"/>
        <w:rPr>
          <w:rtl/>
        </w:rPr>
      </w:pPr>
      <w:r w:rsidRPr="0097295E">
        <w:rPr>
          <w:rtl/>
        </w:rPr>
        <w:t xml:space="preserve">מחקרם של </w:t>
      </w:r>
      <w:r w:rsidR="00085F4A">
        <w:rPr>
          <w:rFonts w:hint="cs"/>
          <w:rtl/>
        </w:rPr>
        <w:t>מורן אופיר</w:t>
      </w:r>
      <w:r w:rsidRPr="0097295E">
        <w:rPr>
          <w:rtl/>
        </w:rPr>
        <w:t xml:space="preserve">, </w:t>
      </w:r>
      <w:r w:rsidR="00085F4A">
        <w:rPr>
          <w:rFonts w:hint="cs"/>
          <w:rtl/>
        </w:rPr>
        <w:t>יהונתן ברזני</w:t>
      </w:r>
      <w:r w:rsidRPr="0097295E">
        <w:rPr>
          <w:rtl/>
        </w:rPr>
        <w:t xml:space="preserve"> ו</w:t>
      </w:r>
      <w:r w:rsidR="00085F4A">
        <w:rPr>
          <w:rFonts w:hint="cs"/>
          <w:rtl/>
        </w:rPr>
        <w:t>רועי שטיין</w:t>
      </w:r>
      <w:r w:rsidRPr="0097295E">
        <w:rPr>
          <w:rtl/>
        </w:rPr>
        <w:t xml:space="preserve"> עוסק בהתפתחות שיעור חדלות הפירעון של יחידים (משקי בית ועוסקים מורשים) בישראל המוסבר על ידי שני סוגים של משתנים: משפטיים/חברתיים ומאקרו כלכליים. שיעור חדלות הפירעון של יחידים משפיע בערוצים רבים על הפעילות הכלכלית, ובפרט על עומקו של מחזור העסקים ועל פריון העבודה. השיקולים המשפיעים על ההחלטה לפתוח תיק חדלות פירעון אינם נסמכים רק על המצב הכלכלי והפיננסי של החייב, אלא גם ואף בעיקר על המסגרת המשפטית המסדירה את ההליכים ואופן הפעלתם בבתי המשפט וכן על מרכיבים חברתיים ותרבותיים הקשורים לתפיסה של ההליך על ידי החברה והמדינה. מדד "היד הרכה", אותו אנו מפתחים לראשונה בישראל, מייצג את השיקולים המשפטיים והחברתיים המהווים את סביבת קבלת ההחלטות לפתיחת תיק חדלות פירעון של יחידים. מדד "היד הרכה" </w:t>
      </w:r>
      <w:r w:rsidRPr="0097295E">
        <w:rPr>
          <w:rtl/>
        </w:rPr>
        <w:lastRenderedPageBreak/>
        <w:t>מראה כי חל שינוי מהותי לטובתם של החייבים בעקבות חקיקתו של חוק חדלות פירעון ושיקום כלכלי, אשר נכנס לתוקפו בספטמבר 2019. בנוסף, אנו מוצאים השפעה מובהקת ומרובה של מדד זה על היקף מקרי חדלות הפירעון בישראל, בקרב יחידים, לצד השפעת המשתנים הפיננסיים והכלכליים ובייחוד היקף האשראי הצרכני.</w:t>
      </w:r>
    </w:p>
    <w:p w:rsidR="00510788" w:rsidRPr="0097295E" w:rsidRDefault="00510788" w:rsidP="00510788">
      <w:pPr>
        <w:spacing w:before="240"/>
        <w:rPr>
          <w:rtl/>
        </w:rPr>
      </w:pPr>
    </w:p>
    <w:p w:rsidR="0097295E" w:rsidRDefault="009761F3" w:rsidP="00085F4A">
      <w:pPr>
        <w:bidi w:val="0"/>
        <w:spacing w:before="240"/>
        <w:rPr>
          <w:b/>
          <w:bCs/>
        </w:rPr>
      </w:pPr>
      <w:r>
        <w:rPr>
          <w:rFonts w:hint="cs"/>
          <w:b/>
          <w:bCs/>
        </w:rPr>
        <w:t>R</w:t>
      </w:r>
      <w:r>
        <w:rPr>
          <w:b/>
          <w:bCs/>
        </w:rPr>
        <w:t xml:space="preserve">isk, opaqueness and Hi-Tech </w:t>
      </w:r>
      <w:r w:rsidR="00085F4A">
        <w:rPr>
          <w:b/>
          <w:bCs/>
        </w:rPr>
        <w:t>V</w:t>
      </w:r>
      <w:r w:rsidR="00085F4A">
        <w:rPr>
          <w:rFonts w:hint="cs"/>
          <w:b/>
          <w:bCs/>
        </w:rPr>
        <w:t>C</w:t>
      </w:r>
      <w:r w:rsidR="00085F4A">
        <w:rPr>
          <w:b/>
          <w:bCs/>
        </w:rPr>
        <w:t xml:space="preserve"> </w:t>
      </w:r>
      <w:r>
        <w:rPr>
          <w:b/>
          <w:bCs/>
        </w:rPr>
        <w:t>Investment</w:t>
      </w:r>
    </w:p>
    <w:p w:rsidR="009761F3" w:rsidRPr="009761F3" w:rsidRDefault="009761F3" w:rsidP="009761F3">
      <w:pPr>
        <w:spacing w:before="240"/>
      </w:pPr>
      <w:r w:rsidRPr="009761F3">
        <w:rPr>
          <w:rtl/>
        </w:rPr>
        <w:t xml:space="preserve">מחקרם של ד"ר מאיה הרן-רוזן, ד"ר אסנת זהר וד"ר שי הראל בוחן כיצד התמריצים של קרנות הון-סיכון משפיעים על השקעות בחברות היי-טק. באמצעות מודל ובהתאם לספרות, החוקרים מדגימים כיצד התמריצים הייחודיים של קרנות הון-סיכון מובילים אותן להשקיע בחברות המאופיינות בסיכון גבוה ופוטנציאל לאקזיט גדול. עם זאת, הקרנות מתמודדות עם חוסר וודאות וסיכון רב יותר בשלבי מימון מוקדמים, ולכן הן מתקשות לבצע את הבחירות בשלבים אלו. המודל גם מנבא שכאשר המימון שמגייסות קרנות הון-סיכון גדל, הן מגדילות את שיעור ההשקעה שלהן בחברות הנמצאות בשלבי מימון מאוחרים. ראיות אמפיריות מישראל על השקעות </w:t>
      </w:r>
      <w:proofErr w:type="spellStart"/>
      <w:r w:rsidRPr="009761F3">
        <w:rPr>
          <w:rtl/>
        </w:rPr>
        <w:t>ואקזיטים</w:t>
      </w:r>
      <w:proofErr w:type="spellEnd"/>
      <w:r w:rsidRPr="009761F3">
        <w:rPr>
          <w:rtl/>
        </w:rPr>
        <w:t xml:space="preserve"> של חברות היי-טק בשנים 2000-2022 תומכות בתחזיות המודל. בפרט, החוקרים מוצאים כי השקעות הון-סיכון מתואמות עם </w:t>
      </w:r>
      <w:proofErr w:type="spellStart"/>
      <w:r w:rsidRPr="009761F3">
        <w:rPr>
          <w:rtl/>
        </w:rPr>
        <w:t>אקזיטים</w:t>
      </w:r>
      <w:proofErr w:type="spellEnd"/>
      <w:r w:rsidRPr="009761F3">
        <w:rPr>
          <w:rtl/>
        </w:rPr>
        <w:t xml:space="preserve"> גדולים, אך רק כאשר ההשקעות מתבצעות בשלבי מימון מאוחרים. עבור סוגי משקיעים אחרים, לא נמצא קשר דומה עם </w:t>
      </w:r>
      <w:proofErr w:type="spellStart"/>
      <w:r w:rsidRPr="009761F3">
        <w:rPr>
          <w:rtl/>
        </w:rPr>
        <w:t>אקזיטים</w:t>
      </w:r>
      <w:proofErr w:type="spellEnd"/>
      <w:r w:rsidRPr="009761F3">
        <w:rPr>
          <w:rtl/>
        </w:rPr>
        <w:t xml:space="preserve"> גדולים. ממצא נוסף המתיישב עם המודל הוא שהחל מ-2018, עם הגידול בגיוסים של קרנות ההון-סיכון, ניכרת עלייה בשיעור ההשקעות שלהן בחברות הנמצאות בשלבי מימון מאוחרים. </w:t>
      </w:r>
    </w:p>
    <w:p w:rsidR="009761F3" w:rsidRPr="009761F3" w:rsidRDefault="009761F3" w:rsidP="009761F3">
      <w:pPr>
        <w:bidi w:val="0"/>
        <w:spacing w:before="240"/>
      </w:pPr>
      <w:r w:rsidRPr="009761F3">
        <w:rPr>
          <w:b/>
          <w:bCs/>
        </w:rPr>
        <w:t xml:space="preserve">Firm Effect and </w:t>
      </w:r>
      <w:r w:rsidR="00622446" w:rsidRPr="009761F3">
        <w:rPr>
          <w:b/>
          <w:bCs/>
        </w:rPr>
        <w:t>the</w:t>
      </w:r>
      <w:r w:rsidRPr="009761F3">
        <w:rPr>
          <w:b/>
          <w:bCs/>
        </w:rPr>
        <w:t xml:space="preserve"> Israeli Gender Wage Gap</w:t>
      </w:r>
      <w:r w:rsidRPr="009761F3">
        <w:t xml:space="preserve"> </w:t>
      </w:r>
    </w:p>
    <w:p w:rsidR="009761F3" w:rsidRDefault="009761F3" w:rsidP="00510788">
      <w:pPr>
        <w:spacing w:before="240"/>
        <w:rPr>
          <w:rtl/>
        </w:rPr>
      </w:pPr>
      <w:r w:rsidRPr="009761F3">
        <w:rPr>
          <w:rtl/>
        </w:rPr>
        <w:t xml:space="preserve">מחקרה של שירה בוזגלו-בריס עוסק בתרומת פירמות להסבר פערי השכר המגדריים בישראל. שימוש בנתוני שכר מנהליים מאפשר מעקב אחר מעברי עובדים בין פירמות וזיהוי התרומה הישירה של מקום העבודה לשכר העובדות והעובדים בו. המחקר מוצא כי לפירמות תרומה של כ-30% להסבר פער השכר המגדרי שמקורה בעיקר בייצוג-יתר של נשים בפירמות המשלמות שכר נמוך, בעוד חלק זניח מהפער מיוחס לפערים בין עובדות ועובדים באותה הפירמה. ההתמיינות של נשים לפירמות המשלמות שכר נמוך משמעותית יותר בקרב הורים לילדים, במיוחד בגיל צעיר, ומהווה עדות נוספת ל"קנס </w:t>
      </w:r>
      <w:proofErr w:type="spellStart"/>
      <w:r w:rsidRPr="009761F3">
        <w:rPr>
          <w:rtl/>
        </w:rPr>
        <w:t>האמהות</w:t>
      </w:r>
      <w:proofErr w:type="spellEnd"/>
      <w:r w:rsidRPr="009761F3">
        <w:rPr>
          <w:rtl/>
        </w:rPr>
        <w:t>" בישראל.</w:t>
      </w:r>
    </w:p>
    <w:p w:rsidR="00510788" w:rsidRDefault="00510788" w:rsidP="00510788">
      <w:pPr>
        <w:spacing w:before="240"/>
        <w:rPr>
          <w:rtl/>
        </w:rPr>
      </w:pPr>
    </w:p>
    <w:p w:rsidR="00DA42D6" w:rsidRDefault="009761F3" w:rsidP="009761F3">
      <w:pPr>
        <w:pStyle w:val="Default"/>
        <w:bidi w:val="0"/>
        <w:rPr>
          <w:b/>
          <w:bCs/>
        </w:rPr>
      </w:pPr>
      <w:r>
        <w:rPr>
          <w:b/>
          <w:bCs/>
        </w:rPr>
        <w:t>Did Covid19 Policies enhance wages and employment of undocumented workers?</w:t>
      </w:r>
    </w:p>
    <w:p w:rsidR="00510788" w:rsidRDefault="009761F3" w:rsidP="00510788">
      <w:pPr>
        <w:rPr>
          <w:rtl/>
        </w:rPr>
      </w:pPr>
      <w:r w:rsidRPr="009761F3">
        <w:rPr>
          <w:rtl/>
        </w:rPr>
        <w:t xml:space="preserve">מחקרם של </w:t>
      </w:r>
      <w:proofErr w:type="spellStart"/>
      <w:r w:rsidRPr="009761F3">
        <w:rPr>
          <w:rtl/>
        </w:rPr>
        <w:t>וופאק</w:t>
      </w:r>
      <w:proofErr w:type="spellEnd"/>
      <w:r w:rsidRPr="009761F3">
        <w:rPr>
          <w:rtl/>
        </w:rPr>
        <w:t xml:space="preserve"> </w:t>
      </w:r>
      <w:proofErr w:type="spellStart"/>
      <w:r w:rsidRPr="009761F3">
        <w:rPr>
          <w:rtl/>
        </w:rPr>
        <w:t>עדנאן</w:t>
      </w:r>
      <w:proofErr w:type="spellEnd"/>
      <w:r w:rsidRPr="009761F3">
        <w:rPr>
          <w:rtl/>
        </w:rPr>
        <w:t xml:space="preserve"> (שלוחת </w:t>
      </w:r>
      <w:r w:rsidRPr="009761F3">
        <w:t>NYU</w:t>
      </w:r>
      <w:r w:rsidRPr="009761F3">
        <w:rPr>
          <w:rtl/>
        </w:rPr>
        <w:t xml:space="preserve"> באבו דאבי) וחגי אטקס (בנק ישראל) </w:t>
      </w:r>
      <w:r w:rsidR="003E74A2">
        <w:rPr>
          <w:rFonts w:hint="cs"/>
          <w:rtl/>
        </w:rPr>
        <w:t xml:space="preserve">עוסק </w:t>
      </w:r>
      <w:r w:rsidR="00510788">
        <w:rPr>
          <w:rFonts w:hint="cs"/>
          <w:rtl/>
        </w:rPr>
        <w:t>בגידול בשכר</w:t>
      </w:r>
      <w:r w:rsidR="00510788" w:rsidRPr="009761F3">
        <w:rPr>
          <w:rtl/>
        </w:rPr>
        <w:t xml:space="preserve"> </w:t>
      </w:r>
      <w:r w:rsidR="00510788">
        <w:rPr>
          <w:rFonts w:hint="cs"/>
          <w:rtl/>
        </w:rPr>
        <w:t xml:space="preserve">ולאחר מכן בהיקף התעסוקה של </w:t>
      </w:r>
      <w:r w:rsidRPr="009761F3">
        <w:rPr>
          <w:rtl/>
        </w:rPr>
        <w:t>השוהים הבלתי חוקיים (שב"חים) הפלסטיניים בישראל במהלך משבר הקורונה</w:t>
      </w:r>
      <w:r w:rsidR="00510788">
        <w:rPr>
          <w:rFonts w:hint="cs"/>
          <w:rtl/>
        </w:rPr>
        <w:t>, זאת בניגוד לממצאים אודות פגיעה בתעסוקה ובשכר של מהגרים ועובדים לא פורמליים במדינות אחרות בעולם.</w:t>
      </w:r>
    </w:p>
    <w:p w:rsidR="00510788" w:rsidRDefault="00510788" w:rsidP="00510788">
      <w:pPr>
        <w:rPr>
          <w:rtl/>
        </w:rPr>
      </w:pPr>
    </w:p>
    <w:p w:rsidR="009761F3" w:rsidRPr="009761F3" w:rsidRDefault="009761F3" w:rsidP="00510788"/>
    <w:p w:rsidR="009761F3" w:rsidRPr="0028339B" w:rsidRDefault="0028339B" w:rsidP="0028339B">
      <w:pPr>
        <w:tabs>
          <w:tab w:val="clear" w:pos="567"/>
          <w:tab w:val="clear" w:pos="1134"/>
        </w:tabs>
        <w:spacing w:before="240"/>
        <w:rPr>
          <w:rtl/>
        </w:rPr>
      </w:pPr>
      <w:r>
        <w:rPr>
          <w:rFonts w:hint="cs"/>
          <w:b/>
          <w:bCs/>
          <w:rtl/>
        </w:rPr>
        <w:lastRenderedPageBreak/>
        <w:t xml:space="preserve">פאנל: </w:t>
      </w:r>
      <w:r w:rsidR="009761F3">
        <w:rPr>
          <w:rFonts w:hint="cs"/>
          <w:b/>
          <w:bCs/>
          <w:rtl/>
        </w:rPr>
        <w:t xml:space="preserve">"מערכת החינוך על רקע הסכם השכר עם המורים </w:t>
      </w:r>
      <w:r w:rsidR="009761F3">
        <w:rPr>
          <w:b/>
          <w:bCs/>
          <w:rtl/>
        </w:rPr>
        <w:t>–</w:t>
      </w:r>
      <w:r w:rsidR="009761F3">
        <w:rPr>
          <w:rFonts w:hint="cs"/>
          <w:b/>
          <w:bCs/>
          <w:rtl/>
        </w:rPr>
        <w:t xml:space="preserve"> האם התחיל השינוי המיוחל?"</w:t>
      </w:r>
    </w:p>
    <w:p w:rsidR="00D44086" w:rsidRPr="00D44086" w:rsidRDefault="0028339B" w:rsidP="00F04263">
      <w:pPr>
        <w:rPr>
          <w:rFonts w:ascii="David" w:hAnsi="David"/>
        </w:rPr>
      </w:pPr>
      <w:r>
        <w:rPr>
          <w:rFonts w:ascii="David" w:hAnsi="David" w:hint="cs"/>
          <w:rtl/>
        </w:rPr>
        <w:t xml:space="preserve">את הכנס </w:t>
      </w:r>
      <w:r w:rsidR="00FB2EAD">
        <w:rPr>
          <w:rFonts w:ascii="David" w:hAnsi="David" w:hint="cs"/>
          <w:rtl/>
        </w:rPr>
        <w:t>נ</w:t>
      </w:r>
      <w:r w:rsidR="00F04263">
        <w:rPr>
          <w:rFonts w:ascii="David" w:hAnsi="David" w:hint="cs"/>
          <w:rtl/>
        </w:rPr>
        <w:t>על</w:t>
      </w:r>
      <w:r w:rsidR="00D44086" w:rsidRPr="00D44086">
        <w:rPr>
          <w:rFonts w:ascii="David" w:hAnsi="David"/>
          <w:rtl/>
        </w:rPr>
        <w:t xml:space="preserve"> רב שיח בהנ</w:t>
      </w:r>
      <w:r w:rsidR="00D44086">
        <w:rPr>
          <w:rFonts w:ascii="David" w:hAnsi="David" w:hint="cs"/>
          <w:rtl/>
        </w:rPr>
        <w:t>חיי</w:t>
      </w:r>
      <w:r w:rsidR="00D44086" w:rsidRPr="00D44086">
        <w:rPr>
          <w:rFonts w:ascii="David" w:hAnsi="David"/>
          <w:rtl/>
        </w:rPr>
        <w:t xml:space="preserve">תו של ד"ר יובל מזר, כלכלן בכיר, מחטיבת המחקר בהשתתפות ד"ר עדי ברנדר מנהל אגף מאקרו ומדיניות בחטיבת המחקר, </w:t>
      </w:r>
      <w:r w:rsidR="00D44086">
        <w:rPr>
          <w:rFonts w:ascii="David" w:hAnsi="David"/>
          <w:rtl/>
        </w:rPr>
        <w:t xml:space="preserve">ד"ר מריאן </w:t>
      </w:r>
      <w:proofErr w:type="spellStart"/>
      <w:r w:rsidR="00D44086">
        <w:rPr>
          <w:rFonts w:ascii="David" w:hAnsi="David" w:hint="cs"/>
          <w:rtl/>
        </w:rPr>
        <w:t>תחאוכו</w:t>
      </w:r>
      <w:proofErr w:type="spellEnd"/>
      <w:r w:rsidR="00D44086">
        <w:rPr>
          <w:rFonts w:ascii="David" w:hAnsi="David" w:hint="cs"/>
          <w:rtl/>
        </w:rPr>
        <w:t xml:space="preserve"> </w:t>
      </w:r>
      <w:r w:rsidR="00D44086" w:rsidRPr="00D44086">
        <w:rPr>
          <w:rFonts w:ascii="David" w:hAnsi="David"/>
          <w:rtl/>
        </w:rPr>
        <w:t>מ</w:t>
      </w:r>
      <w:r w:rsidR="00D44086">
        <w:rPr>
          <w:rFonts w:ascii="David" w:hAnsi="David" w:hint="cs"/>
          <w:rtl/>
        </w:rPr>
        <w:t>אוניברסיטת רייכמן בהרצליה</w:t>
      </w:r>
      <w:r w:rsidR="00D44086" w:rsidRPr="00D44086">
        <w:rPr>
          <w:rFonts w:ascii="David" w:hAnsi="David"/>
          <w:rtl/>
        </w:rPr>
        <w:t>, פרופ' ויקטור לביא מהאוניברסיטה העברית ו</w:t>
      </w:r>
      <w:r w:rsidR="00D44086">
        <w:rPr>
          <w:rFonts w:ascii="David" w:hAnsi="David" w:hint="cs"/>
          <w:rtl/>
        </w:rPr>
        <w:t xml:space="preserve">מר </w:t>
      </w:r>
      <w:r w:rsidR="00D44086" w:rsidRPr="00D44086">
        <w:rPr>
          <w:rFonts w:ascii="David" w:hAnsi="David"/>
          <w:rtl/>
        </w:rPr>
        <w:t>קובי בר נתן הממונה על השכר באוצר.</w:t>
      </w:r>
    </w:p>
    <w:p w:rsidR="00D44086" w:rsidRPr="00D44086" w:rsidRDefault="00D44086" w:rsidP="00FB2EAD">
      <w:pPr>
        <w:rPr>
          <w:rFonts w:ascii="David" w:hAnsi="David"/>
          <w:rtl/>
        </w:rPr>
      </w:pPr>
      <w:r w:rsidRPr="00D44086">
        <w:rPr>
          <w:rFonts w:ascii="David" w:hAnsi="David"/>
          <w:rtl/>
        </w:rPr>
        <w:t xml:space="preserve">על רקע האתגרים הרבים, השיח </w:t>
      </w:r>
      <w:r w:rsidR="0028339B">
        <w:rPr>
          <w:rFonts w:ascii="David" w:hAnsi="David" w:hint="cs"/>
          <w:rtl/>
        </w:rPr>
        <w:t xml:space="preserve">בפאנל </w:t>
      </w:r>
      <w:r w:rsidR="00FB2EAD">
        <w:rPr>
          <w:rFonts w:ascii="David" w:hAnsi="David" w:hint="cs"/>
          <w:rtl/>
        </w:rPr>
        <w:t>עסק</w:t>
      </w:r>
      <w:r w:rsidRPr="00D44086">
        <w:rPr>
          <w:rFonts w:ascii="David" w:hAnsi="David"/>
          <w:rtl/>
        </w:rPr>
        <w:t xml:space="preserve"> ברפורמות האחרונות במערכת החינוך </w:t>
      </w:r>
      <w:r>
        <w:rPr>
          <w:rFonts w:ascii="David" w:hAnsi="David" w:hint="cs"/>
          <w:rtl/>
        </w:rPr>
        <w:t>ועסק בשאלה</w:t>
      </w:r>
      <w:r w:rsidRPr="00D44086">
        <w:rPr>
          <w:rFonts w:ascii="David" w:hAnsi="David"/>
          <w:rtl/>
        </w:rPr>
        <w:t xml:space="preserve"> האם מה שנעשה מספיק ומה צריך עוד להיעשות עוד על מנת </w:t>
      </w:r>
      <w:r>
        <w:rPr>
          <w:rFonts w:ascii="David" w:hAnsi="David" w:hint="cs"/>
          <w:rtl/>
        </w:rPr>
        <w:t>לשפר</w:t>
      </w:r>
      <w:r w:rsidRPr="00D44086">
        <w:rPr>
          <w:rFonts w:ascii="David" w:hAnsi="David"/>
          <w:rtl/>
        </w:rPr>
        <w:t xml:space="preserve"> את ההישגים של התלמידים שלנו. </w:t>
      </w:r>
    </w:p>
    <w:p w:rsidR="00D44086" w:rsidRPr="00B02DBB" w:rsidRDefault="00D44086" w:rsidP="00C6673E">
      <w:pPr>
        <w:pStyle w:val="Default"/>
        <w:rPr>
          <w:color w:val="000000" w:themeColor="text1"/>
          <w:rtl/>
        </w:rPr>
      </w:pPr>
    </w:p>
    <w:p w:rsidR="00A37A60" w:rsidRPr="00A37A60" w:rsidRDefault="00A37A60" w:rsidP="00A37A60">
      <w:pPr>
        <w:rPr>
          <w:rtl/>
        </w:rPr>
      </w:pPr>
    </w:p>
    <w:p w:rsidR="00DA42D6" w:rsidRDefault="00DA42D6" w:rsidP="00641D1C">
      <w:pPr>
        <w:rPr>
          <w:rtl/>
        </w:rPr>
      </w:pPr>
    </w:p>
    <w:p w:rsidR="00156BC5" w:rsidRPr="00196190" w:rsidRDefault="00156BC5" w:rsidP="006C2DBF"/>
    <w:sectPr w:rsidR="00156BC5" w:rsidRPr="00196190" w:rsidSect="00531DDB">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27FF" w:rsidRDefault="00BA27FF" w:rsidP="0085468A">
      <w:pPr>
        <w:spacing w:line="240" w:lineRule="auto"/>
      </w:pPr>
      <w:r>
        <w:separator/>
      </w:r>
    </w:p>
  </w:endnote>
  <w:endnote w:type="continuationSeparator" w:id="0">
    <w:p w:rsidR="00BA27FF" w:rsidRDefault="00BA27FF" w:rsidP="0085468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avid">
    <w:panose1 w:val="020E0502060401010101"/>
    <w:charset w:val="00"/>
    <w:family w:val="swiss"/>
    <w:pitch w:val="variable"/>
    <w:sig w:usb0="00000803" w:usb1="00000000" w:usb2="00000000" w:usb3="00000000" w:csb0="0000002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68A" w:rsidRDefault="0085468A">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68A" w:rsidRDefault="0085468A">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68A" w:rsidRDefault="0085468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27FF" w:rsidRDefault="00BA27FF" w:rsidP="0085468A">
      <w:pPr>
        <w:spacing w:line="240" w:lineRule="auto"/>
      </w:pPr>
      <w:r>
        <w:separator/>
      </w:r>
    </w:p>
  </w:footnote>
  <w:footnote w:type="continuationSeparator" w:id="0">
    <w:p w:rsidR="00BA27FF" w:rsidRDefault="00BA27FF" w:rsidP="0085468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68A" w:rsidRDefault="0085468A">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68A" w:rsidRDefault="0085468A">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468A" w:rsidRDefault="0085468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6950BB"/>
    <w:multiLevelType w:val="hybridMultilevel"/>
    <w:tmpl w:val="681E9F6E"/>
    <w:lvl w:ilvl="0" w:tplc="E744C4FA">
      <w:numFmt w:val="bullet"/>
      <w:lvlText w:val="-"/>
      <w:lvlJc w:val="left"/>
      <w:pPr>
        <w:ind w:left="720" w:hanging="360"/>
      </w:pPr>
      <w:rPr>
        <w:rFonts w:ascii="David" w:eastAsia="Times New Roman" w:hAnsi="David" w:cs="David"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D40"/>
    <w:rsid w:val="0000598B"/>
    <w:rsid w:val="00011D2F"/>
    <w:rsid w:val="000249D4"/>
    <w:rsid w:val="00024B29"/>
    <w:rsid w:val="0003415D"/>
    <w:rsid w:val="00042D80"/>
    <w:rsid w:val="00057AD3"/>
    <w:rsid w:val="00073355"/>
    <w:rsid w:val="000820E8"/>
    <w:rsid w:val="00085F4A"/>
    <w:rsid w:val="000C7DA1"/>
    <w:rsid w:val="000D4FEA"/>
    <w:rsid w:val="00114EE1"/>
    <w:rsid w:val="00142310"/>
    <w:rsid w:val="00142464"/>
    <w:rsid w:val="00156BC5"/>
    <w:rsid w:val="001808F7"/>
    <w:rsid w:val="001906E9"/>
    <w:rsid w:val="00196190"/>
    <w:rsid w:val="001A368C"/>
    <w:rsid w:val="001E5490"/>
    <w:rsid w:val="0020421F"/>
    <w:rsid w:val="00213512"/>
    <w:rsid w:val="00214785"/>
    <w:rsid w:val="00224F0F"/>
    <w:rsid w:val="002323F0"/>
    <w:rsid w:val="002606A4"/>
    <w:rsid w:val="0028339B"/>
    <w:rsid w:val="002B5D7A"/>
    <w:rsid w:val="002B6714"/>
    <w:rsid w:val="002F11BD"/>
    <w:rsid w:val="002F2C37"/>
    <w:rsid w:val="00310E74"/>
    <w:rsid w:val="00316D89"/>
    <w:rsid w:val="00332C7A"/>
    <w:rsid w:val="00341BF3"/>
    <w:rsid w:val="003516D5"/>
    <w:rsid w:val="0038050D"/>
    <w:rsid w:val="003868FC"/>
    <w:rsid w:val="003A5E8C"/>
    <w:rsid w:val="003C2EC4"/>
    <w:rsid w:val="003E74A2"/>
    <w:rsid w:val="003F2B79"/>
    <w:rsid w:val="003F3B2C"/>
    <w:rsid w:val="003F5D40"/>
    <w:rsid w:val="003F746A"/>
    <w:rsid w:val="0040178C"/>
    <w:rsid w:val="00410123"/>
    <w:rsid w:val="00423AC9"/>
    <w:rsid w:val="004266C9"/>
    <w:rsid w:val="00431774"/>
    <w:rsid w:val="00435D27"/>
    <w:rsid w:val="00456FF8"/>
    <w:rsid w:val="00463D8B"/>
    <w:rsid w:val="004A1DF2"/>
    <w:rsid w:val="004B1C72"/>
    <w:rsid w:val="004C60A0"/>
    <w:rsid w:val="004D00B5"/>
    <w:rsid w:val="004E4298"/>
    <w:rsid w:val="00510788"/>
    <w:rsid w:val="00531DDB"/>
    <w:rsid w:val="00546347"/>
    <w:rsid w:val="00585002"/>
    <w:rsid w:val="005A282A"/>
    <w:rsid w:val="005A5BF0"/>
    <w:rsid w:val="005C2E06"/>
    <w:rsid w:val="005D4255"/>
    <w:rsid w:val="005E0DA8"/>
    <w:rsid w:val="005E6405"/>
    <w:rsid w:val="00622446"/>
    <w:rsid w:val="00630593"/>
    <w:rsid w:val="006363B7"/>
    <w:rsid w:val="00636D28"/>
    <w:rsid w:val="00641D1C"/>
    <w:rsid w:val="006642B2"/>
    <w:rsid w:val="006C2DBF"/>
    <w:rsid w:val="006D0107"/>
    <w:rsid w:val="006D19DD"/>
    <w:rsid w:val="006D3641"/>
    <w:rsid w:val="006E4F6C"/>
    <w:rsid w:val="007206A4"/>
    <w:rsid w:val="00722621"/>
    <w:rsid w:val="00732484"/>
    <w:rsid w:val="00733F7F"/>
    <w:rsid w:val="007603F0"/>
    <w:rsid w:val="007939B2"/>
    <w:rsid w:val="007975DF"/>
    <w:rsid w:val="007A4F99"/>
    <w:rsid w:val="007B33C5"/>
    <w:rsid w:val="007C4D23"/>
    <w:rsid w:val="007E78D9"/>
    <w:rsid w:val="007F27F4"/>
    <w:rsid w:val="00841D4B"/>
    <w:rsid w:val="0085039B"/>
    <w:rsid w:val="0085468A"/>
    <w:rsid w:val="008653AB"/>
    <w:rsid w:val="008824E6"/>
    <w:rsid w:val="008F4B52"/>
    <w:rsid w:val="008F70F3"/>
    <w:rsid w:val="00907A15"/>
    <w:rsid w:val="009259E7"/>
    <w:rsid w:val="00930B58"/>
    <w:rsid w:val="009611FF"/>
    <w:rsid w:val="00967E26"/>
    <w:rsid w:val="0097295E"/>
    <w:rsid w:val="009753B6"/>
    <w:rsid w:val="009761F3"/>
    <w:rsid w:val="0098298B"/>
    <w:rsid w:val="00990731"/>
    <w:rsid w:val="009A53F9"/>
    <w:rsid w:val="009C0579"/>
    <w:rsid w:val="009D3F1E"/>
    <w:rsid w:val="009D55AC"/>
    <w:rsid w:val="00A327BC"/>
    <w:rsid w:val="00A37A60"/>
    <w:rsid w:val="00AA53B3"/>
    <w:rsid w:val="00AB0706"/>
    <w:rsid w:val="00AB61DB"/>
    <w:rsid w:val="00AC1B27"/>
    <w:rsid w:val="00AD3BE2"/>
    <w:rsid w:val="00AE4353"/>
    <w:rsid w:val="00AF4E01"/>
    <w:rsid w:val="00B02DBB"/>
    <w:rsid w:val="00B17692"/>
    <w:rsid w:val="00B3575C"/>
    <w:rsid w:val="00B414CC"/>
    <w:rsid w:val="00B41ABD"/>
    <w:rsid w:val="00B6456D"/>
    <w:rsid w:val="00BA27FF"/>
    <w:rsid w:val="00BC7619"/>
    <w:rsid w:val="00BD3610"/>
    <w:rsid w:val="00BF6067"/>
    <w:rsid w:val="00C04803"/>
    <w:rsid w:val="00C309FA"/>
    <w:rsid w:val="00C34E64"/>
    <w:rsid w:val="00C61206"/>
    <w:rsid w:val="00C62C75"/>
    <w:rsid w:val="00C6673E"/>
    <w:rsid w:val="00C86E83"/>
    <w:rsid w:val="00CB33D3"/>
    <w:rsid w:val="00CC07DE"/>
    <w:rsid w:val="00CC7DA0"/>
    <w:rsid w:val="00CD3355"/>
    <w:rsid w:val="00D265FC"/>
    <w:rsid w:val="00D43A7A"/>
    <w:rsid w:val="00D44086"/>
    <w:rsid w:val="00D45FD2"/>
    <w:rsid w:val="00D47CBF"/>
    <w:rsid w:val="00D74BD1"/>
    <w:rsid w:val="00D74D49"/>
    <w:rsid w:val="00D953EC"/>
    <w:rsid w:val="00DA0C73"/>
    <w:rsid w:val="00DA42D6"/>
    <w:rsid w:val="00DA73F6"/>
    <w:rsid w:val="00DB64DA"/>
    <w:rsid w:val="00DC4BDE"/>
    <w:rsid w:val="00E22847"/>
    <w:rsid w:val="00E36596"/>
    <w:rsid w:val="00E50E0C"/>
    <w:rsid w:val="00E511B2"/>
    <w:rsid w:val="00E70047"/>
    <w:rsid w:val="00E7112E"/>
    <w:rsid w:val="00E92E4F"/>
    <w:rsid w:val="00E93A7E"/>
    <w:rsid w:val="00EB267E"/>
    <w:rsid w:val="00EB294A"/>
    <w:rsid w:val="00ED1CAD"/>
    <w:rsid w:val="00F04263"/>
    <w:rsid w:val="00F11160"/>
    <w:rsid w:val="00F13834"/>
    <w:rsid w:val="00F20ECF"/>
    <w:rsid w:val="00F25A3F"/>
    <w:rsid w:val="00F27FCC"/>
    <w:rsid w:val="00F33B18"/>
    <w:rsid w:val="00F464CF"/>
    <w:rsid w:val="00F915A1"/>
    <w:rsid w:val="00FB2EAD"/>
    <w:rsid w:val="00FE226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4B2C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5D40"/>
    <w:pPr>
      <w:tabs>
        <w:tab w:val="left" w:pos="567"/>
        <w:tab w:val="left" w:pos="1134"/>
        <w:tab w:val="left" w:pos="1814"/>
        <w:tab w:val="left" w:pos="2665"/>
      </w:tabs>
      <w:bidi/>
      <w:spacing w:after="0" w:line="360" w:lineRule="auto"/>
      <w:jc w:val="both"/>
    </w:pPr>
    <w:rPr>
      <w:rFonts w:ascii="Times New Roman" w:eastAsia="Times New Roman" w:hAnsi="Times New Roman" w:cs="David"/>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F5D40"/>
    <w:rPr>
      <w:b/>
      <w:bCs/>
    </w:rPr>
  </w:style>
  <w:style w:type="paragraph" w:styleId="a4">
    <w:name w:val="List Paragraph"/>
    <w:basedOn w:val="a"/>
    <w:uiPriority w:val="34"/>
    <w:qFormat/>
    <w:rsid w:val="00B02DBB"/>
    <w:pPr>
      <w:ind w:left="720"/>
      <w:contextualSpacing/>
    </w:pPr>
  </w:style>
  <w:style w:type="paragraph" w:styleId="a5">
    <w:name w:val="Balloon Text"/>
    <w:basedOn w:val="a"/>
    <w:link w:val="a6"/>
    <w:uiPriority w:val="99"/>
    <w:semiHidden/>
    <w:unhideWhenUsed/>
    <w:rsid w:val="000249D4"/>
    <w:pPr>
      <w:spacing w:line="240" w:lineRule="auto"/>
    </w:pPr>
    <w:rPr>
      <w:rFonts w:ascii="Tahoma" w:hAnsi="Tahoma" w:cs="Tahoma"/>
      <w:sz w:val="18"/>
      <w:szCs w:val="18"/>
    </w:rPr>
  </w:style>
  <w:style w:type="character" w:customStyle="1" w:styleId="a6">
    <w:name w:val="טקסט בלונים תו"/>
    <w:basedOn w:val="a0"/>
    <w:link w:val="a5"/>
    <w:uiPriority w:val="99"/>
    <w:semiHidden/>
    <w:rsid w:val="000249D4"/>
    <w:rPr>
      <w:rFonts w:ascii="Tahoma" w:eastAsia="Times New Roman" w:hAnsi="Tahoma" w:cs="Tahoma"/>
      <w:sz w:val="18"/>
      <w:szCs w:val="18"/>
    </w:rPr>
  </w:style>
  <w:style w:type="paragraph" w:styleId="a7">
    <w:name w:val="header"/>
    <w:basedOn w:val="a"/>
    <w:link w:val="a8"/>
    <w:uiPriority w:val="99"/>
    <w:unhideWhenUsed/>
    <w:rsid w:val="0085468A"/>
    <w:pPr>
      <w:tabs>
        <w:tab w:val="clear" w:pos="567"/>
        <w:tab w:val="clear" w:pos="1134"/>
        <w:tab w:val="clear" w:pos="1814"/>
        <w:tab w:val="clear" w:pos="2665"/>
        <w:tab w:val="center" w:pos="4153"/>
        <w:tab w:val="right" w:pos="8306"/>
      </w:tabs>
      <w:spacing w:line="240" w:lineRule="auto"/>
    </w:pPr>
  </w:style>
  <w:style w:type="character" w:customStyle="1" w:styleId="a8">
    <w:name w:val="כותרת עליונה תו"/>
    <w:basedOn w:val="a0"/>
    <w:link w:val="a7"/>
    <w:uiPriority w:val="99"/>
    <w:rsid w:val="0085468A"/>
    <w:rPr>
      <w:rFonts w:ascii="Times New Roman" w:eastAsia="Times New Roman" w:hAnsi="Times New Roman" w:cs="David"/>
      <w:sz w:val="24"/>
      <w:szCs w:val="24"/>
    </w:rPr>
  </w:style>
  <w:style w:type="paragraph" w:styleId="a9">
    <w:name w:val="footer"/>
    <w:basedOn w:val="a"/>
    <w:link w:val="aa"/>
    <w:uiPriority w:val="99"/>
    <w:unhideWhenUsed/>
    <w:rsid w:val="0085468A"/>
    <w:pPr>
      <w:tabs>
        <w:tab w:val="clear" w:pos="567"/>
        <w:tab w:val="clear" w:pos="1134"/>
        <w:tab w:val="clear" w:pos="1814"/>
        <w:tab w:val="clear" w:pos="2665"/>
        <w:tab w:val="center" w:pos="4153"/>
        <w:tab w:val="right" w:pos="8306"/>
      </w:tabs>
      <w:spacing w:line="240" w:lineRule="auto"/>
    </w:pPr>
  </w:style>
  <w:style w:type="character" w:customStyle="1" w:styleId="aa">
    <w:name w:val="כותרת תחתונה תו"/>
    <w:basedOn w:val="a0"/>
    <w:link w:val="a9"/>
    <w:uiPriority w:val="99"/>
    <w:rsid w:val="0085468A"/>
    <w:rPr>
      <w:rFonts w:ascii="Times New Roman" w:eastAsia="Times New Roman" w:hAnsi="Times New Roman" w:cs="David"/>
      <w:sz w:val="24"/>
      <w:szCs w:val="24"/>
    </w:rPr>
  </w:style>
  <w:style w:type="character" w:styleId="Hyperlink">
    <w:name w:val="Hyperlink"/>
    <w:basedOn w:val="a0"/>
    <w:uiPriority w:val="99"/>
    <w:unhideWhenUsed/>
    <w:rsid w:val="00196190"/>
    <w:rPr>
      <w:color w:val="0000FF" w:themeColor="hyperlink"/>
      <w:u w:val="single"/>
    </w:rPr>
  </w:style>
  <w:style w:type="paragraph" w:customStyle="1" w:styleId="Default">
    <w:name w:val="Default"/>
    <w:rsid w:val="00C6673E"/>
    <w:pPr>
      <w:autoSpaceDE w:val="0"/>
      <w:autoSpaceDN w:val="0"/>
      <w:bidi/>
      <w:adjustRightInd w:val="0"/>
      <w:spacing w:after="0" w:line="360" w:lineRule="auto"/>
      <w:jc w:val="both"/>
    </w:pPr>
    <w:rPr>
      <w:rFonts w:asciiTheme="majorBidi" w:hAnsiTheme="majorBidi" w:cs="David"/>
      <w:color w:val="000000"/>
      <w:sz w:val="24"/>
      <w:szCs w:val="24"/>
    </w:rPr>
  </w:style>
  <w:style w:type="character" w:styleId="ab">
    <w:name w:val="annotation reference"/>
    <w:basedOn w:val="a0"/>
    <w:uiPriority w:val="99"/>
    <w:semiHidden/>
    <w:unhideWhenUsed/>
    <w:rsid w:val="00024B29"/>
    <w:rPr>
      <w:sz w:val="16"/>
      <w:szCs w:val="16"/>
    </w:rPr>
  </w:style>
  <w:style w:type="paragraph" w:styleId="ac">
    <w:name w:val="annotation text"/>
    <w:basedOn w:val="a"/>
    <w:link w:val="ad"/>
    <w:uiPriority w:val="99"/>
    <w:semiHidden/>
    <w:unhideWhenUsed/>
    <w:rsid w:val="00024B29"/>
    <w:pPr>
      <w:spacing w:line="240" w:lineRule="auto"/>
    </w:pPr>
    <w:rPr>
      <w:sz w:val="20"/>
      <w:szCs w:val="20"/>
    </w:rPr>
  </w:style>
  <w:style w:type="character" w:customStyle="1" w:styleId="ad">
    <w:name w:val="טקסט הערה תו"/>
    <w:basedOn w:val="a0"/>
    <w:link w:val="ac"/>
    <w:uiPriority w:val="99"/>
    <w:semiHidden/>
    <w:rsid w:val="00024B29"/>
    <w:rPr>
      <w:rFonts w:ascii="Times New Roman" w:eastAsia="Times New Roman" w:hAnsi="Times New Roman" w:cs="David"/>
      <w:sz w:val="20"/>
      <w:szCs w:val="20"/>
    </w:rPr>
  </w:style>
  <w:style w:type="paragraph" w:styleId="ae">
    <w:name w:val="annotation subject"/>
    <w:basedOn w:val="ac"/>
    <w:next w:val="ac"/>
    <w:link w:val="af"/>
    <w:uiPriority w:val="99"/>
    <w:semiHidden/>
    <w:unhideWhenUsed/>
    <w:rsid w:val="00024B29"/>
    <w:rPr>
      <w:b/>
      <w:bCs/>
    </w:rPr>
  </w:style>
  <w:style w:type="character" w:customStyle="1" w:styleId="af">
    <w:name w:val="נושא הערה תו"/>
    <w:basedOn w:val="ad"/>
    <w:link w:val="ae"/>
    <w:uiPriority w:val="99"/>
    <w:semiHidden/>
    <w:rsid w:val="00024B29"/>
    <w:rPr>
      <w:rFonts w:ascii="Times New Roman" w:eastAsia="Times New Roman" w:hAnsi="Times New Roman" w:cs="David"/>
      <w:b/>
      <w:bCs/>
      <w:sz w:val="20"/>
      <w:szCs w:val="20"/>
    </w:rPr>
  </w:style>
  <w:style w:type="character" w:styleId="FollowedHyperlink">
    <w:name w:val="FollowedHyperlink"/>
    <w:basedOn w:val="a0"/>
    <w:uiPriority w:val="99"/>
    <w:semiHidden/>
    <w:unhideWhenUsed/>
    <w:rsid w:val="0041012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90980">
      <w:bodyDiv w:val="1"/>
      <w:marLeft w:val="0"/>
      <w:marRight w:val="0"/>
      <w:marTop w:val="0"/>
      <w:marBottom w:val="0"/>
      <w:divBdr>
        <w:top w:val="none" w:sz="0" w:space="0" w:color="auto"/>
        <w:left w:val="none" w:sz="0" w:space="0" w:color="auto"/>
        <w:bottom w:val="none" w:sz="0" w:space="0" w:color="auto"/>
        <w:right w:val="none" w:sz="0" w:space="0" w:color="auto"/>
      </w:divBdr>
    </w:div>
    <w:div w:id="132842690">
      <w:bodyDiv w:val="1"/>
      <w:marLeft w:val="0"/>
      <w:marRight w:val="0"/>
      <w:marTop w:val="0"/>
      <w:marBottom w:val="0"/>
      <w:divBdr>
        <w:top w:val="none" w:sz="0" w:space="0" w:color="auto"/>
        <w:left w:val="none" w:sz="0" w:space="0" w:color="auto"/>
        <w:bottom w:val="none" w:sz="0" w:space="0" w:color="auto"/>
        <w:right w:val="none" w:sz="0" w:space="0" w:color="auto"/>
      </w:divBdr>
    </w:div>
    <w:div w:id="244192056">
      <w:bodyDiv w:val="1"/>
      <w:marLeft w:val="0"/>
      <w:marRight w:val="0"/>
      <w:marTop w:val="0"/>
      <w:marBottom w:val="0"/>
      <w:divBdr>
        <w:top w:val="none" w:sz="0" w:space="0" w:color="auto"/>
        <w:left w:val="none" w:sz="0" w:space="0" w:color="auto"/>
        <w:bottom w:val="none" w:sz="0" w:space="0" w:color="auto"/>
        <w:right w:val="none" w:sz="0" w:space="0" w:color="auto"/>
      </w:divBdr>
    </w:div>
    <w:div w:id="308561812">
      <w:bodyDiv w:val="1"/>
      <w:marLeft w:val="0"/>
      <w:marRight w:val="0"/>
      <w:marTop w:val="0"/>
      <w:marBottom w:val="0"/>
      <w:divBdr>
        <w:top w:val="none" w:sz="0" w:space="0" w:color="auto"/>
        <w:left w:val="none" w:sz="0" w:space="0" w:color="auto"/>
        <w:bottom w:val="none" w:sz="0" w:space="0" w:color="auto"/>
        <w:right w:val="none" w:sz="0" w:space="0" w:color="auto"/>
      </w:divBdr>
    </w:div>
    <w:div w:id="327366708">
      <w:bodyDiv w:val="1"/>
      <w:marLeft w:val="0"/>
      <w:marRight w:val="0"/>
      <w:marTop w:val="0"/>
      <w:marBottom w:val="0"/>
      <w:divBdr>
        <w:top w:val="none" w:sz="0" w:space="0" w:color="auto"/>
        <w:left w:val="none" w:sz="0" w:space="0" w:color="auto"/>
        <w:bottom w:val="none" w:sz="0" w:space="0" w:color="auto"/>
        <w:right w:val="none" w:sz="0" w:space="0" w:color="auto"/>
      </w:divBdr>
    </w:div>
    <w:div w:id="391851636">
      <w:bodyDiv w:val="1"/>
      <w:marLeft w:val="0"/>
      <w:marRight w:val="0"/>
      <w:marTop w:val="0"/>
      <w:marBottom w:val="0"/>
      <w:divBdr>
        <w:top w:val="none" w:sz="0" w:space="0" w:color="auto"/>
        <w:left w:val="none" w:sz="0" w:space="0" w:color="auto"/>
        <w:bottom w:val="none" w:sz="0" w:space="0" w:color="auto"/>
        <w:right w:val="none" w:sz="0" w:space="0" w:color="auto"/>
      </w:divBdr>
      <w:divsChild>
        <w:div w:id="1354458867">
          <w:marLeft w:val="0"/>
          <w:marRight w:val="720"/>
          <w:marTop w:val="0"/>
          <w:marBottom w:val="0"/>
          <w:divBdr>
            <w:top w:val="none" w:sz="0" w:space="0" w:color="auto"/>
            <w:left w:val="none" w:sz="0" w:space="0" w:color="auto"/>
            <w:bottom w:val="none" w:sz="0" w:space="0" w:color="auto"/>
            <w:right w:val="none" w:sz="0" w:space="0" w:color="auto"/>
          </w:divBdr>
        </w:div>
      </w:divsChild>
    </w:div>
    <w:div w:id="541790293">
      <w:bodyDiv w:val="1"/>
      <w:marLeft w:val="0"/>
      <w:marRight w:val="0"/>
      <w:marTop w:val="0"/>
      <w:marBottom w:val="0"/>
      <w:divBdr>
        <w:top w:val="none" w:sz="0" w:space="0" w:color="auto"/>
        <w:left w:val="none" w:sz="0" w:space="0" w:color="auto"/>
        <w:bottom w:val="none" w:sz="0" w:space="0" w:color="auto"/>
        <w:right w:val="none" w:sz="0" w:space="0" w:color="auto"/>
      </w:divBdr>
    </w:div>
    <w:div w:id="666205680">
      <w:bodyDiv w:val="1"/>
      <w:marLeft w:val="0"/>
      <w:marRight w:val="0"/>
      <w:marTop w:val="0"/>
      <w:marBottom w:val="0"/>
      <w:divBdr>
        <w:top w:val="none" w:sz="0" w:space="0" w:color="auto"/>
        <w:left w:val="none" w:sz="0" w:space="0" w:color="auto"/>
        <w:bottom w:val="none" w:sz="0" w:space="0" w:color="auto"/>
        <w:right w:val="none" w:sz="0" w:space="0" w:color="auto"/>
      </w:divBdr>
    </w:div>
    <w:div w:id="707534489">
      <w:bodyDiv w:val="1"/>
      <w:marLeft w:val="0"/>
      <w:marRight w:val="0"/>
      <w:marTop w:val="0"/>
      <w:marBottom w:val="0"/>
      <w:divBdr>
        <w:top w:val="none" w:sz="0" w:space="0" w:color="auto"/>
        <w:left w:val="none" w:sz="0" w:space="0" w:color="auto"/>
        <w:bottom w:val="none" w:sz="0" w:space="0" w:color="auto"/>
        <w:right w:val="none" w:sz="0" w:space="0" w:color="auto"/>
      </w:divBdr>
    </w:div>
    <w:div w:id="749893058">
      <w:bodyDiv w:val="1"/>
      <w:marLeft w:val="0"/>
      <w:marRight w:val="0"/>
      <w:marTop w:val="0"/>
      <w:marBottom w:val="0"/>
      <w:divBdr>
        <w:top w:val="none" w:sz="0" w:space="0" w:color="auto"/>
        <w:left w:val="none" w:sz="0" w:space="0" w:color="auto"/>
        <w:bottom w:val="none" w:sz="0" w:space="0" w:color="auto"/>
        <w:right w:val="none" w:sz="0" w:space="0" w:color="auto"/>
      </w:divBdr>
    </w:div>
    <w:div w:id="908003492">
      <w:bodyDiv w:val="1"/>
      <w:marLeft w:val="0"/>
      <w:marRight w:val="0"/>
      <w:marTop w:val="0"/>
      <w:marBottom w:val="0"/>
      <w:divBdr>
        <w:top w:val="none" w:sz="0" w:space="0" w:color="auto"/>
        <w:left w:val="none" w:sz="0" w:space="0" w:color="auto"/>
        <w:bottom w:val="none" w:sz="0" w:space="0" w:color="auto"/>
        <w:right w:val="none" w:sz="0" w:space="0" w:color="auto"/>
      </w:divBdr>
    </w:div>
    <w:div w:id="1191652459">
      <w:bodyDiv w:val="1"/>
      <w:marLeft w:val="0"/>
      <w:marRight w:val="0"/>
      <w:marTop w:val="0"/>
      <w:marBottom w:val="0"/>
      <w:divBdr>
        <w:top w:val="none" w:sz="0" w:space="0" w:color="auto"/>
        <w:left w:val="none" w:sz="0" w:space="0" w:color="auto"/>
        <w:bottom w:val="none" w:sz="0" w:space="0" w:color="auto"/>
        <w:right w:val="none" w:sz="0" w:space="0" w:color="auto"/>
      </w:divBdr>
    </w:div>
    <w:div w:id="1250844795">
      <w:bodyDiv w:val="1"/>
      <w:marLeft w:val="0"/>
      <w:marRight w:val="0"/>
      <w:marTop w:val="0"/>
      <w:marBottom w:val="0"/>
      <w:divBdr>
        <w:top w:val="none" w:sz="0" w:space="0" w:color="auto"/>
        <w:left w:val="none" w:sz="0" w:space="0" w:color="auto"/>
        <w:bottom w:val="none" w:sz="0" w:space="0" w:color="auto"/>
        <w:right w:val="none" w:sz="0" w:space="0" w:color="auto"/>
      </w:divBdr>
    </w:div>
    <w:div w:id="1255163972">
      <w:bodyDiv w:val="1"/>
      <w:marLeft w:val="0"/>
      <w:marRight w:val="0"/>
      <w:marTop w:val="0"/>
      <w:marBottom w:val="0"/>
      <w:divBdr>
        <w:top w:val="none" w:sz="0" w:space="0" w:color="auto"/>
        <w:left w:val="none" w:sz="0" w:space="0" w:color="auto"/>
        <w:bottom w:val="none" w:sz="0" w:space="0" w:color="auto"/>
        <w:right w:val="none" w:sz="0" w:space="0" w:color="auto"/>
      </w:divBdr>
    </w:div>
    <w:div w:id="1279096223">
      <w:bodyDiv w:val="1"/>
      <w:marLeft w:val="0"/>
      <w:marRight w:val="0"/>
      <w:marTop w:val="0"/>
      <w:marBottom w:val="0"/>
      <w:divBdr>
        <w:top w:val="none" w:sz="0" w:space="0" w:color="auto"/>
        <w:left w:val="none" w:sz="0" w:space="0" w:color="auto"/>
        <w:bottom w:val="none" w:sz="0" w:space="0" w:color="auto"/>
        <w:right w:val="none" w:sz="0" w:space="0" w:color="auto"/>
      </w:divBdr>
    </w:div>
    <w:div w:id="1529180780">
      <w:bodyDiv w:val="1"/>
      <w:marLeft w:val="0"/>
      <w:marRight w:val="0"/>
      <w:marTop w:val="0"/>
      <w:marBottom w:val="0"/>
      <w:divBdr>
        <w:top w:val="none" w:sz="0" w:space="0" w:color="auto"/>
        <w:left w:val="none" w:sz="0" w:space="0" w:color="auto"/>
        <w:bottom w:val="none" w:sz="0" w:space="0" w:color="auto"/>
        <w:right w:val="none" w:sz="0" w:space="0" w:color="auto"/>
      </w:divBdr>
    </w:div>
    <w:div w:id="1539664818">
      <w:bodyDiv w:val="1"/>
      <w:marLeft w:val="0"/>
      <w:marRight w:val="0"/>
      <w:marTop w:val="0"/>
      <w:marBottom w:val="0"/>
      <w:divBdr>
        <w:top w:val="none" w:sz="0" w:space="0" w:color="auto"/>
        <w:left w:val="none" w:sz="0" w:space="0" w:color="auto"/>
        <w:bottom w:val="none" w:sz="0" w:space="0" w:color="auto"/>
        <w:right w:val="none" w:sz="0" w:space="0" w:color="auto"/>
      </w:divBdr>
    </w:div>
    <w:div w:id="1629311190">
      <w:bodyDiv w:val="1"/>
      <w:marLeft w:val="0"/>
      <w:marRight w:val="0"/>
      <w:marTop w:val="0"/>
      <w:marBottom w:val="0"/>
      <w:divBdr>
        <w:top w:val="none" w:sz="0" w:space="0" w:color="auto"/>
        <w:left w:val="none" w:sz="0" w:space="0" w:color="auto"/>
        <w:bottom w:val="none" w:sz="0" w:space="0" w:color="auto"/>
        <w:right w:val="none" w:sz="0" w:space="0" w:color="auto"/>
      </w:divBdr>
    </w:div>
    <w:div w:id="1697073895">
      <w:bodyDiv w:val="1"/>
      <w:marLeft w:val="0"/>
      <w:marRight w:val="0"/>
      <w:marTop w:val="0"/>
      <w:marBottom w:val="0"/>
      <w:divBdr>
        <w:top w:val="none" w:sz="0" w:space="0" w:color="auto"/>
        <w:left w:val="none" w:sz="0" w:space="0" w:color="auto"/>
        <w:bottom w:val="none" w:sz="0" w:space="0" w:color="auto"/>
        <w:right w:val="none" w:sz="0" w:space="0" w:color="auto"/>
      </w:divBdr>
    </w:div>
    <w:div w:id="1755126950">
      <w:bodyDiv w:val="1"/>
      <w:marLeft w:val="0"/>
      <w:marRight w:val="0"/>
      <w:marTop w:val="0"/>
      <w:marBottom w:val="0"/>
      <w:divBdr>
        <w:top w:val="none" w:sz="0" w:space="0" w:color="auto"/>
        <w:left w:val="none" w:sz="0" w:space="0" w:color="auto"/>
        <w:bottom w:val="none" w:sz="0" w:space="0" w:color="auto"/>
        <w:right w:val="none" w:sz="0" w:space="0" w:color="auto"/>
      </w:divBdr>
    </w:div>
    <w:div w:id="2054228480">
      <w:bodyDiv w:val="1"/>
      <w:marLeft w:val="0"/>
      <w:marRight w:val="0"/>
      <w:marTop w:val="0"/>
      <w:marBottom w:val="0"/>
      <w:divBdr>
        <w:top w:val="none" w:sz="0" w:space="0" w:color="auto"/>
        <w:left w:val="none" w:sz="0" w:space="0" w:color="auto"/>
        <w:bottom w:val="none" w:sz="0" w:space="0" w:color="auto"/>
        <w:right w:val="none" w:sz="0" w:space="0" w:color="auto"/>
      </w:divBdr>
      <w:divsChild>
        <w:div w:id="397829661">
          <w:marLeft w:val="0"/>
          <w:marRight w:val="72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0644CCD52964FE4BBD8AB8E0B060EA47" ma:contentTypeVersion="3" ma:contentTypeDescription="צור מסמך חדש." ma:contentTypeScope="" ma:versionID="2bb10b40ee8d3a599c5f62d28aa9a0b5">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c347f0a8e3e1664f2bb8f913eca227a"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1:eWaveListOrderValu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 ma:internalName="PublishingStartDate">
      <xsd:simpleType>
        <xsd:restriction base="dms:Unknown"/>
      </xsd:simpleType>
    </xsd:element>
    <xsd:element name="PublishingExpirationDate" ma:index="9" nillable="true" ma:displayName="מתזמן תאריך סיום" ma:internalName="PublishingExpirationDate">
      <xsd:simpleType>
        <xsd:restriction base="dms:Unknown"/>
      </xsd:simpleType>
    </xsd:element>
    <xsd:element name="eWaveListOrderValue" ma:index="10" nillable="true" ma:displayName="סידור" ma:decimals="2" ma:internalName="eWaveListOrderValue"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1" nillable="true" ma:displayName="תאריך יצירה" ma:description="התאריך שבו נוצר משאב זה"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eWaveListOrderValu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6E4DB-B005-4D89-9079-4214E277B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F42D3D-1963-4F81-8AFA-5398489731FB}">
  <ds:schemaRefs>
    <ds:schemaRef ds:uri="http://schemas.microsoft.com/sharepoint/v3/contenttype/forms"/>
  </ds:schemaRefs>
</ds:datastoreItem>
</file>

<file path=customXml/itemProps3.xml><?xml version="1.0" encoding="utf-8"?>
<ds:datastoreItem xmlns:ds="http://schemas.openxmlformats.org/officeDocument/2006/customXml" ds:itemID="{26446184-442F-4BF3-8B7C-C23B2258C0BE}">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s>
</ds:datastoreItem>
</file>

<file path=customXml/itemProps4.xml><?xml version="1.0" encoding="utf-8"?>
<ds:datastoreItem xmlns:ds="http://schemas.openxmlformats.org/officeDocument/2006/customXml" ds:itemID="{BB10310C-43E2-4B90-9B3C-0F9A92793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1232</Words>
  <Characters>6162</Characters>
  <Application>Microsoft Office Word</Application>
  <DocSecurity>0</DocSecurity>
  <Lines>51</Lines>
  <Paragraphs>14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2022-12-21T06:52:00Z</dcterms:created>
  <dcterms:modified xsi:type="dcterms:W3CDTF">2022-12-21T06:52:00Z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0x0101000644CCD52964FE4BBD8AB8E0B060EA47</vt:lpwstr>
  </property>
</Properties>
</file>