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9310" w:type="dxa"/>
        <w:jc w:val="center"/>
        <w:tblLayout w:type="fixed"/>
        <w:tblLook w:val="0000" w:firstRow="0" w:lastRow="0" w:firstColumn="0" w:lastColumn="0" w:noHBand="0" w:noVBand="0"/>
      </w:tblPr>
      <w:tblGrid>
        <w:gridCol w:w="2582"/>
        <w:gridCol w:w="3644"/>
        <w:gridCol w:w="3084"/>
      </w:tblGrid>
      <w:tr w:rsidR="0099592D" w:rsidRPr="00DF107C" w14:paraId="3907F3FF" w14:textId="77777777" w:rsidTr="0036434B">
        <w:trPr>
          <w:jc w:val="center"/>
        </w:trPr>
        <w:tc>
          <w:tcPr>
            <w:tcW w:w="2582" w:type="dxa"/>
            <w:tcBorders>
              <w:top w:val="nil"/>
              <w:left w:val="nil"/>
              <w:bottom w:val="nil"/>
              <w:right w:val="nil"/>
            </w:tcBorders>
            <w:vAlign w:val="center"/>
          </w:tcPr>
          <w:p w14:paraId="25100C48" w14:textId="77777777" w:rsidR="0099592D" w:rsidRPr="00520BB4" w:rsidRDefault="0099592D" w:rsidP="0036434B">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14:paraId="73B3FDD2" w14:textId="77777777" w:rsidR="0099592D" w:rsidRDefault="0099592D" w:rsidP="0036434B">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3644" w:type="dxa"/>
            <w:tcBorders>
              <w:top w:val="nil"/>
              <w:left w:val="nil"/>
              <w:bottom w:val="nil"/>
              <w:right w:val="nil"/>
            </w:tcBorders>
          </w:tcPr>
          <w:p w14:paraId="5B1D4F0F" w14:textId="77777777" w:rsidR="0099592D" w:rsidRDefault="0099592D" w:rsidP="0036434B">
            <w:pPr>
              <w:bidi/>
              <w:jc w:val="center"/>
            </w:pPr>
            <w:r w:rsidRPr="00B93FD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01284B0B" wp14:editId="01D38A77">
                  <wp:simplePos x="0" y="0"/>
                  <wp:positionH relativeFrom="column">
                    <wp:posOffset>403860</wp:posOffset>
                  </wp:positionH>
                  <wp:positionV relativeFrom="paragraph">
                    <wp:posOffset>0</wp:posOffset>
                  </wp:positionV>
                  <wp:extent cx="1051200" cy="1051200"/>
                  <wp:effectExtent l="0" t="0" r="0" b="0"/>
                  <wp:wrapSquare wrapText="bothSides"/>
                  <wp:docPr id="4" name="תמונה 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14:paraId="0E6ED056" w14:textId="0500D413" w:rsidR="0099592D" w:rsidRPr="00E25CF8" w:rsidRDefault="0099592D" w:rsidP="0099592D">
            <w:pPr>
              <w:bidi/>
              <w:spacing w:line="480" w:lineRule="auto"/>
              <w:jc w:val="right"/>
              <w:rPr>
                <w:rFonts w:cs="David"/>
                <w:sz w:val="24"/>
                <w:szCs w:val="24"/>
              </w:rPr>
            </w:pPr>
            <w:r w:rsidRPr="00E25CF8">
              <w:rPr>
                <w:rFonts w:cs="David" w:hint="eastAsia"/>
                <w:sz w:val="24"/>
                <w:szCs w:val="24"/>
                <w:rtl/>
              </w:rPr>
              <w:t>‏</w:t>
            </w:r>
            <w:r w:rsidRPr="00E25CF8">
              <w:rPr>
                <w:rFonts w:cs="David" w:hint="cs"/>
                <w:sz w:val="24"/>
                <w:szCs w:val="24"/>
                <w:rtl/>
              </w:rPr>
              <w:t xml:space="preserve">ירושלים, </w:t>
            </w:r>
            <w:r>
              <w:rPr>
                <w:rFonts w:cs="David" w:hint="cs"/>
                <w:sz w:val="24"/>
                <w:szCs w:val="24"/>
                <w:rtl/>
              </w:rPr>
              <w:t>ז</w:t>
            </w:r>
            <w:r w:rsidRPr="00E25CF8">
              <w:rPr>
                <w:rFonts w:cs="David" w:hint="cs"/>
                <w:sz w:val="24"/>
                <w:szCs w:val="24"/>
                <w:rtl/>
              </w:rPr>
              <w:t xml:space="preserve">' באדר א' </w:t>
            </w:r>
            <w:proofErr w:type="spellStart"/>
            <w:r w:rsidRPr="00E25CF8">
              <w:rPr>
                <w:rFonts w:cs="David" w:hint="cs"/>
                <w:sz w:val="24"/>
                <w:szCs w:val="24"/>
                <w:rtl/>
              </w:rPr>
              <w:t>התשפ"ב</w:t>
            </w:r>
            <w:proofErr w:type="spellEnd"/>
          </w:p>
          <w:p w14:paraId="4C3B3D92" w14:textId="28552C67" w:rsidR="0099592D" w:rsidRPr="00E25CF8" w:rsidRDefault="0099592D" w:rsidP="0036434B">
            <w:pPr>
              <w:bidi/>
              <w:spacing w:line="480" w:lineRule="auto"/>
              <w:jc w:val="right"/>
              <w:rPr>
                <w:rFonts w:cs="David"/>
                <w:sz w:val="24"/>
                <w:szCs w:val="24"/>
                <w:rtl/>
              </w:rPr>
            </w:pPr>
            <w:r>
              <w:rPr>
                <w:rFonts w:cs="David" w:hint="cs"/>
                <w:sz w:val="24"/>
                <w:szCs w:val="24"/>
                <w:rtl/>
              </w:rPr>
              <w:t>8</w:t>
            </w:r>
            <w:r w:rsidRPr="00E25CF8">
              <w:rPr>
                <w:rFonts w:cs="David" w:hint="cs"/>
                <w:sz w:val="24"/>
                <w:szCs w:val="24"/>
                <w:rtl/>
              </w:rPr>
              <w:t xml:space="preserve"> פברואר 2022</w:t>
            </w:r>
          </w:p>
          <w:p w14:paraId="17B5EB13" w14:textId="77777777" w:rsidR="0099592D" w:rsidRPr="00E25CF8" w:rsidRDefault="0099592D" w:rsidP="0036434B">
            <w:pPr>
              <w:bidi/>
              <w:spacing w:line="480" w:lineRule="auto"/>
              <w:jc w:val="right"/>
              <w:rPr>
                <w:rFonts w:cs="David"/>
                <w:sz w:val="24"/>
                <w:szCs w:val="24"/>
              </w:rPr>
            </w:pPr>
          </w:p>
        </w:tc>
      </w:tr>
    </w:tbl>
    <w:p w14:paraId="0E604AD4" w14:textId="77777777" w:rsidR="0099592D" w:rsidRPr="0099592D" w:rsidRDefault="0062387C" w:rsidP="0099592D">
      <w:pPr>
        <w:bidi/>
        <w:rPr>
          <w:rFonts w:ascii="David" w:hAnsi="David" w:cs="David"/>
          <w:sz w:val="24"/>
          <w:szCs w:val="24"/>
          <w:rtl/>
        </w:rPr>
      </w:pPr>
      <w:r w:rsidRPr="0099592D">
        <w:rPr>
          <w:rFonts w:ascii="David" w:hAnsi="David" w:cs="David" w:hint="cs"/>
          <w:sz w:val="24"/>
          <w:szCs w:val="24"/>
          <w:rtl/>
        </w:rPr>
        <w:t>הודעה לעיתונות:</w:t>
      </w:r>
    </w:p>
    <w:p w14:paraId="6470F61B" w14:textId="239655C1" w:rsidR="00F13973" w:rsidRPr="0099592D" w:rsidRDefault="0062387C" w:rsidP="0099592D">
      <w:pPr>
        <w:bidi/>
        <w:jc w:val="center"/>
        <w:rPr>
          <w:rFonts w:ascii="David" w:hAnsi="David" w:cs="David"/>
          <w:b/>
          <w:bCs/>
          <w:sz w:val="28"/>
          <w:szCs w:val="28"/>
          <w:rtl/>
        </w:rPr>
      </w:pPr>
      <w:r w:rsidRPr="0099592D">
        <w:rPr>
          <w:rFonts w:ascii="David" w:hAnsi="David" w:cs="David" w:hint="cs"/>
          <w:b/>
          <w:bCs/>
          <w:sz w:val="28"/>
          <w:szCs w:val="28"/>
          <w:rtl/>
        </w:rPr>
        <w:t xml:space="preserve"> מחקר</w:t>
      </w:r>
      <w:r w:rsidR="00844ACF">
        <w:rPr>
          <w:rFonts w:ascii="David" w:hAnsi="David" w:cs="David" w:hint="cs"/>
          <w:b/>
          <w:bCs/>
          <w:sz w:val="28"/>
          <w:szCs w:val="28"/>
          <w:rtl/>
        </w:rPr>
        <w:t xml:space="preserve"> חדש בבנק ישראל:</w:t>
      </w:r>
      <w:r w:rsidRPr="0099592D">
        <w:rPr>
          <w:rFonts w:ascii="David" w:hAnsi="David" w:cs="David" w:hint="cs"/>
          <w:b/>
          <w:bCs/>
          <w:sz w:val="28"/>
          <w:szCs w:val="28"/>
          <w:rtl/>
        </w:rPr>
        <w:t xml:space="preserve"> זכויות נושים</w:t>
      </w:r>
      <w:r w:rsidR="00CE799E" w:rsidRPr="0099592D">
        <w:rPr>
          <w:rFonts w:ascii="David" w:hAnsi="David" w:cs="David" w:hint="cs"/>
          <w:b/>
          <w:bCs/>
          <w:sz w:val="28"/>
          <w:szCs w:val="28"/>
          <w:rtl/>
        </w:rPr>
        <w:t xml:space="preserve">, </w:t>
      </w:r>
      <w:proofErr w:type="spellStart"/>
      <w:r w:rsidR="00CE799E" w:rsidRPr="0099592D">
        <w:rPr>
          <w:rFonts w:ascii="David" w:hAnsi="David" w:cs="David" w:hint="cs"/>
          <w:b/>
          <w:bCs/>
          <w:sz w:val="28"/>
          <w:szCs w:val="28"/>
          <w:rtl/>
        </w:rPr>
        <w:t>תניות</w:t>
      </w:r>
      <w:proofErr w:type="spellEnd"/>
      <w:r w:rsidR="00CE799E" w:rsidRPr="0099592D">
        <w:rPr>
          <w:rFonts w:ascii="David" w:hAnsi="David" w:cs="David" w:hint="cs"/>
          <w:b/>
          <w:bCs/>
          <w:sz w:val="28"/>
          <w:szCs w:val="28"/>
          <w:rtl/>
        </w:rPr>
        <w:t xml:space="preserve"> משתמעות,</w:t>
      </w:r>
      <w:r w:rsidRPr="0099592D">
        <w:rPr>
          <w:rFonts w:ascii="David" w:hAnsi="David" w:cs="David" w:hint="cs"/>
          <w:b/>
          <w:bCs/>
          <w:sz w:val="28"/>
          <w:szCs w:val="28"/>
          <w:rtl/>
        </w:rPr>
        <w:t xml:space="preserve"> ואיכות המידע החשבונאי</w:t>
      </w:r>
    </w:p>
    <w:p w14:paraId="21D87D7D" w14:textId="77777777" w:rsidR="00FD5069" w:rsidRPr="00486D11" w:rsidRDefault="000549D3" w:rsidP="00FD5069">
      <w:pPr>
        <w:pStyle w:val="a6"/>
        <w:numPr>
          <w:ilvl w:val="0"/>
          <w:numId w:val="1"/>
        </w:numPr>
        <w:bidi/>
        <w:spacing w:line="360" w:lineRule="auto"/>
        <w:jc w:val="both"/>
        <w:rPr>
          <w:rFonts w:ascii="David" w:hAnsi="David" w:cs="David"/>
          <w:sz w:val="24"/>
          <w:szCs w:val="24"/>
        </w:rPr>
      </w:pPr>
      <w:r w:rsidRPr="00486D11">
        <w:rPr>
          <w:rFonts w:ascii="David" w:hAnsi="David" w:cs="David" w:hint="cs"/>
          <w:sz w:val="24"/>
          <w:szCs w:val="24"/>
          <w:rtl/>
        </w:rPr>
        <w:t>ה</w:t>
      </w:r>
      <w:r w:rsidR="006F33D9" w:rsidRPr="00486D11">
        <w:rPr>
          <w:rFonts w:ascii="David" w:hAnsi="David" w:cs="David"/>
          <w:sz w:val="24"/>
          <w:szCs w:val="24"/>
          <w:rtl/>
        </w:rPr>
        <w:t xml:space="preserve">מחקר </w:t>
      </w:r>
      <w:r w:rsidR="006F33D9" w:rsidRPr="00486D11">
        <w:rPr>
          <w:rFonts w:ascii="David" w:hAnsi="David" w:cs="David" w:hint="cs"/>
          <w:sz w:val="24"/>
          <w:szCs w:val="24"/>
          <w:rtl/>
        </w:rPr>
        <w:t xml:space="preserve">בוחן את ההשפעה של </w:t>
      </w:r>
      <w:r w:rsidR="009E2AE0" w:rsidRPr="00486D11">
        <w:rPr>
          <w:rFonts w:ascii="David" w:hAnsi="David" w:cs="David" w:hint="cs"/>
          <w:sz w:val="24"/>
          <w:szCs w:val="24"/>
          <w:rtl/>
        </w:rPr>
        <w:t>פסיקה תקדימית של בית המשפט בשנת 2013</w:t>
      </w:r>
      <w:r w:rsidR="006F33D9" w:rsidRPr="00486D11">
        <w:rPr>
          <w:rFonts w:ascii="David" w:hAnsi="David" w:cs="David" w:hint="cs"/>
          <w:sz w:val="24"/>
          <w:szCs w:val="24"/>
          <w:rtl/>
        </w:rPr>
        <w:t>,</w:t>
      </w:r>
      <w:r w:rsidR="009E2AE0" w:rsidRPr="00486D11">
        <w:rPr>
          <w:rFonts w:ascii="David" w:hAnsi="David" w:cs="David" w:hint="cs"/>
          <w:sz w:val="24"/>
          <w:szCs w:val="24"/>
          <w:rtl/>
        </w:rPr>
        <w:t xml:space="preserve"> </w:t>
      </w:r>
      <w:r w:rsidRPr="00486D11">
        <w:rPr>
          <w:rFonts w:ascii="David" w:hAnsi="David" w:cs="David" w:hint="cs"/>
          <w:sz w:val="24"/>
          <w:szCs w:val="24"/>
          <w:rtl/>
        </w:rPr>
        <w:t xml:space="preserve">שנתנה כוח </w:t>
      </w:r>
      <w:r w:rsidR="009E2AE0" w:rsidRPr="00486D11">
        <w:rPr>
          <w:rFonts w:ascii="David" w:hAnsi="David" w:cs="David" w:hint="cs"/>
          <w:sz w:val="24"/>
          <w:szCs w:val="24"/>
          <w:rtl/>
        </w:rPr>
        <w:t xml:space="preserve">לנושים </w:t>
      </w:r>
      <w:r w:rsidR="00511C44" w:rsidRPr="00486D11">
        <w:rPr>
          <w:rFonts w:ascii="David" w:hAnsi="David" w:cs="David" w:hint="cs"/>
          <w:sz w:val="24"/>
          <w:szCs w:val="24"/>
          <w:rtl/>
        </w:rPr>
        <w:t xml:space="preserve">לכפות הליך חדלות פירעון על </w:t>
      </w:r>
      <w:r w:rsidR="009E2AE0" w:rsidRPr="00486D11">
        <w:rPr>
          <w:rFonts w:ascii="David" w:hAnsi="David" w:cs="David" w:hint="cs"/>
          <w:sz w:val="24"/>
          <w:szCs w:val="24"/>
          <w:rtl/>
        </w:rPr>
        <w:t xml:space="preserve">חברות ששווי נכסיהן נמוך משווי התחייבויותיהן, גם בהיעדר תניה ספציפית בשטר-החוב של </w:t>
      </w:r>
      <w:proofErr w:type="spellStart"/>
      <w:r w:rsidR="009E2AE0" w:rsidRPr="00486D11">
        <w:rPr>
          <w:rFonts w:ascii="David" w:hAnsi="David" w:cs="David" w:hint="cs"/>
          <w:sz w:val="24"/>
          <w:szCs w:val="24"/>
          <w:rtl/>
        </w:rPr>
        <w:t>האג"ח</w:t>
      </w:r>
      <w:proofErr w:type="spellEnd"/>
      <w:r w:rsidR="009E2AE0" w:rsidRPr="00486D11">
        <w:rPr>
          <w:rFonts w:ascii="David" w:hAnsi="David" w:cs="David" w:hint="cs"/>
          <w:sz w:val="24"/>
          <w:szCs w:val="24"/>
          <w:rtl/>
        </w:rPr>
        <w:t>.</w:t>
      </w:r>
      <w:r w:rsidR="009C319B" w:rsidRPr="00486D11">
        <w:rPr>
          <w:rFonts w:ascii="David" w:hAnsi="David" w:cs="David" w:hint="cs"/>
          <w:sz w:val="24"/>
          <w:szCs w:val="24"/>
          <w:rtl/>
        </w:rPr>
        <w:t xml:space="preserve"> </w:t>
      </w:r>
    </w:p>
    <w:p w14:paraId="2077C917" w14:textId="0A380A06" w:rsidR="00FD5069" w:rsidRPr="00486D11" w:rsidRDefault="00917DF9" w:rsidP="00FD5069">
      <w:pPr>
        <w:pStyle w:val="a6"/>
        <w:numPr>
          <w:ilvl w:val="0"/>
          <w:numId w:val="1"/>
        </w:numPr>
        <w:bidi/>
        <w:spacing w:line="360" w:lineRule="auto"/>
        <w:jc w:val="both"/>
        <w:rPr>
          <w:rFonts w:ascii="David" w:hAnsi="David" w:cs="David"/>
          <w:sz w:val="24"/>
          <w:szCs w:val="24"/>
        </w:rPr>
      </w:pPr>
      <w:r w:rsidRPr="00486D11">
        <w:rPr>
          <w:rFonts w:ascii="David" w:hAnsi="David" w:cs="David" w:hint="cs"/>
          <w:sz w:val="24"/>
          <w:szCs w:val="24"/>
          <w:rtl/>
        </w:rPr>
        <w:t xml:space="preserve">בהתבסס על  תגובת השוק, </w:t>
      </w:r>
      <w:r w:rsidR="000549D3" w:rsidRPr="00486D11">
        <w:rPr>
          <w:rFonts w:ascii="David" w:hAnsi="David" w:cs="David"/>
          <w:sz w:val="24"/>
          <w:szCs w:val="24"/>
          <w:rtl/>
        </w:rPr>
        <w:t>ה</w:t>
      </w:r>
      <w:r w:rsidR="000549D3" w:rsidRPr="00486D11">
        <w:rPr>
          <w:rFonts w:ascii="David" w:hAnsi="David" w:cs="David" w:hint="cs"/>
          <w:sz w:val="24"/>
          <w:szCs w:val="24"/>
          <w:rtl/>
        </w:rPr>
        <w:t xml:space="preserve">מחקר </w:t>
      </w:r>
      <w:r w:rsidR="009E2AE0" w:rsidRPr="00486D11">
        <w:rPr>
          <w:rFonts w:ascii="David" w:hAnsi="David" w:cs="David"/>
          <w:sz w:val="24"/>
          <w:szCs w:val="24"/>
          <w:rtl/>
        </w:rPr>
        <w:t xml:space="preserve">מוצא </w:t>
      </w:r>
      <w:r w:rsidR="009E2AE0" w:rsidRPr="00486D11">
        <w:rPr>
          <w:rFonts w:ascii="David" w:hAnsi="David" w:cs="David" w:hint="cs"/>
          <w:sz w:val="24"/>
          <w:szCs w:val="24"/>
          <w:rtl/>
        </w:rPr>
        <w:t>שהפסיקה</w:t>
      </w:r>
      <w:r w:rsidRPr="00486D11">
        <w:rPr>
          <w:rFonts w:ascii="David" w:hAnsi="David" w:cs="David" w:hint="cs"/>
          <w:sz w:val="24"/>
          <w:szCs w:val="24"/>
          <w:rtl/>
        </w:rPr>
        <w:t>, המאפשרת כפיית הסדר חוב בשלב מוקדם יותר,</w:t>
      </w:r>
      <w:r w:rsidR="009E2AE0" w:rsidRPr="00486D11">
        <w:rPr>
          <w:rFonts w:ascii="David" w:hAnsi="David" w:cs="David" w:hint="cs"/>
          <w:sz w:val="24"/>
          <w:szCs w:val="24"/>
          <w:rtl/>
        </w:rPr>
        <w:t xml:space="preserve"> </w:t>
      </w:r>
      <w:r w:rsidRPr="00486D11">
        <w:rPr>
          <w:rFonts w:ascii="David" w:hAnsi="David" w:cs="David" w:hint="cs"/>
          <w:sz w:val="24"/>
          <w:szCs w:val="24"/>
          <w:rtl/>
        </w:rPr>
        <w:t>כאשר מצבה של החברה עודנו שפיר יחסית,</w:t>
      </w:r>
      <w:r w:rsidRPr="00486D11" w:rsidDel="00917DF9">
        <w:rPr>
          <w:rFonts w:ascii="David" w:hAnsi="David" w:cs="David" w:hint="cs"/>
          <w:sz w:val="24"/>
          <w:szCs w:val="24"/>
          <w:rtl/>
        </w:rPr>
        <w:t xml:space="preserve"> </w:t>
      </w:r>
      <w:r w:rsidRPr="00486D11">
        <w:rPr>
          <w:rFonts w:ascii="David" w:hAnsi="David" w:cs="David" w:hint="cs"/>
          <w:sz w:val="24"/>
          <w:szCs w:val="24"/>
          <w:rtl/>
        </w:rPr>
        <w:t xml:space="preserve">הועילה למחזיקי </w:t>
      </w:r>
      <w:proofErr w:type="spellStart"/>
      <w:r w:rsidR="005D719D" w:rsidRPr="00486D11">
        <w:rPr>
          <w:rFonts w:ascii="David" w:hAnsi="David" w:cs="David" w:hint="cs"/>
          <w:sz w:val="24"/>
          <w:szCs w:val="24"/>
          <w:rtl/>
        </w:rPr>
        <w:t>האג"ח</w:t>
      </w:r>
      <w:proofErr w:type="spellEnd"/>
      <w:r w:rsidR="005D719D" w:rsidRPr="00486D11">
        <w:rPr>
          <w:rFonts w:ascii="David" w:hAnsi="David" w:cs="David" w:hint="cs"/>
          <w:sz w:val="24"/>
          <w:szCs w:val="24"/>
          <w:rtl/>
        </w:rPr>
        <w:t xml:space="preserve"> (ה</w:t>
      </w:r>
      <w:r w:rsidR="009E2AE0" w:rsidRPr="00486D11">
        <w:rPr>
          <w:rFonts w:ascii="David" w:hAnsi="David" w:cs="David" w:hint="cs"/>
          <w:sz w:val="24"/>
          <w:szCs w:val="24"/>
          <w:rtl/>
        </w:rPr>
        <w:t>נושים</w:t>
      </w:r>
      <w:r w:rsidR="005D719D" w:rsidRPr="00486D11">
        <w:rPr>
          <w:rFonts w:ascii="David" w:hAnsi="David" w:cs="David" w:hint="cs"/>
          <w:sz w:val="24"/>
          <w:szCs w:val="24"/>
          <w:rtl/>
        </w:rPr>
        <w:t>)</w:t>
      </w:r>
      <w:r w:rsidR="009E2AE0" w:rsidRPr="00486D11">
        <w:rPr>
          <w:rFonts w:ascii="David" w:hAnsi="David" w:cs="David" w:hint="cs"/>
          <w:sz w:val="24"/>
          <w:szCs w:val="24"/>
          <w:rtl/>
        </w:rPr>
        <w:t xml:space="preserve"> על-חשבון בעלי-המניות</w:t>
      </w:r>
      <w:r w:rsidRPr="00486D11">
        <w:rPr>
          <w:rFonts w:ascii="David" w:hAnsi="David" w:cs="David" w:hint="cs"/>
          <w:sz w:val="24"/>
          <w:szCs w:val="24"/>
          <w:rtl/>
        </w:rPr>
        <w:t xml:space="preserve">. </w:t>
      </w:r>
      <w:r w:rsidR="000549D3" w:rsidRPr="00486D11">
        <w:rPr>
          <w:rFonts w:ascii="David" w:hAnsi="David" w:cs="David" w:hint="cs"/>
          <w:sz w:val="24"/>
          <w:szCs w:val="24"/>
          <w:rtl/>
        </w:rPr>
        <w:t>המחקר מוצא</w:t>
      </w:r>
      <w:r w:rsidR="009E2AE0" w:rsidRPr="00486D11">
        <w:rPr>
          <w:rFonts w:ascii="David" w:hAnsi="David" w:cs="David" w:hint="cs"/>
          <w:sz w:val="24"/>
          <w:szCs w:val="24"/>
          <w:rtl/>
        </w:rPr>
        <w:t xml:space="preserve"> </w:t>
      </w:r>
      <w:r w:rsidRPr="00486D11">
        <w:rPr>
          <w:rFonts w:ascii="David" w:hAnsi="David" w:cs="David" w:hint="cs"/>
          <w:sz w:val="24"/>
          <w:szCs w:val="24"/>
          <w:rtl/>
        </w:rPr>
        <w:t xml:space="preserve">גם </w:t>
      </w:r>
      <w:r w:rsidR="00895F55" w:rsidRPr="00486D11">
        <w:rPr>
          <w:rFonts w:ascii="David" w:hAnsi="David" w:cs="David" w:hint="cs"/>
          <w:sz w:val="24"/>
          <w:szCs w:val="24"/>
          <w:rtl/>
        </w:rPr>
        <w:t xml:space="preserve">שהשווי הנקי של </w:t>
      </w:r>
      <w:r w:rsidR="009E2AE0" w:rsidRPr="00486D11">
        <w:rPr>
          <w:rFonts w:ascii="David" w:hAnsi="David" w:cs="David" w:hint="cs"/>
          <w:sz w:val="24"/>
          <w:szCs w:val="24"/>
          <w:rtl/>
        </w:rPr>
        <w:t xml:space="preserve">חברות בקשיים שהושפעו מהפסיקה </w:t>
      </w:r>
      <w:r w:rsidR="00895F55" w:rsidRPr="00486D11">
        <w:rPr>
          <w:rFonts w:ascii="David" w:hAnsi="David" w:cs="David" w:hint="cs"/>
          <w:sz w:val="24"/>
          <w:szCs w:val="24"/>
          <w:rtl/>
        </w:rPr>
        <w:t>עלה</w:t>
      </w:r>
      <w:r w:rsidR="009E2AE0" w:rsidRPr="00486D11">
        <w:rPr>
          <w:rFonts w:ascii="David" w:hAnsi="David" w:cs="David" w:hint="cs"/>
          <w:sz w:val="24"/>
          <w:szCs w:val="24"/>
          <w:rtl/>
        </w:rPr>
        <w:t xml:space="preserve"> ביחס לחברות אחרות</w:t>
      </w:r>
      <w:r w:rsidR="00895F55" w:rsidRPr="00486D11">
        <w:rPr>
          <w:rFonts w:ascii="David" w:hAnsi="David" w:cs="David" w:hint="cs"/>
          <w:sz w:val="24"/>
          <w:szCs w:val="24"/>
          <w:rtl/>
        </w:rPr>
        <w:t xml:space="preserve">. יש אינדיקציות לכך שחברות בקשיים שהושפעו מהפסיקה גייסו יותר הון, </w:t>
      </w:r>
      <w:r w:rsidR="009E2AE0" w:rsidRPr="00486D11">
        <w:rPr>
          <w:rFonts w:ascii="David" w:hAnsi="David" w:cs="David" w:hint="cs"/>
          <w:sz w:val="24"/>
          <w:szCs w:val="24"/>
          <w:rtl/>
        </w:rPr>
        <w:t xml:space="preserve">אבל נראה שחלקן </w:t>
      </w:r>
      <w:r w:rsidR="00370F28" w:rsidRPr="00486D11">
        <w:rPr>
          <w:rFonts w:ascii="David" w:hAnsi="David" w:cs="David" w:hint="cs"/>
          <w:sz w:val="24"/>
          <w:szCs w:val="24"/>
          <w:rtl/>
        </w:rPr>
        <w:t>שיפרו את השווי גם</w:t>
      </w:r>
      <w:r w:rsidR="009E2AE0" w:rsidRPr="00486D11">
        <w:rPr>
          <w:rFonts w:ascii="David" w:hAnsi="David" w:cs="David" w:hint="cs"/>
          <w:sz w:val="24"/>
          <w:szCs w:val="24"/>
          <w:rtl/>
        </w:rPr>
        <w:t xml:space="preserve"> באמצעות </w:t>
      </w:r>
      <w:r w:rsidR="00032C66" w:rsidRPr="00486D11">
        <w:rPr>
          <w:rFonts w:ascii="David" w:hAnsi="David" w:cs="David" w:hint="cs"/>
          <w:sz w:val="24"/>
          <w:szCs w:val="24"/>
          <w:rtl/>
        </w:rPr>
        <w:t>שימוש בחשבונאות אגרסיבית</w:t>
      </w:r>
      <w:r w:rsidR="009C319B" w:rsidRPr="00486D11">
        <w:rPr>
          <w:rFonts w:ascii="David" w:hAnsi="David" w:cs="David" w:hint="cs"/>
          <w:sz w:val="24"/>
          <w:szCs w:val="24"/>
          <w:rtl/>
        </w:rPr>
        <w:t>. כתוצאה מכך, הדוחות הכספיים של חברות אלה מספקים מידע פחות אמין למשקיעים</w:t>
      </w:r>
      <w:r w:rsidR="00FD5069" w:rsidRPr="00486D11">
        <w:rPr>
          <w:rFonts w:ascii="David" w:hAnsi="David" w:cs="David" w:hint="cs"/>
          <w:sz w:val="24"/>
          <w:szCs w:val="24"/>
          <w:rtl/>
        </w:rPr>
        <w:t>.</w:t>
      </w:r>
      <w:r w:rsidR="000C5BB6" w:rsidRPr="00486D11">
        <w:rPr>
          <w:rFonts w:ascii="David" w:hAnsi="David" w:cs="David" w:hint="cs"/>
          <w:sz w:val="24"/>
          <w:szCs w:val="24"/>
          <w:rtl/>
        </w:rPr>
        <w:t xml:space="preserve"> </w:t>
      </w:r>
    </w:p>
    <w:p w14:paraId="22E5336A" w14:textId="3F13DFA4" w:rsidR="00FD5069" w:rsidRPr="00486D11" w:rsidRDefault="00FD5069" w:rsidP="00FD5069">
      <w:pPr>
        <w:pStyle w:val="a6"/>
        <w:numPr>
          <w:ilvl w:val="0"/>
          <w:numId w:val="1"/>
        </w:numPr>
        <w:bidi/>
        <w:spacing w:line="360" w:lineRule="auto"/>
        <w:jc w:val="both"/>
        <w:rPr>
          <w:rFonts w:ascii="David" w:hAnsi="David" w:cs="David"/>
          <w:sz w:val="24"/>
          <w:szCs w:val="24"/>
        </w:rPr>
      </w:pPr>
      <w:r w:rsidRPr="00486D11">
        <w:rPr>
          <w:rFonts w:ascii="David" w:hAnsi="David" w:cs="David" w:hint="cs"/>
          <w:sz w:val="24"/>
          <w:szCs w:val="24"/>
          <w:rtl/>
        </w:rPr>
        <w:t>המחקר הנוכחי הוא הראשון שבוחן את ההשפעה של גידול ביכולתם של הנושים לאלץ חברות להיכנס להסדר חוב, והוא ייחודי בהתמקדותו בהשפעה של זכויות הנושים על איכות הדיווח הפיננסי וההתנהלות החשבונאית של החברות. הממצאים מראים ששינויים שנועדו לתת לנושים יותר זכויות במצבי עולם מסוימים עלולים להישחק כתוצאה מתגובות החברות לאותם שינויים.</w:t>
      </w:r>
    </w:p>
    <w:p w14:paraId="61657120" w14:textId="77777777" w:rsidR="0028447F" w:rsidRPr="00486D11" w:rsidRDefault="0028447F" w:rsidP="00BF463C">
      <w:pPr>
        <w:bidi/>
        <w:spacing w:line="360" w:lineRule="auto"/>
        <w:jc w:val="both"/>
        <w:rPr>
          <w:rFonts w:ascii="David" w:hAnsi="David" w:cs="David"/>
          <w:sz w:val="24"/>
          <w:szCs w:val="24"/>
          <w:rtl/>
        </w:rPr>
      </w:pPr>
      <w:r w:rsidRPr="00486D11">
        <w:rPr>
          <w:rFonts w:ascii="David" w:hAnsi="David" w:cs="David" w:hint="cs"/>
          <w:sz w:val="24"/>
          <w:szCs w:val="24"/>
          <w:rtl/>
        </w:rPr>
        <w:t xml:space="preserve">הגנה על זכויות הנושים היא הבסיס לפיתוחו של שוק חוב פרטי המאפשר לחברות ללוות כסף כדי לממן את פעילותן. עם-זאת, מספר מחקרים מהשנים האחרונות מצאו שלחיזוק של זכויות הנושים בחברות יכולות להיות גם תוצאות </w:t>
      </w:r>
      <w:r w:rsidR="00781008" w:rsidRPr="00486D11">
        <w:rPr>
          <w:rFonts w:ascii="David" w:hAnsi="David" w:cs="David" w:hint="cs"/>
          <w:sz w:val="24"/>
          <w:szCs w:val="24"/>
          <w:rtl/>
        </w:rPr>
        <w:t>שליליות בפוטנציה</w:t>
      </w:r>
      <w:r w:rsidRPr="00486D11">
        <w:rPr>
          <w:rFonts w:ascii="David" w:hAnsi="David" w:cs="David" w:hint="cs"/>
          <w:sz w:val="24"/>
          <w:szCs w:val="24"/>
          <w:rtl/>
        </w:rPr>
        <w:t xml:space="preserve"> </w:t>
      </w:r>
      <w:r w:rsidR="006A3207" w:rsidRPr="00486D11">
        <w:rPr>
          <w:rFonts w:ascii="David" w:hAnsi="David" w:cs="David" w:hint="cs"/>
          <w:sz w:val="24"/>
          <w:szCs w:val="24"/>
          <w:rtl/>
        </w:rPr>
        <w:t>כגון</w:t>
      </w:r>
      <w:r w:rsidRPr="00486D11">
        <w:rPr>
          <w:rFonts w:ascii="David" w:hAnsi="David" w:cs="David" w:hint="cs"/>
          <w:sz w:val="24"/>
          <w:szCs w:val="24"/>
          <w:rtl/>
        </w:rPr>
        <w:t xml:space="preserve"> נכונות נמוכה של חברות לקחת סיכונים</w:t>
      </w:r>
      <w:r w:rsidR="0014245B" w:rsidRPr="00486D11">
        <w:rPr>
          <w:rFonts w:ascii="David" w:hAnsi="David" w:cs="David" w:hint="cs"/>
          <w:sz w:val="24"/>
          <w:szCs w:val="24"/>
          <w:rtl/>
        </w:rPr>
        <w:t xml:space="preserve"> </w:t>
      </w:r>
      <w:r w:rsidR="008D4CD5" w:rsidRPr="00486D11">
        <w:rPr>
          <w:rFonts w:ascii="David" w:hAnsi="David" w:cs="David" w:hint="cs"/>
          <w:sz w:val="24"/>
          <w:szCs w:val="24"/>
          <w:rtl/>
        </w:rPr>
        <w:t>עסקיים</w:t>
      </w:r>
      <w:r w:rsidR="0014245B" w:rsidRPr="00486D11">
        <w:rPr>
          <w:rFonts w:ascii="David" w:hAnsi="David" w:cs="David" w:hint="cs"/>
          <w:sz w:val="24"/>
          <w:szCs w:val="24"/>
          <w:rtl/>
        </w:rPr>
        <w:t xml:space="preserve"> או </w:t>
      </w:r>
      <w:proofErr w:type="spellStart"/>
      <w:r w:rsidR="0014245B" w:rsidRPr="00486D11">
        <w:rPr>
          <w:rFonts w:ascii="David" w:hAnsi="David" w:cs="David" w:hint="cs"/>
          <w:sz w:val="24"/>
          <w:szCs w:val="24"/>
          <w:rtl/>
        </w:rPr>
        <w:t>להתמנף</w:t>
      </w:r>
      <w:proofErr w:type="spellEnd"/>
      <w:r w:rsidR="0014245B" w:rsidRPr="00486D11">
        <w:rPr>
          <w:rFonts w:ascii="David" w:hAnsi="David" w:cs="David" w:hint="cs"/>
          <w:sz w:val="24"/>
          <w:szCs w:val="24"/>
          <w:rtl/>
        </w:rPr>
        <w:t xml:space="preserve">. מחקר חדש של אסף חמדני מאוניברסיטת תל-אביב, </w:t>
      </w:r>
      <w:r w:rsidR="00F85924" w:rsidRPr="00486D11">
        <w:rPr>
          <w:rFonts w:ascii="David" w:hAnsi="David" w:cs="David" w:hint="cs"/>
          <w:sz w:val="24"/>
          <w:szCs w:val="24"/>
          <w:rtl/>
        </w:rPr>
        <w:t xml:space="preserve">ישי יפה מהאוניברסיטה העברית, </w:t>
      </w:r>
      <w:r w:rsidR="0014245B" w:rsidRPr="00486D11">
        <w:rPr>
          <w:rFonts w:ascii="David" w:hAnsi="David" w:cs="David" w:hint="cs"/>
          <w:sz w:val="24"/>
          <w:szCs w:val="24"/>
          <w:rtl/>
        </w:rPr>
        <w:t xml:space="preserve">יבגני </w:t>
      </w:r>
      <w:proofErr w:type="spellStart"/>
      <w:r w:rsidR="0014245B" w:rsidRPr="00486D11">
        <w:rPr>
          <w:rFonts w:ascii="David" w:hAnsi="David" w:cs="David" w:hint="cs"/>
          <w:sz w:val="24"/>
          <w:szCs w:val="24"/>
          <w:rtl/>
        </w:rPr>
        <w:t>מוגרמן</w:t>
      </w:r>
      <w:proofErr w:type="spellEnd"/>
      <w:r w:rsidR="0014245B" w:rsidRPr="00486D11">
        <w:rPr>
          <w:rFonts w:ascii="David" w:hAnsi="David" w:cs="David" w:hint="cs"/>
          <w:sz w:val="24"/>
          <w:szCs w:val="24"/>
          <w:rtl/>
        </w:rPr>
        <w:t xml:space="preserve"> מאוניברסיטת בר-אילן, רות רוז מהאוניברסיטה העברית</w:t>
      </w:r>
      <w:r w:rsidR="00483E69" w:rsidRPr="00486D11">
        <w:rPr>
          <w:rFonts w:ascii="David" w:hAnsi="David" w:cs="David" w:hint="cs"/>
          <w:sz w:val="24"/>
          <w:szCs w:val="24"/>
          <w:rtl/>
        </w:rPr>
        <w:t xml:space="preserve"> </w:t>
      </w:r>
      <w:r w:rsidR="00F85924" w:rsidRPr="00486D11">
        <w:rPr>
          <w:rFonts w:ascii="David" w:hAnsi="David" w:cs="David" w:hint="cs"/>
          <w:sz w:val="24"/>
          <w:szCs w:val="24"/>
          <w:rtl/>
        </w:rPr>
        <w:t>ו</w:t>
      </w:r>
      <w:r w:rsidR="0014245B" w:rsidRPr="00486D11">
        <w:rPr>
          <w:rFonts w:ascii="David" w:hAnsi="David" w:cs="David" w:hint="cs"/>
          <w:sz w:val="24"/>
          <w:szCs w:val="24"/>
          <w:rtl/>
        </w:rPr>
        <w:t xml:space="preserve">נדב שטינברג מבנק ישראל, </w:t>
      </w:r>
      <w:r w:rsidR="00FE46EE" w:rsidRPr="00486D11">
        <w:rPr>
          <w:rFonts w:ascii="David" w:hAnsi="David" w:cs="David" w:hint="cs"/>
          <w:sz w:val="24"/>
          <w:szCs w:val="24"/>
          <w:rtl/>
        </w:rPr>
        <w:t xml:space="preserve">מגלה </w:t>
      </w:r>
      <w:r w:rsidR="0014245B" w:rsidRPr="00486D11">
        <w:rPr>
          <w:rFonts w:ascii="David" w:hAnsi="David" w:cs="David" w:hint="cs"/>
          <w:sz w:val="24"/>
          <w:szCs w:val="24"/>
          <w:rtl/>
        </w:rPr>
        <w:t>השפעה שלילית נוספת של רפורמה שהגדילה את זכויות הנושים.</w:t>
      </w:r>
    </w:p>
    <w:p w14:paraId="0BB1B936" w14:textId="309F56E7" w:rsidR="0014245B" w:rsidRPr="00486D11" w:rsidRDefault="000549D3" w:rsidP="00486D11">
      <w:pPr>
        <w:bidi/>
        <w:spacing w:line="360" w:lineRule="auto"/>
        <w:jc w:val="both"/>
        <w:rPr>
          <w:rFonts w:ascii="David" w:hAnsi="David" w:cs="David"/>
          <w:sz w:val="24"/>
          <w:szCs w:val="24"/>
          <w:rtl/>
        </w:rPr>
      </w:pPr>
      <w:r w:rsidRPr="00486D11">
        <w:rPr>
          <w:rFonts w:ascii="David" w:hAnsi="David" w:cs="David" w:hint="cs"/>
          <w:sz w:val="24"/>
          <w:szCs w:val="24"/>
          <w:rtl/>
        </w:rPr>
        <w:t xml:space="preserve">המחקר </w:t>
      </w:r>
      <w:r w:rsidR="00FE46EE" w:rsidRPr="00486D11">
        <w:rPr>
          <w:rFonts w:ascii="David" w:hAnsi="David" w:cs="David" w:hint="cs"/>
          <w:sz w:val="24"/>
          <w:szCs w:val="24"/>
          <w:rtl/>
        </w:rPr>
        <w:t>בוח</w:t>
      </w:r>
      <w:r w:rsidRPr="00486D11">
        <w:rPr>
          <w:rFonts w:ascii="David" w:hAnsi="David" w:cs="David" w:hint="cs"/>
          <w:sz w:val="24"/>
          <w:szCs w:val="24"/>
          <w:rtl/>
        </w:rPr>
        <w:t>ן</w:t>
      </w:r>
      <w:r w:rsidR="00FE46EE" w:rsidRPr="00486D11">
        <w:rPr>
          <w:rFonts w:ascii="David" w:hAnsi="David" w:cs="David" w:hint="cs"/>
          <w:sz w:val="24"/>
          <w:szCs w:val="24"/>
          <w:rtl/>
        </w:rPr>
        <w:t xml:space="preserve"> </w:t>
      </w:r>
      <w:r w:rsidR="0014245B" w:rsidRPr="00486D11">
        <w:rPr>
          <w:rFonts w:ascii="David" w:hAnsi="David" w:cs="David" w:hint="cs"/>
          <w:sz w:val="24"/>
          <w:szCs w:val="24"/>
          <w:rtl/>
        </w:rPr>
        <w:t xml:space="preserve">פסיקה </w:t>
      </w:r>
      <w:r w:rsidR="00486D11" w:rsidRPr="00486D11">
        <w:rPr>
          <w:rFonts w:ascii="David" w:hAnsi="David" w:cs="David" w:hint="cs"/>
          <w:sz w:val="24"/>
          <w:szCs w:val="24"/>
          <w:rtl/>
        </w:rPr>
        <w:t xml:space="preserve">של בית המשפט המחוזי בתל-אביב </w:t>
      </w:r>
      <w:r w:rsidR="0014245B" w:rsidRPr="00486D11">
        <w:rPr>
          <w:rFonts w:ascii="David" w:hAnsi="David" w:cs="David" w:hint="cs"/>
          <w:sz w:val="24"/>
          <w:szCs w:val="24"/>
          <w:rtl/>
        </w:rPr>
        <w:t xml:space="preserve">משנת 2013 שנתנה לנושים את </w:t>
      </w:r>
      <w:proofErr w:type="spellStart"/>
      <w:r w:rsidR="0014245B" w:rsidRPr="00486D11">
        <w:rPr>
          <w:rFonts w:ascii="David" w:hAnsi="David" w:cs="David" w:hint="cs"/>
          <w:sz w:val="24"/>
          <w:szCs w:val="24"/>
          <w:rtl/>
        </w:rPr>
        <w:t>הכח</w:t>
      </w:r>
      <w:proofErr w:type="spellEnd"/>
      <w:r w:rsidR="0014245B" w:rsidRPr="00486D11">
        <w:rPr>
          <w:rFonts w:ascii="David" w:hAnsi="David" w:cs="David" w:hint="cs"/>
          <w:sz w:val="24"/>
          <w:szCs w:val="24"/>
          <w:rtl/>
        </w:rPr>
        <w:t xml:space="preserve"> לאלץ חברות שסך התחייבויותיה</w:t>
      </w:r>
      <w:r w:rsidR="0014245B" w:rsidRPr="00486D11">
        <w:rPr>
          <w:rFonts w:ascii="David" w:hAnsi="David" w:cs="David" w:hint="eastAsia"/>
          <w:sz w:val="24"/>
          <w:szCs w:val="24"/>
          <w:rtl/>
        </w:rPr>
        <w:t>ן</w:t>
      </w:r>
      <w:r w:rsidR="0014245B" w:rsidRPr="00486D11">
        <w:rPr>
          <w:rFonts w:ascii="David" w:hAnsi="David" w:cs="David" w:hint="cs"/>
          <w:sz w:val="24"/>
          <w:szCs w:val="24"/>
          <w:rtl/>
        </w:rPr>
        <w:t xml:space="preserve"> עולה על סך נכסיהן</w:t>
      </w:r>
      <w:r w:rsidR="00EB00BA" w:rsidRPr="00486D11">
        <w:rPr>
          <w:rFonts w:ascii="David" w:hAnsi="David" w:cs="David" w:hint="cs"/>
          <w:sz w:val="24"/>
          <w:szCs w:val="24"/>
          <w:rtl/>
        </w:rPr>
        <w:t xml:space="preserve"> (הון עצמי שלילי)</w:t>
      </w:r>
      <w:r w:rsidR="0014245B" w:rsidRPr="00486D11">
        <w:rPr>
          <w:rFonts w:ascii="David" w:hAnsi="David" w:cs="David" w:hint="cs"/>
          <w:sz w:val="24"/>
          <w:szCs w:val="24"/>
          <w:rtl/>
        </w:rPr>
        <w:t xml:space="preserve"> להיכנס להסדר-חוב</w:t>
      </w:r>
      <w:r w:rsidR="00251B79" w:rsidRPr="00486D11">
        <w:rPr>
          <w:rFonts w:ascii="David" w:hAnsi="David" w:cs="David" w:hint="cs"/>
          <w:sz w:val="24"/>
          <w:szCs w:val="24"/>
          <w:rtl/>
        </w:rPr>
        <w:t>, גם בהיעדר תניה ספציפית בשטר החוב</w:t>
      </w:r>
      <w:r w:rsidR="0014245B" w:rsidRPr="00486D11">
        <w:rPr>
          <w:rFonts w:ascii="David" w:hAnsi="David" w:cs="David" w:hint="cs"/>
          <w:sz w:val="24"/>
          <w:szCs w:val="24"/>
          <w:rtl/>
        </w:rPr>
        <w:t>.</w:t>
      </w:r>
      <w:r w:rsidR="00A43774">
        <w:rPr>
          <w:rStyle w:val="a5"/>
          <w:rFonts w:ascii="David" w:hAnsi="David" w:cs="David"/>
          <w:sz w:val="24"/>
          <w:szCs w:val="24"/>
          <w:rtl/>
        </w:rPr>
        <w:footnoteReference w:id="1"/>
      </w:r>
      <w:r w:rsidR="0014245B" w:rsidRPr="00486D11">
        <w:rPr>
          <w:rFonts w:ascii="David" w:hAnsi="David" w:cs="David" w:hint="cs"/>
          <w:sz w:val="24"/>
          <w:szCs w:val="24"/>
          <w:rtl/>
        </w:rPr>
        <w:t xml:space="preserve"> </w:t>
      </w:r>
      <w:r w:rsidRPr="00486D11">
        <w:rPr>
          <w:rFonts w:ascii="David" w:hAnsi="David" w:cs="David" w:hint="cs"/>
          <w:sz w:val="24"/>
          <w:szCs w:val="24"/>
          <w:rtl/>
        </w:rPr>
        <w:t>המחקר מוצא</w:t>
      </w:r>
      <w:r w:rsidR="00FE46EE" w:rsidRPr="00486D11">
        <w:rPr>
          <w:rFonts w:ascii="David" w:hAnsi="David" w:cs="David" w:hint="cs"/>
          <w:sz w:val="24"/>
          <w:szCs w:val="24"/>
          <w:rtl/>
        </w:rPr>
        <w:t xml:space="preserve"> </w:t>
      </w:r>
      <w:r w:rsidR="0014245B" w:rsidRPr="00486D11">
        <w:rPr>
          <w:rFonts w:ascii="David" w:hAnsi="David" w:cs="David" w:hint="cs"/>
          <w:sz w:val="24"/>
          <w:szCs w:val="24"/>
          <w:rtl/>
        </w:rPr>
        <w:t xml:space="preserve">שמחירי אגרות החוב של החברות שהיו צפויות להיות </w:t>
      </w:r>
      <w:r w:rsidR="0014245B" w:rsidRPr="00486D11">
        <w:rPr>
          <w:rFonts w:ascii="David" w:hAnsi="David" w:cs="David" w:hint="cs"/>
          <w:sz w:val="24"/>
          <w:szCs w:val="24"/>
          <w:rtl/>
        </w:rPr>
        <w:lastRenderedPageBreak/>
        <w:t xml:space="preserve">מושפעות מהפסיקה </w:t>
      </w:r>
      <w:r w:rsidR="006A3207" w:rsidRPr="00486D11">
        <w:rPr>
          <w:rFonts w:ascii="David" w:hAnsi="David" w:cs="David" w:hint="cs"/>
          <w:sz w:val="24"/>
          <w:szCs w:val="24"/>
          <w:rtl/>
        </w:rPr>
        <w:t>הגיבו בחיוב ל</w:t>
      </w:r>
      <w:r w:rsidR="0014245B" w:rsidRPr="00486D11">
        <w:rPr>
          <w:rFonts w:ascii="David" w:hAnsi="David" w:cs="David" w:hint="cs"/>
          <w:sz w:val="24"/>
          <w:szCs w:val="24"/>
          <w:rtl/>
        </w:rPr>
        <w:t xml:space="preserve">פסיקה ואילו מחירי המניות של חברות אלה הגיבו בשלילה לפסיקה, כנראה </w:t>
      </w:r>
      <w:r w:rsidR="00180E0C" w:rsidRPr="00486D11">
        <w:rPr>
          <w:rFonts w:ascii="David" w:hAnsi="David" w:cs="David" w:hint="cs"/>
          <w:sz w:val="24"/>
          <w:szCs w:val="24"/>
          <w:rtl/>
        </w:rPr>
        <w:t>מפני ש</w:t>
      </w:r>
      <w:r w:rsidR="0014245B" w:rsidRPr="00486D11">
        <w:rPr>
          <w:rFonts w:ascii="David" w:hAnsi="David" w:cs="David" w:hint="cs"/>
          <w:sz w:val="24"/>
          <w:szCs w:val="24"/>
          <w:rtl/>
        </w:rPr>
        <w:t>השתפרה היכולת של</w:t>
      </w:r>
      <w:r w:rsidR="00486D11" w:rsidRPr="00486D11">
        <w:rPr>
          <w:rFonts w:ascii="David" w:hAnsi="David" w:cs="David" w:hint="cs"/>
          <w:sz w:val="24"/>
          <w:szCs w:val="24"/>
          <w:rtl/>
        </w:rPr>
        <w:t xml:space="preserve"> </w:t>
      </w:r>
      <w:r w:rsidR="0014245B" w:rsidRPr="00486D11">
        <w:rPr>
          <w:rFonts w:ascii="David" w:hAnsi="David" w:cs="David" w:hint="cs"/>
          <w:sz w:val="24"/>
          <w:szCs w:val="24"/>
          <w:rtl/>
        </w:rPr>
        <w:t>ה</w:t>
      </w:r>
      <w:r w:rsidR="00486D11" w:rsidRPr="00486D11">
        <w:rPr>
          <w:rFonts w:ascii="David" w:hAnsi="David" w:cs="David" w:hint="cs"/>
          <w:sz w:val="24"/>
          <w:szCs w:val="24"/>
          <w:rtl/>
        </w:rPr>
        <w:t>נושי</w:t>
      </w:r>
      <w:r w:rsidR="0014245B" w:rsidRPr="00486D11">
        <w:rPr>
          <w:rFonts w:ascii="David" w:hAnsi="David" w:cs="David" w:hint="cs"/>
          <w:sz w:val="24"/>
          <w:szCs w:val="24"/>
          <w:rtl/>
        </w:rPr>
        <w:t xml:space="preserve">ם לאלץ חברות </w:t>
      </w:r>
      <w:r w:rsidR="005A65F6" w:rsidRPr="00486D11">
        <w:rPr>
          <w:rFonts w:ascii="David" w:hAnsi="David" w:cs="David" w:hint="cs"/>
          <w:sz w:val="24"/>
          <w:szCs w:val="24"/>
          <w:rtl/>
        </w:rPr>
        <w:t>להגיע</w:t>
      </w:r>
      <w:r w:rsidR="005D167B" w:rsidRPr="00486D11">
        <w:rPr>
          <w:rFonts w:ascii="David" w:hAnsi="David" w:cs="David" w:hint="cs"/>
          <w:sz w:val="24"/>
          <w:szCs w:val="24"/>
          <w:rtl/>
        </w:rPr>
        <w:t xml:space="preserve"> </w:t>
      </w:r>
      <w:r w:rsidR="0014245B" w:rsidRPr="00486D11">
        <w:rPr>
          <w:rFonts w:ascii="David" w:hAnsi="David" w:cs="David" w:hint="cs"/>
          <w:sz w:val="24"/>
          <w:szCs w:val="24"/>
          <w:rtl/>
        </w:rPr>
        <w:t>להסדר בשלב מוקדם ולמנוע מבעלי-השליטה והמנהלים בחברות להרע את מצבן טרם ההסדר.</w:t>
      </w:r>
    </w:p>
    <w:p w14:paraId="3C1B0543" w14:textId="08C2C930" w:rsidR="008B3703" w:rsidRPr="00486D11" w:rsidRDefault="000549D3" w:rsidP="008D57A4">
      <w:pPr>
        <w:bidi/>
        <w:spacing w:line="360" w:lineRule="auto"/>
        <w:jc w:val="both"/>
        <w:rPr>
          <w:rFonts w:ascii="David" w:hAnsi="David" w:cs="David"/>
          <w:sz w:val="24"/>
          <w:szCs w:val="24"/>
          <w:rtl/>
        </w:rPr>
      </w:pPr>
      <w:r w:rsidRPr="00486D11">
        <w:rPr>
          <w:rFonts w:ascii="David" w:hAnsi="David" w:cs="David" w:hint="cs"/>
          <w:sz w:val="24"/>
          <w:szCs w:val="24"/>
          <w:rtl/>
        </w:rPr>
        <w:t>המחקר מוצא</w:t>
      </w:r>
      <w:r w:rsidR="00EB00BA" w:rsidRPr="00486D11">
        <w:rPr>
          <w:rFonts w:ascii="David" w:hAnsi="David" w:cs="David" w:hint="cs"/>
          <w:sz w:val="24"/>
          <w:szCs w:val="24"/>
          <w:rtl/>
        </w:rPr>
        <w:t xml:space="preserve"> שחברות </w:t>
      </w:r>
      <w:r w:rsidR="00EC6F8D" w:rsidRPr="00486D11">
        <w:rPr>
          <w:rFonts w:ascii="David" w:hAnsi="David" w:cs="David" w:hint="cs"/>
          <w:sz w:val="24"/>
          <w:szCs w:val="24"/>
          <w:rtl/>
        </w:rPr>
        <w:t>בקשיים שהושפעו מהפסיקה,</w:t>
      </w:r>
      <w:r w:rsidR="00EB00BA" w:rsidRPr="00486D11">
        <w:rPr>
          <w:rFonts w:ascii="David" w:hAnsi="David" w:cs="David" w:hint="cs"/>
          <w:sz w:val="24"/>
          <w:szCs w:val="24"/>
          <w:rtl/>
        </w:rPr>
        <w:t xml:space="preserve"> </w:t>
      </w:r>
      <w:r w:rsidR="00A00E21" w:rsidRPr="00486D11">
        <w:rPr>
          <w:rFonts w:ascii="David" w:hAnsi="David" w:cs="David" w:hint="cs"/>
          <w:sz w:val="24"/>
          <w:szCs w:val="24"/>
          <w:rtl/>
        </w:rPr>
        <w:t>ולכן</w:t>
      </w:r>
      <w:r w:rsidR="00EB00BA" w:rsidRPr="00486D11">
        <w:rPr>
          <w:rFonts w:ascii="David" w:hAnsi="David" w:cs="David" w:hint="cs"/>
          <w:sz w:val="24"/>
          <w:szCs w:val="24"/>
          <w:rtl/>
        </w:rPr>
        <w:t xml:space="preserve"> גדל האינטרס שלהן לשמור על הו</w:t>
      </w:r>
      <w:r w:rsidR="000471D6" w:rsidRPr="00486D11">
        <w:rPr>
          <w:rFonts w:ascii="David" w:hAnsi="David" w:cs="David" w:hint="cs"/>
          <w:sz w:val="24"/>
          <w:szCs w:val="24"/>
          <w:rtl/>
        </w:rPr>
        <w:t>ן עצמי חיובי כדי להימנע מ</w:t>
      </w:r>
      <w:r w:rsidR="00EB00BA" w:rsidRPr="00486D11">
        <w:rPr>
          <w:rFonts w:ascii="David" w:hAnsi="David" w:cs="David" w:hint="cs"/>
          <w:sz w:val="24"/>
          <w:szCs w:val="24"/>
          <w:rtl/>
        </w:rPr>
        <w:t xml:space="preserve">הסדר חוב </w:t>
      </w:r>
      <w:r w:rsidR="00736952" w:rsidRPr="00486D11">
        <w:rPr>
          <w:rFonts w:ascii="David" w:hAnsi="David" w:cs="David" w:hint="cs"/>
          <w:sz w:val="24"/>
          <w:szCs w:val="24"/>
          <w:rtl/>
        </w:rPr>
        <w:t xml:space="preserve">ואובדן </w:t>
      </w:r>
      <w:r w:rsidR="00EB00BA" w:rsidRPr="00486D11">
        <w:rPr>
          <w:rFonts w:ascii="David" w:hAnsi="David" w:cs="David" w:hint="cs"/>
          <w:sz w:val="24"/>
          <w:szCs w:val="24"/>
          <w:rtl/>
        </w:rPr>
        <w:t xml:space="preserve">השליטה בחברה, הצליחו </w:t>
      </w:r>
      <w:r w:rsidR="00EC6F8D" w:rsidRPr="00486D11">
        <w:rPr>
          <w:rFonts w:ascii="David" w:hAnsi="David" w:cs="David" w:hint="cs"/>
          <w:sz w:val="24"/>
          <w:szCs w:val="24"/>
          <w:rtl/>
        </w:rPr>
        <w:t>להעלות בצורה משמעותית</w:t>
      </w:r>
      <w:r w:rsidR="00EB00BA" w:rsidRPr="00486D11">
        <w:rPr>
          <w:rFonts w:ascii="David" w:hAnsi="David" w:cs="David" w:hint="cs"/>
          <w:sz w:val="24"/>
          <w:szCs w:val="24"/>
          <w:rtl/>
        </w:rPr>
        <w:t xml:space="preserve"> את ההון העצמי שלהן</w:t>
      </w:r>
      <w:r w:rsidR="005B3287" w:rsidRPr="00486D11">
        <w:rPr>
          <w:rFonts w:ascii="David" w:hAnsi="David" w:cs="David" w:hint="cs"/>
          <w:sz w:val="24"/>
          <w:szCs w:val="24"/>
          <w:rtl/>
        </w:rPr>
        <w:t xml:space="preserve">. בפרט, </w:t>
      </w:r>
      <w:r w:rsidR="002F7E12" w:rsidRPr="00486D11">
        <w:rPr>
          <w:rFonts w:ascii="David" w:hAnsi="David" w:cs="David" w:hint="cs"/>
          <w:sz w:val="24"/>
          <w:szCs w:val="24"/>
          <w:rtl/>
        </w:rPr>
        <w:t xml:space="preserve">בשנים שלאחר הפסיקה </w:t>
      </w:r>
      <w:r w:rsidR="005B3287" w:rsidRPr="00486D11">
        <w:rPr>
          <w:rFonts w:ascii="David" w:hAnsi="David" w:cs="David" w:hint="cs"/>
          <w:sz w:val="24"/>
          <w:szCs w:val="24"/>
          <w:rtl/>
        </w:rPr>
        <w:t xml:space="preserve">הרבה פחות חברות </w:t>
      </w:r>
      <w:r w:rsidR="002F7E12" w:rsidRPr="00486D11">
        <w:rPr>
          <w:rFonts w:ascii="David" w:hAnsi="David" w:cs="David" w:hint="cs"/>
          <w:sz w:val="24"/>
          <w:szCs w:val="24"/>
          <w:rtl/>
        </w:rPr>
        <w:t>שהושפעו מהפסיקה דיווחו על הון עצמ</w:t>
      </w:r>
      <w:r w:rsidR="007F7508" w:rsidRPr="00486D11">
        <w:rPr>
          <w:rFonts w:ascii="David" w:hAnsi="David" w:cs="David" w:hint="cs"/>
          <w:sz w:val="24"/>
          <w:szCs w:val="24"/>
          <w:rtl/>
        </w:rPr>
        <w:t>י שלילי ביחס לתקופה ערב-הפסיקה (איור 1).</w:t>
      </w:r>
    </w:p>
    <w:p w14:paraId="73A5C177" w14:textId="77777777" w:rsidR="00A00E21" w:rsidRPr="00486D11" w:rsidRDefault="007F7508" w:rsidP="00AB2950">
      <w:pPr>
        <w:bidi/>
        <w:spacing w:line="360" w:lineRule="auto"/>
        <w:jc w:val="center"/>
        <w:rPr>
          <w:rFonts w:ascii="David" w:hAnsi="David" w:cs="David"/>
          <w:sz w:val="24"/>
          <w:szCs w:val="24"/>
          <w:rtl/>
        </w:rPr>
      </w:pPr>
      <w:r w:rsidRPr="00486D11">
        <w:rPr>
          <w:rFonts w:ascii="David" w:hAnsi="David" w:cs="David" w:hint="eastAsia"/>
          <w:b/>
          <w:bCs/>
          <w:sz w:val="24"/>
          <w:szCs w:val="24"/>
          <w:rtl/>
        </w:rPr>
        <w:t>איור</w:t>
      </w:r>
      <w:r w:rsidRPr="00486D11">
        <w:rPr>
          <w:rFonts w:ascii="David" w:hAnsi="David" w:cs="David"/>
          <w:b/>
          <w:bCs/>
          <w:sz w:val="24"/>
          <w:szCs w:val="24"/>
          <w:rtl/>
        </w:rPr>
        <w:t xml:space="preserve"> 1: התפלגות </w:t>
      </w:r>
      <w:r w:rsidR="00B83E59" w:rsidRPr="00486D11">
        <w:rPr>
          <w:rFonts w:ascii="David" w:hAnsi="David" w:cs="David" w:hint="eastAsia"/>
          <w:b/>
          <w:bCs/>
          <w:sz w:val="24"/>
          <w:szCs w:val="24"/>
          <w:rtl/>
        </w:rPr>
        <w:t>מצטברת</w:t>
      </w:r>
      <w:r w:rsidR="00B83E59" w:rsidRPr="00486D11">
        <w:rPr>
          <w:rFonts w:ascii="David" w:hAnsi="David" w:cs="David"/>
          <w:b/>
          <w:bCs/>
          <w:sz w:val="24"/>
          <w:szCs w:val="24"/>
          <w:rtl/>
        </w:rPr>
        <w:t xml:space="preserve"> של </w:t>
      </w:r>
      <w:r w:rsidRPr="00486D11">
        <w:rPr>
          <w:rFonts w:ascii="David" w:hAnsi="David" w:cs="David" w:hint="eastAsia"/>
          <w:b/>
          <w:bCs/>
          <w:sz w:val="24"/>
          <w:szCs w:val="24"/>
          <w:rtl/>
        </w:rPr>
        <w:t>ההון</w:t>
      </w:r>
      <w:r w:rsidRPr="00486D11">
        <w:rPr>
          <w:rFonts w:ascii="David" w:hAnsi="David" w:cs="David"/>
          <w:b/>
          <w:bCs/>
          <w:sz w:val="24"/>
          <w:szCs w:val="24"/>
          <w:rtl/>
        </w:rPr>
        <w:t xml:space="preserve"> העצמי </w:t>
      </w:r>
      <w:r w:rsidR="00B83E59" w:rsidRPr="00486D11">
        <w:rPr>
          <w:rFonts w:ascii="David" w:hAnsi="David" w:cs="David" w:hint="eastAsia"/>
          <w:b/>
          <w:bCs/>
          <w:sz w:val="24"/>
          <w:szCs w:val="24"/>
          <w:rtl/>
        </w:rPr>
        <w:t>בקרב</w:t>
      </w:r>
      <w:r w:rsidR="00B83E59" w:rsidRPr="00486D11">
        <w:rPr>
          <w:rFonts w:ascii="David" w:hAnsi="David" w:cs="David"/>
          <w:b/>
          <w:bCs/>
          <w:sz w:val="24"/>
          <w:szCs w:val="24"/>
          <w:rtl/>
        </w:rPr>
        <w:t xml:space="preserve"> </w:t>
      </w:r>
      <w:r w:rsidRPr="00486D11">
        <w:rPr>
          <w:rFonts w:ascii="David" w:hAnsi="David" w:cs="David" w:hint="eastAsia"/>
          <w:b/>
          <w:bCs/>
          <w:sz w:val="24"/>
          <w:szCs w:val="24"/>
          <w:rtl/>
        </w:rPr>
        <w:t>חברות</w:t>
      </w:r>
      <w:r w:rsidRPr="00486D11">
        <w:rPr>
          <w:rFonts w:ascii="David" w:hAnsi="David" w:cs="David"/>
          <w:b/>
          <w:bCs/>
          <w:sz w:val="24"/>
          <w:szCs w:val="24"/>
          <w:rtl/>
        </w:rPr>
        <w:t xml:space="preserve"> </w:t>
      </w:r>
      <w:r w:rsidRPr="00486D11">
        <w:rPr>
          <w:rFonts w:ascii="David" w:hAnsi="David" w:cs="David" w:hint="eastAsia"/>
          <w:b/>
          <w:bCs/>
          <w:sz w:val="24"/>
          <w:szCs w:val="24"/>
          <w:rtl/>
        </w:rPr>
        <w:t>בקשיים</w:t>
      </w:r>
      <w:r w:rsidRPr="00486D11">
        <w:rPr>
          <w:rFonts w:ascii="David" w:hAnsi="David" w:cs="David"/>
          <w:b/>
          <w:bCs/>
          <w:sz w:val="24"/>
          <w:szCs w:val="24"/>
          <w:rtl/>
        </w:rPr>
        <w:t xml:space="preserve"> </w:t>
      </w:r>
      <w:r w:rsidRPr="00486D11">
        <w:rPr>
          <w:rFonts w:ascii="David" w:hAnsi="David" w:cs="David" w:hint="eastAsia"/>
          <w:b/>
          <w:bCs/>
          <w:sz w:val="24"/>
          <w:szCs w:val="24"/>
          <w:rtl/>
        </w:rPr>
        <w:t>פיננסיים</w:t>
      </w:r>
      <w:r w:rsidRPr="00486D11">
        <w:rPr>
          <w:rFonts w:ascii="David" w:hAnsi="David" w:cs="David"/>
          <w:b/>
          <w:bCs/>
          <w:sz w:val="24"/>
          <w:szCs w:val="24"/>
          <w:rtl/>
        </w:rPr>
        <w:t xml:space="preserve"> </w:t>
      </w:r>
      <w:r w:rsidRPr="00486D11">
        <w:rPr>
          <w:rFonts w:ascii="David" w:hAnsi="David" w:cs="David" w:hint="eastAsia"/>
          <w:b/>
          <w:bCs/>
          <w:sz w:val="24"/>
          <w:szCs w:val="24"/>
          <w:rtl/>
        </w:rPr>
        <w:t>שהושפעו</w:t>
      </w:r>
      <w:r w:rsidRPr="00486D11">
        <w:rPr>
          <w:rFonts w:ascii="David" w:hAnsi="David" w:cs="David"/>
          <w:b/>
          <w:bCs/>
          <w:sz w:val="24"/>
          <w:szCs w:val="24"/>
          <w:rtl/>
        </w:rPr>
        <w:t xml:space="preserve"> </w:t>
      </w:r>
      <w:r w:rsidRPr="00486D11">
        <w:rPr>
          <w:rFonts w:ascii="David" w:hAnsi="David" w:cs="David" w:hint="eastAsia"/>
          <w:b/>
          <w:bCs/>
          <w:sz w:val="24"/>
          <w:szCs w:val="24"/>
          <w:rtl/>
        </w:rPr>
        <w:t>מהפסיקה</w:t>
      </w:r>
      <w:r w:rsidR="00A00E21" w:rsidRPr="00486D11">
        <w:rPr>
          <w:rFonts w:ascii="David" w:hAnsi="David" w:cs="David"/>
          <w:noProof/>
          <w:sz w:val="24"/>
          <w:szCs w:val="24"/>
        </w:rPr>
        <w:drawing>
          <wp:inline distT="0" distB="0" distL="0" distR="0" wp14:anchorId="49A9E1CE" wp14:editId="7C7CFC23">
            <wp:extent cx="3343473" cy="2417196"/>
            <wp:effectExtent l="0" t="0" r="0" b="254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9569" cy="2450521"/>
                    </a:xfrm>
                    <a:prstGeom prst="rect">
                      <a:avLst/>
                    </a:prstGeom>
                    <a:noFill/>
                    <a:ln>
                      <a:noFill/>
                    </a:ln>
                  </pic:spPr>
                </pic:pic>
              </a:graphicData>
            </a:graphic>
          </wp:inline>
        </w:drawing>
      </w:r>
    </w:p>
    <w:p w14:paraId="1F7865F5" w14:textId="615A22FB" w:rsidR="00486D11" w:rsidRPr="00486D11" w:rsidRDefault="00486D11" w:rsidP="00486D11">
      <w:pPr>
        <w:bidi/>
        <w:spacing w:line="360" w:lineRule="auto"/>
        <w:jc w:val="center"/>
        <w:rPr>
          <w:rFonts w:ascii="David" w:hAnsi="David" w:cs="David"/>
          <w:sz w:val="20"/>
          <w:szCs w:val="20"/>
          <w:rtl/>
        </w:rPr>
      </w:pPr>
      <w:r w:rsidRPr="00486D11">
        <w:rPr>
          <w:rFonts w:ascii="David" w:hAnsi="David" w:cs="David" w:hint="cs"/>
          <w:sz w:val="20"/>
          <w:szCs w:val="20"/>
          <w:rtl/>
        </w:rPr>
        <w:t>מקור: עיבודי החוקרים לנתוני בנק ישראל</w:t>
      </w:r>
    </w:p>
    <w:p w14:paraId="7A8B79FA" w14:textId="77777777" w:rsidR="00486D11" w:rsidRDefault="00486D11" w:rsidP="00486D11">
      <w:pPr>
        <w:bidi/>
        <w:spacing w:line="360" w:lineRule="auto"/>
        <w:jc w:val="both"/>
        <w:rPr>
          <w:rFonts w:ascii="David" w:hAnsi="David" w:cs="David"/>
          <w:sz w:val="24"/>
          <w:szCs w:val="24"/>
          <w:rtl/>
        </w:rPr>
      </w:pPr>
    </w:p>
    <w:p w14:paraId="38FBE22D" w14:textId="0032FE3B" w:rsidR="008C3C7D" w:rsidRPr="00486D11" w:rsidRDefault="00A04B34" w:rsidP="005E6709">
      <w:pPr>
        <w:bidi/>
        <w:spacing w:line="360" w:lineRule="auto"/>
        <w:jc w:val="both"/>
        <w:rPr>
          <w:rFonts w:ascii="David" w:hAnsi="David" w:cs="David"/>
          <w:sz w:val="24"/>
          <w:szCs w:val="24"/>
          <w:rtl/>
        </w:rPr>
      </w:pPr>
      <w:r w:rsidRPr="00486D11">
        <w:rPr>
          <w:rFonts w:ascii="David" w:hAnsi="David" w:cs="David" w:hint="cs"/>
          <w:sz w:val="24"/>
          <w:szCs w:val="24"/>
          <w:rtl/>
        </w:rPr>
        <w:t xml:space="preserve">מה מסביר את הגידול בהון העצמי של החברות שהושפעו מהפסיקה? </w:t>
      </w:r>
      <w:r w:rsidR="000549D3" w:rsidRPr="00486D11">
        <w:rPr>
          <w:rFonts w:ascii="David" w:hAnsi="David" w:cs="David" w:hint="cs"/>
          <w:sz w:val="24"/>
          <w:szCs w:val="24"/>
          <w:rtl/>
        </w:rPr>
        <w:t>המחקר מוצא</w:t>
      </w:r>
      <w:r w:rsidRPr="00486D11">
        <w:rPr>
          <w:rFonts w:ascii="David" w:hAnsi="David" w:cs="David" w:hint="cs"/>
          <w:sz w:val="24"/>
          <w:szCs w:val="24"/>
          <w:rtl/>
        </w:rPr>
        <w:t xml:space="preserve"> גידול בהנפקות המניות אצל חלק מהחברות הללו, בעיקר </w:t>
      </w:r>
      <w:r w:rsidR="007F7508" w:rsidRPr="00486D11">
        <w:rPr>
          <w:rFonts w:ascii="David" w:hAnsi="David" w:cs="David" w:hint="cs"/>
          <w:sz w:val="24"/>
          <w:szCs w:val="24"/>
          <w:rtl/>
        </w:rPr>
        <w:t>אלה</w:t>
      </w:r>
      <w:r w:rsidRPr="00486D11">
        <w:rPr>
          <w:rFonts w:ascii="David" w:hAnsi="David" w:cs="David" w:hint="cs"/>
          <w:sz w:val="24"/>
          <w:szCs w:val="24"/>
          <w:rtl/>
        </w:rPr>
        <w:t xml:space="preserve"> שסבלו ערב הפסיקה מהון עצמי נמוך במיוחד. חברות אלה היו בקשיים פיננסיים משמעותיים</w:t>
      </w:r>
      <w:r w:rsidR="00732C41" w:rsidRPr="00486D11">
        <w:rPr>
          <w:rFonts w:ascii="David" w:hAnsi="David" w:cs="David" w:hint="cs"/>
          <w:sz w:val="24"/>
          <w:szCs w:val="24"/>
          <w:rtl/>
        </w:rPr>
        <w:t>,</w:t>
      </w:r>
      <w:r w:rsidRPr="00486D11">
        <w:rPr>
          <w:rFonts w:ascii="David" w:hAnsi="David" w:cs="David" w:hint="cs"/>
          <w:sz w:val="24"/>
          <w:szCs w:val="24"/>
          <w:rtl/>
        </w:rPr>
        <w:t xml:space="preserve"> ולאחר הפסיקה היו בסכנה מוחשית של הסדר חוב</w:t>
      </w:r>
      <w:r w:rsidR="00732C41" w:rsidRPr="00486D11">
        <w:rPr>
          <w:rFonts w:ascii="David" w:hAnsi="David" w:cs="David" w:hint="cs"/>
          <w:sz w:val="24"/>
          <w:szCs w:val="24"/>
          <w:rtl/>
        </w:rPr>
        <w:t>.</w:t>
      </w:r>
      <w:r w:rsidRPr="00486D11">
        <w:rPr>
          <w:rFonts w:ascii="David" w:hAnsi="David" w:cs="David" w:hint="cs"/>
          <w:sz w:val="24"/>
          <w:szCs w:val="24"/>
          <w:rtl/>
        </w:rPr>
        <w:t xml:space="preserve"> לכן</w:t>
      </w:r>
      <w:r w:rsidR="00732C41" w:rsidRPr="00486D11">
        <w:rPr>
          <w:rFonts w:ascii="David" w:hAnsi="David" w:cs="David" w:hint="cs"/>
          <w:sz w:val="24"/>
          <w:szCs w:val="24"/>
          <w:rtl/>
        </w:rPr>
        <w:t>,</w:t>
      </w:r>
      <w:r w:rsidRPr="00486D11">
        <w:rPr>
          <w:rFonts w:ascii="David" w:hAnsi="David" w:cs="David" w:hint="cs"/>
          <w:sz w:val="24"/>
          <w:szCs w:val="24"/>
          <w:rtl/>
        </w:rPr>
        <w:t xml:space="preserve"> רבות מהן הגיבו באמצעות גיוס הון נוסף מבעלי-המניות. זו דרך לשפר את מצבה הפיננסי של חברה בקשיים והיא טובה עבור הנושים </w:t>
      </w:r>
      <w:r w:rsidR="00180E0C" w:rsidRPr="00486D11">
        <w:rPr>
          <w:rFonts w:ascii="David" w:hAnsi="David" w:cs="David" w:hint="cs"/>
          <w:sz w:val="24"/>
          <w:szCs w:val="24"/>
          <w:rtl/>
        </w:rPr>
        <w:t>מפני ש</w:t>
      </w:r>
      <w:r w:rsidRPr="00486D11">
        <w:rPr>
          <w:rFonts w:ascii="David" w:hAnsi="David" w:cs="David" w:hint="cs"/>
          <w:sz w:val="24"/>
          <w:szCs w:val="24"/>
          <w:rtl/>
        </w:rPr>
        <w:t xml:space="preserve">היא מכניסה לקופתה של החברה כסף חדש שיוכל לשמש לעמידה בהתחייבויות שלה. </w:t>
      </w:r>
      <w:r w:rsidR="00EC6F8D" w:rsidRPr="00486D11">
        <w:rPr>
          <w:rFonts w:ascii="David" w:hAnsi="David" w:cs="David" w:hint="cs"/>
          <w:sz w:val="24"/>
          <w:szCs w:val="24"/>
          <w:rtl/>
        </w:rPr>
        <w:t xml:space="preserve">ואולם, </w:t>
      </w:r>
      <w:r w:rsidR="00E03271" w:rsidRPr="00486D11">
        <w:rPr>
          <w:rFonts w:ascii="David" w:hAnsi="David" w:cs="David" w:hint="cs"/>
          <w:sz w:val="24"/>
          <w:szCs w:val="24"/>
          <w:rtl/>
        </w:rPr>
        <w:t>לצד ה</w:t>
      </w:r>
      <w:r w:rsidR="00440865" w:rsidRPr="00486D11">
        <w:rPr>
          <w:rFonts w:ascii="David" w:hAnsi="David" w:cs="David" w:hint="cs"/>
          <w:sz w:val="24"/>
          <w:szCs w:val="24"/>
          <w:rtl/>
        </w:rPr>
        <w:t>גידול ב</w:t>
      </w:r>
      <w:r w:rsidR="00E03271" w:rsidRPr="00486D11">
        <w:rPr>
          <w:rFonts w:ascii="David" w:hAnsi="David" w:cs="David" w:hint="cs"/>
          <w:sz w:val="24"/>
          <w:szCs w:val="24"/>
          <w:rtl/>
        </w:rPr>
        <w:t xml:space="preserve">הנפקות, </w:t>
      </w:r>
      <w:r w:rsidR="000549D3" w:rsidRPr="00486D11">
        <w:rPr>
          <w:rFonts w:ascii="David" w:hAnsi="David" w:cs="David" w:hint="cs"/>
          <w:sz w:val="24"/>
          <w:szCs w:val="24"/>
          <w:rtl/>
        </w:rPr>
        <w:t>המחקר מוצא</w:t>
      </w:r>
      <w:r w:rsidR="00E03271" w:rsidRPr="00486D11">
        <w:rPr>
          <w:rFonts w:ascii="David" w:hAnsi="David" w:cs="David" w:hint="cs"/>
          <w:sz w:val="24"/>
          <w:szCs w:val="24"/>
          <w:rtl/>
        </w:rPr>
        <w:t xml:space="preserve"> שהפסיקה הובילה גם </w:t>
      </w:r>
      <w:r w:rsidR="00EC6F8D" w:rsidRPr="00486D11">
        <w:rPr>
          <w:rFonts w:ascii="David" w:hAnsi="David" w:cs="David" w:hint="cs"/>
          <w:sz w:val="24"/>
          <w:szCs w:val="24"/>
          <w:rtl/>
        </w:rPr>
        <w:t>ל</w:t>
      </w:r>
      <w:r w:rsidR="00E03271" w:rsidRPr="00486D11">
        <w:rPr>
          <w:rFonts w:ascii="David" w:hAnsi="David" w:cs="David" w:hint="cs"/>
          <w:sz w:val="24"/>
          <w:szCs w:val="24"/>
          <w:rtl/>
        </w:rPr>
        <w:t xml:space="preserve">שינוי בהתנהלות החשבונאית של החברות. </w:t>
      </w:r>
      <w:r w:rsidR="000549D3" w:rsidRPr="00486D11">
        <w:rPr>
          <w:rFonts w:ascii="David" w:hAnsi="David" w:cs="David" w:hint="cs"/>
          <w:sz w:val="24"/>
          <w:szCs w:val="24"/>
          <w:rtl/>
        </w:rPr>
        <w:t xml:space="preserve">המחקר מעלה </w:t>
      </w:r>
      <w:r w:rsidR="00E03271" w:rsidRPr="00486D11">
        <w:rPr>
          <w:rFonts w:ascii="David" w:hAnsi="David" w:cs="David" w:hint="cs"/>
          <w:sz w:val="24"/>
          <w:szCs w:val="24"/>
          <w:rtl/>
        </w:rPr>
        <w:t>ש</w:t>
      </w:r>
      <w:r w:rsidR="00A00E21" w:rsidRPr="00486D11">
        <w:rPr>
          <w:rFonts w:ascii="David" w:hAnsi="David" w:cs="David" w:hint="cs"/>
          <w:sz w:val="24"/>
          <w:szCs w:val="24"/>
          <w:rtl/>
        </w:rPr>
        <w:t xml:space="preserve">בחברות אלה חלה הרעה במדדים מקובלים </w:t>
      </w:r>
      <w:r w:rsidR="00A00E21" w:rsidRPr="00486D11">
        <w:rPr>
          <w:rFonts w:ascii="David" w:hAnsi="David" w:cs="David" w:hint="cs"/>
          <w:sz w:val="24"/>
          <w:szCs w:val="24"/>
          <w:rtl/>
        </w:rPr>
        <w:lastRenderedPageBreak/>
        <w:t xml:space="preserve">לשמרנות חשבונאית. בין השאר, </w:t>
      </w:r>
      <w:r w:rsidR="00E03271" w:rsidRPr="00486D11">
        <w:rPr>
          <w:rFonts w:ascii="David" w:hAnsi="David" w:cs="David" w:hint="cs"/>
          <w:sz w:val="24"/>
          <w:szCs w:val="24"/>
          <w:rtl/>
        </w:rPr>
        <w:t>חלה עליה גבוהה מהצפוי ב</w:t>
      </w:r>
      <w:r w:rsidR="00042077" w:rsidRPr="00486D11">
        <w:rPr>
          <w:rFonts w:ascii="David" w:hAnsi="David" w:cs="David" w:hint="cs"/>
          <w:sz w:val="24"/>
          <w:szCs w:val="24"/>
          <w:rtl/>
        </w:rPr>
        <w:t>תופעה ש</w:t>
      </w:r>
      <w:r w:rsidR="00440865" w:rsidRPr="00486D11">
        <w:rPr>
          <w:rFonts w:ascii="David" w:hAnsi="David" w:cs="David" w:hint="cs"/>
          <w:sz w:val="24"/>
          <w:szCs w:val="24"/>
          <w:rtl/>
        </w:rPr>
        <w:t>ידועה בספרות המקצועית כ-</w:t>
      </w:r>
      <w:r w:rsidR="00E03271" w:rsidRPr="00486D11">
        <w:rPr>
          <w:rFonts w:ascii="David" w:hAnsi="David" w:cs="David" w:hint="cs"/>
          <w:sz w:val="24"/>
          <w:szCs w:val="24"/>
          <w:rtl/>
        </w:rPr>
        <w:t xml:space="preserve"> 'ניהול רווחים' </w:t>
      </w:r>
      <w:r w:rsidR="00042077" w:rsidRPr="00486D11">
        <w:rPr>
          <w:rFonts w:ascii="David" w:hAnsi="David" w:cs="David" w:hint="cs"/>
          <w:sz w:val="24"/>
          <w:szCs w:val="24"/>
          <w:rtl/>
        </w:rPr>
        <w:t>-</w:t>
      </w:r>
      <w:r w:rsidR="00E03271" w:rsidRPr="00486D11">
        <w:rPr>
          <w:rFonts w:ascii="David" w:hAnsi="David" w:cs="David" w:hint="cs"/>
          <w:sz w:val="24"/>
          <w:szCs w:val="24"/>
          <w:rtl/>
        </w:rPr>
        <w:t xml:space="preserve"> מצב שבו החברות מציגות נתונים חשבונאיים</w:t>
      </w:r>
      <w:r w:rsidR="005E6709">
        <w:rPr>
          <w:rFonts w:ascii="David" w:hAnsi="David" w:cs="David" w:hint="cs"/>
          <w:sz w:val="24"/>
          <w:szCs w:val="24"/>
          <w:rtl/>
        </w:rPr>
        <w:t xml:space="preserve"> בצורה חוקית, אך כזו</w:t>
      </w:r>
      <w:r w:rsidR="00E03271" w:rsidRPr="00486D11">
        <w:rPr>
          <w:rFonts w:ascii="David" w:hAnsi="David" w:cs="David" w:hint="cs"/>
          <w:sz w:val="24"/>
          <w:szCs w:val="24"/>
          <w:rtl/>
        </w:rPr>
        <w:t xml:space="preserve"> שמשקפ</w:t>
      </w:r>
      <w:r w:rsidR="005E6709">
        <w:rPr>
          <w:rFonts w:ascii="David" w:hAnsi="David" w:cs="David" w:hint="cs"/>
          <w:sz w:val="24"/>
          <w:szCs w:val="24"/>
          <w:rtl/>
        </w:rPr>
        <w:t>ת</w:t>
      </w:r>
      <w:r w:rsidR="00E03271" w:rsidRPr="00486D11">
        <w:rPr>
          <w:rFonts w:ascii="David" w:hAnsi="David" w:cs="David" w:hint="cs"/>
          <w:sz w:val="24"/>
          <w:szCs w:val="24"/>
          <w:rtl/>
        </w:rPr>
        <w:t xml:space="preserve"> תמונה ורודה</w:t>
      </w:r>
      <w:r w:rsidR="00180E0C" w:rsidRPr="00486D11">
        <w:rPr>
          <w:rFonts w:ascii="David" w:hAnsi="David" w:cs="David" w:hint="cs"/>
          <w:sz w:val="24"/>
          <w:szCs w:val="24"/>
          <w:rtl/>
        </w:rPr>
        <w:t>,</w:t>
      </w:r>
      <w:r w:rsidR="00E03271" w:rsidRPr="00486D11">
        <w:rPr>
          <w:rFonts w:ascii="David" w:hAnsi="David" w:cs="David" w:hint="cs"/>
          <w:sz w:val="24"/>
          <w:szCs w:val="24"/>
          <w:rtl/>
        </w:rPr>
        <w:t xml:space="preserve"> </w:t>
      </w:r>
      <w:r w:rsidR="00180E0C" w:rsidRPr="00486D11">
        <w:rPr>
          <w:rFonts w:ascii="David" w:hAnsi="David" w:cs="David" w:hint="cs"/>
          <w:sz w:val="24"/>
          <w:szCs w:val="24"/>
          <w:rtl/>
        </w:rPr>
        <w:t xml:space="preserve">לעתים ורודה </w:t>
      </w:r>
      <w:r w:rsidR="00E03271" w:rsidRPr="00486D11">
        <w:rPr>
          <w:rFonts w:ascii="David" w:hAnsi="David" w:cs="David" w:hint="cs"/>
          <w:sz w:val="24"/>
          <w:szCs w:val="24"/>
          <w:rtl/>
        </w:rPr>
        <w:t>מדי</w:t>
      </w:r>
      <w:r w:rsidR="00180E0C" w:rsidRPr="00486D11">
        <w:rPr>
          <w:rFonts w:ascii="David" w:hAnsi="David" w:cs="David" w:hint="cs"/>
          <w:sz w:val="24"/>
          <w:szCs w:val="24"/>
          <w:rtl/>
        </w:rPr>
        <w:t>,</w:t>
      </w:r>
      <w:r w:rsidR="00E03271" w:rsidRPr="00486D11">
        <w:rPr>
          <w:rFonts w:ascii="David" w:hAnsi="David" w:cs="David" w:hint="cs"/>
          <w:sz w:val="24"/>
          <w:szCs w:val="24"/>
          <w:rtl/>
        </w:rPr>
        <w:t xml:space="preserve"> ביחס לביצועים בפועל של החברה</w:t>
      </w:r>
      <w:r w:rsidR="00A00E21" w:rsidRPr="00486D11">
        <w:rPr>
          <w:rFonts w:ascii="David" w:hAnsi="David" w:cs="David" w:hint="cs"/>
          <w:sz w:val="24"/>
          <w:szCs w:val="24"/>
          <w:rtl/>
        </w:rPr>
        <w:t xml:space="preserve"> (איור 2)</w:t>
      </w:r>
      <w:r w:rsidR="00E03271" w:rsidRPr="00486D11">
        <w:rPr>
          <w:rFonts w:ascii="David" w:hAnsi="David" w:cs="David" w:hint="cs"/>
          <w:sz w:val="24"/>
          <w:szCs w:val="24"/>
          <w:rtl/>
        </w:rPr>
        <w:t xml:space="preserve">. </w:t>
      </w:r>
      <w:bookmarkStart w:id="0" w:name="_GoBack"/>
      <w:bookmarkEnd w:id="0"/>
    </w:p>
    <w:p w14:paraId="32209A36" w14:textId="055EDEC2" w:rsidR="007F7508" w:rsidRPr="00486D11" w:rsidRDefault="007F7508" w:rsidP="00585878">
      <w:pPr>
        <w:jc w:val="center"/>
        <w:rPr>
          <w:rFonts w:ascii="David" w:hAnsi="David" w:cs="David"/>
          <w:b/>
          <w:bCs/>
          <w:sz w:val="24"/>
          <w:szCs w:val="24"/>
          <w:rtl/>
        </w:rPr>
      </w:pPr>
      <w:r w:rsidRPr="00486D11">
        <w:rPr>
          <w:rFonts w:ascii="David" w:hAnsi="David" w:cs="David" w:hint="cs"/>
          <w:b/>
          <w:bCs/>
          <w:sz w:val="24"/>
          <w:szCs w:val="24"/>
          <w:rtl/>
        </w:rPr>
        <w:t>איור 2: שיעור השינוי בהנפקת המניות ובאומדן לניהול רווחים בחברות שהושפעו מהפסיקה ביחס להון העצמי שלהן ערב הפסיקה</w:t>
      </w:r>
    </w:p>
    <w:p w14:paraId="27C8D67F" w14:textId="75B6334B" w:rsidR="000E519B" w:rsidRPr="00486D11" w:rsidRDefault="006B55A7" w:rsidP="00477964">
      <w:pPr>
        <w:bidi/>
        <w:spacing w:line="360" w:lineRule="auto"/>
        <w:jc w:val="center"/>
        <w:rPr>
          <w:rFonts w:ascii="David" w:hAnsi="David" w:cs="David"/>
          <w:sz w:val="24"/>
          <w:szCs w:val="24"/>
          <w:rtl/>
        </w:rPr>
      </w:pPr>
      <w:r w:rsidRPr="00486D11">
        <w:rPr>
          <w:noProof/>
          <w:sz w:val="24"/>
          <w:szCs w:val="24"/>
        </w:rPr>
        <w:drawing>
          <wp:inline distT="0" distB="0" distL="0" distR="0" wp14:anchorId="1ACB3D82" wp14:editId="020373F4">
            <wp:extent cx="4285753" cy="2202511"/>
            <wp:effectExtent l="0" t="0" r="635" b="762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679045" w14:textId="77777777" w:rsidR="00486D11" w:rsidRPr="00486D11" w:rsidRDefault="00486D11" w:rsidP="00486D11">
      <w:pPr>
        <w:bidi/>
        <w:spacing w:line="360" w:lineRule="auto"/>
        <w:jc w:val="center"/>
        <w:rPr>
          <w:rFonts w:ascii="David" w:hAnsi="David" w:cs="David"/>
          <w:sz w:val="20"/>
          <w:szCs w:val="20"/>
          <w:rtl/>
        </w:rPr>
      </w:pPr>
      <w:r w:rsidRPr="00486D11">
        <w:rPr>
          <w:rFonts w:ascii="David" w:hAnsi="David" w:cs="David" w:hint="cs"/>
          <w:sz w:val="20"/>
          <w:szCs w:val="20"/>
          <w:rtl/>
        </w:rPr>
        <w:t>מקור: עיבודי החוקרים לנתוני בנק ישראל</w:t>
      </w:r>
    </w:p>
    <w:p w14:paraId="5ED9878C" w14:textId="1B5E6BAB" w:rsidR="0062387C" w:rsidRPr="00486D11" w:rsidRDefault="000E519B" w:rsidP="000549D3">
      <w:pPr>
        <w:bidi/>
        <w:spacing w:line="360" w:lineRule="auto"/>
        <w:jc w:val="both"/>
        <w:rPr>
          <w:sz w:val="24"/>
          <w:szCs w:val="24"/>
          <w:rtl/>
        </w:rPr>
      </w:pPr>
      <w:r w:rsidRPr="00486D11">
        <w:rPr>
          <w:rFonts w:ascii="David" w:hAnsi="David" w:cs="David" w:hint="cs"/>
          <w:sz w:val="24"/>
          <w:szCs w:val="24"/>
          <w:rtl/>
        </w:rPr>
        <w:t xml:space="preserve">לבסוף, </w:t>
      </w:r>
      <w:r w:rsidR="000549D3" w:rsidRPr="00486D11">
        <w:rPr>
          <w:rFonts w:ascii="David" w:hAnsi="David" w:cs="David" w:hint="cs"/>
          <w:sz w:val="24"/>
          <w:szCs w:val="24"/>
          <w:rtl/>
        </w:rPr>
        <w:t>המחקר מוצא</w:t>
      </w:r>
      <w:r w:rsidR="006B55A7" w:rsidRPr="00486D11">
        <w:rPr>
          <w:rFonts w:ascii="David" w:hAnsi="David" w:cs="David" w:hint="cs"/>
          <w:sz w:val="24"/>
          <w:szCs w:val="24"/>
          <w:rtl/>
        </w:rPr>
        <w:t xml:space="preserve"> ראיות</w:t>
      </w:r>
      <w:r w:rsidR="00701F56" w:rsidRPr="00486D11">
        <w:rPr>
          <w:rFonts w:ascii="David" w:hAnsi="David" w:cs="David" w:hint="cs"/>
          <w:sz w:val="24"/>
          <w:szCs w:val="24"/>
          <w:rtl/>
        </w:rPr>
        <w:t xml:space="preserve"> לכך שהאגרסיביות החשבונאית, שסייעה לשיפור המאזנים של החברות בטווח הקצר, </w:t>
      </w:r>
      <w:r w:rsidR="00370F28" w:rsidRPr="00486D11">
        <w:rPr>
          <w:rFonts w:ascii="David" w:hAnsi="David" w:cs="David" w:hint="cs"/>
          <w:sz w:val="24"/>
          <w:szCs w:val="24"/>
          <w:rtl/>
        </w:rPr>
        <w:t>מתואמת עם</w:t>
      </w:r>
      <w:r w:rsidR="00701F56" w:rsidRPr="00486D11">
        <w:rPr>
          <w:rFonts w:ascii="David" w:hAnsi="David" w:cs="David" w:hint="cs"/>
          <w:sz w:val="24"/>
          <w:szCs w:val="24"/>
          <w:rtl/>
        </w:rPr>
        <w:t xml:space="preserve"> רווחיות נמוכה יותר בשנים שלאחר מכן.</w:t>
      </w:r>
      <w:r w:rsidR="00406F60" w:rsidRPr="00486D11">
        <w:rPr>
          <w:rFonts w:ascii="David" w:hAnsi="David" w:cs="David" w:hint="cs"/>
          <w:sz w:val="24"/>
          <w:szCs w:val="24"/>
          <w:rtl/>
        </w:rPr>
        <w:t xml:space="preserve"> חשוב מכך, ניהול רווחים והיעדר שמרנות בדיווח עלולים להפוך את הדוחות הכספיים של החברות לפחות אינפורמטיביים ולפגוע בערך שהם מספקים לבעלי העניין בחברה</w:t>
      </w:r>
      <w:r w:rsidR="00732C41" w:rsidRPr="00486D11">
        <w:rPr>
          <w:rFonts w:ascii="David" w:hAnsi="David" w:cs="David" w:hint="cs"/>
          <w:sz w:val="24"/>
          <w:szCs w:val="24"/>
          <w:rtl/>
        </w:rPr>
        <w:t>,</w:t>
      </w:r>
      <w:r w:rsidR="00406F60" w:rsidRPr="00486D11">
        <w:rPr>
          <w:rFonts w:ascii="David" w:hAnsi="David" w:cs="David" w:hint="cs"/>
          <w:sz w:val="24"/>
          <w:szCs w:val="24"/>
          <w:rtl/>
        </w:rPr>
        <w:t xml:space="preserve"> ובפרט לנושים. בהתאם לחשש זה, </w:t>
      </w:r>
      <w:r w:rsidR="000549D3" w:rsidRPr="00486D11">
        <w:rPr>
          <w:rFonts w:ascii="David" w:hAnsi="David" w:cs="David" w:hint="cs"/>
          <w:sz w:val="24"/>
          <w:szCs w:val="24"/>
          <w:rtl/>
        </w:rPr>
        <w:t>המחקר מוצא</w:t>
      </w:r>
      <w:r w:rsidR="00406F60" w:rsidRPr="00486D11">
        <w:rPr>
          <w:rFonts w:ascii="David" w:hAnsi="David" w:cs="David" w:hint="cs"/>
          <w:sz w:val="24"/>
          <w:szCs w:val="24"/>
          <w:rtl/>
        </w:rPr>
        <w:t xml:space="preserve"> שלאחר הפסיקה בעלי </w:t>
      </w:r>
      <w:proofErr w:type="spellStart"/>
      <w:r w:rsidR="00406F60" w:rsidRPr="00486D11">
        <w:rPr>
          <w:rFonts w:ascii="David" w:hAnsi="David" w:cs="David" w:hint="cs"/>
          <w:sz w:val="24"/>
          <w:szCs w:val="24"/>
          <w:rtl/>
        </w:rPr>
        <w:t>האג"ח</w:t>
      </w:r>
      <w:proofErr w:type="spellEnd"/>
      <w:r w:rsidR="00406F60" w:rsidRPr="00486D11">
        <w:rPr>
          <w:rFonts w:ascii="David" w:hAnsi="David" w:cs="David" w:hint="cs"/>
          <w:sz w:val="24"/>
          <w:szCs w:val="24"/>
          <w:rtl/>
        </w:rPr>
        <w:t xml:space="preserve"> הגיבו בצורה חלשה יותר לדוחות הכספיים של החברות שהושפעו מהפסיקה</w:t>
      </w:r>
      <w:r w:rsidR="006B55A7" w:rsidRPr="00486D11">
        <w:rPr>
          <w:rFonts w:ascii="David" w:hAnsi="David" w:cs="David" w:hint="cs"/>
          <w:sz w:val="24"/>
          <w:szCs w:val="24"/>
          <w:rtl/>
        </w:rPr>
        <w:t>.</w:t>
      </w:r>
      <w:r w:rsidR="00406F60" w:rsidRPr="00486D11">
        <w:rPr>
          <w:rFonts w:ascii="David" w:hAnsi="David" w:cs="David" w:hint="cs"/>
          <w:sz w:val="24"/>
          <w:szCs w:val="24"/>
          <w:rtl/>
        </w:rPr>
        <w:t xml:space="preserve"> </w:t>
      </w:r>
    </w:p>
    <w:p w14:paraId="5A31F5A7" w14:textId="77777777" w:rsidR="0062387C" w:rsidRPr="00486D11" w:rsidRDefault="00406F60" w:rsidP="00FD538C">
      <w:pPr>
        <w:bidi/>
        <w:spacing w:line="360" w:lineRule="auto"/>
        <w:jc w:val="both"/>
        <w:rPr>
          <w:sz w:val="24"/>
          <w:szCs w:val="24"/>
        </w:rPr>
      </w:pPr>
      <w:r w:rsidRPr="00486D11">
        <w:rPr>
          <w:rFonts w:ascii="David" w:hAnsi="David" w:cs="David" w:hint="cs"/>
          <w:sz w:val="24"/>
          <w:szCs w:val="24"/>
          <w:rtl/>
        </w:rPr>
        <w:t xml:space="preserve">המחקר </w:t>
      </w:r>
      <w:r w:rsidR="00FD538C" w:rsidRPr="00486D11">
        <w:rPr>
          <w:rFonts w:ascii="David" w:hAnsi="David" w:cs="David" w:hint="cs"/>
          <w:sz w:val="24"/>
          <w:szCs w:val="24"/>
          <w:rtl/>
        </w:rPr>
        <w:t xml:space="preserve">מצטרף </w:t>
      </w:r>
      <w:r w:rsidRPr="00486D11">
        <w:rPr>
          <w:rFonts w:ascii="David" w:hAnsi="David" w:cs="David" w:hint="cs"/>
          <w:sz w:val="24"/>
          <w:szCs w:val="24"/>
          <w:rtl/>
        </w:rPr>
        <w:t xml:space="preserve">למספר הולך וגדל של מאמרים המשתמשים בזעזוע חקיקתי או משפטי כדי לבחון את ההשפעות של גידול בזכויות הנושים על התנהגות החברות. המחקר הנוכחי הוא הראשון שבוחן את ההשפעה של גידול ביכולתם של הנושים לאלץ חברות </w:t>
      </w:r>
      <w:r w:rsidR="00FD538C" w:rsidRPr="00486D11">
        <w:rPr>
          <w:rFonts w:ascii="David" w:hAnsi="David" w:cs="David" w:hint="cs"/>
          <w:sz w:val="24"/>
          <w:szCs w:val="24"/>
          <w:rtl/>
        </w:rPr>
        <w:t xml:space="preserve">להיכנס </w:t>
      </w:r>
      <w:r w:rsidRPr="00486D11">
        <w:rPr>
          <w:rFonts w:ascii="David" w:hAnsi="David" w:cs="David" w:hint="cs"/>
          <w:sz w:val="24"/>
          <w:szCs w:val="24"/>
          <w:rtl/>
        </w:rPr>
        <w:t>להסדר חוב</w:t>
      </w:r>
      <w:r w:rsidR="00FD538C" w:rsidRPr="00486D11">
        <w:rPr>
          <w:rFonts w:ascii="David" w:hAnsi="David" w:cs="David" w:hint="cs"/>
          <w:sz w:val="24"/>
          <w:szCs w:val="24"/>
          <w:rtl/>
        </w:rPr>
        <w:t>,</w:t>
      </w:r>
      <w:r w:rsidRPr="00486D11">
        <w:rPr>
          <w:rFonts w:ascii="David" w:hAnsi="David" w:cs="David" w:hint="cs"/>
          <w:sz w:val="24"/>
          <w:szCs w:val="24"/>
          <w:rtl/>
        </w:rPr>
        <w:t xml:space="preserve"> והוא ייחודי בהתמקדותו בהשפעה של זכויות הנושים על </w:t>
      </w:r>
      <w:r w:rsidR="00FD538C" w:rsidRPr="00486D11">
        <w:rPr>
          <w:rFonts w:ascii="David" w:hAnsi="David" w:cs="David" w:hint="cs"/>
          <w:sz w:val="24"/>
          <w:szCs w:val="24"/>
          <w:rtl/>
        </w:rPr>
        <w:t xml:space="preserve">איכות </w:t>
      </w:r>
      <w:r w:rsidRPr="00486D11">
        <w:rPr>
          <w:rFonts w:ascii="David" w:hAnsi="David" w:cs="David" w:hint="cs"/>
          <w:sz w:val="24"/>
          <w:szCs w:val="24"/>
          <w:rtl/>
        </w:rPr>
        <w:t>הדיווח הפיננסי וההתנהלות החשבונאית של החברות. הממצאים מראים ששינויים שנועדו לתת לנושים יותר זכויות במצבי עולם מסוימים</w:t>
      </w:r>
      <w:r w:rsidR="00FD538C" w:rsidRPr="00486D11">
        <w:rPr>
          <w:rFonts w:ascii="David" w:hAnsi="David" w:cs="David" w:hint="cs"/>
          <w:sz w:val="24"/>
          <w:szCs w:val="24"/>
          <w:rtl/>
        </w:rPr>
        <w:t xml:space="preserve"> </w:t>
      </w:r>
      <w:r w:rsidR="00FD538C" w:rsidRPr="00486D11">
        <w:rPr>
          <w:rFonts w:ascii="David" w:hAnsi="David" w:cs="David"/>
          <w:sz w:val="24"/>
          <w:szCs w:val="24"/>
          <w:rtl/>
        </w:rPr>
        <w:t>–</w:t>
      </w:r>
      <w:r w:rsidR="00FD538C" w:rsidRPr="00486D11">
        <w:rPr>
          <w:rFonts w:ascii="David" w:hAnsi="David" w:cs="David" w:hint="cs"/>
          <w:sz w:val="24"/>
          <w:szCs w:val="24"/>
          <w:rtl/>
        </w:rPr>
        <w:t xml:space="preserve"> שינויים שעשויים להיות רצויים במקרים רבים-</w:t>
      </w:r>
      <w:r w:rsidR="00D46121" w:rsidRPr="00486D11">
        <w:rPr>
          <w:rFonts w:ascii="David" w:hAnsi="David" w:cs="David" w:hint="cs"/>
          <w:sz w:val="24"/>
          <w:szCs w:val="24"/>
          <w:rtl/>
        </w:rPr>
        <w:t xml:space="preserve"> עלולים להוביל גם לתוצאות שליליות בלתי-מתוכננות. מצד אחד, </w:t>
      </w:r>
      <w:proofErr w:type="spellStart"/>
      <w:r w:rsidR="00D46121" w:rsidRPr="00486D11">
        <w:rPr>
          <w:rFonts w:ascii="David" w:hAnsi="David" w:cs="David" w:hint="cs"/>
          <w:sz w:val="24"/>
          <w:szCs w:val="24"/>
          <w:rtl/>
        </w:rPr>
        <w:t>הכח</w:t>
      </w:r>
      <w:proofErr w:type="spellEnd"/>
      <w:r w:rsidR="00D46121" w:rsidRPr="00486D11">
        <w:rPr>
          <w:rFonts w:ascii="David" w:hAnsi="David" w:cs="David" w:hint="cs"/>
          <w:sz w:val="24"/>
          <w:szCs w:val="24"/>
          <w:rtl/>
        </w:rPr>
        <w:t xml:space="preserve"> שניתן לנושים יכול לתמרץ חברות בקשיים חמורים לגייס הון או</w:t>
      </w:r>
      <w:r w:rsidR="00FD538C" w:rsidRPr="00486D11">
        <w:rPr>
          <w:rFonts w:ascii="David" w:hAnsi="David" w:cs="David" w:hint="cs"/>
          <w:sz w:val="24"/>
          <w:szCs w:val="24"/>
          <w:rtl/>
        </w:rPr>
        <w:t>,</w:t>
      </w:r>
      <w:r w:rsidR="00D46121" w:rsidRPr="00486D11">
        <w:rPr>
          <w:rFonts w:ascii="David" w:hAnsi="David" w:cs="David" w:hint="cs"/>
          <w:sz w:val="24"/>
          <w:szCs w:val="24"/>
          <w:rtl/>
        </w:rPr>
        <w:t xml:space="preserve"> לחילופין</w:t>
      </w:r>
      <w:r w:rsidR="00FD538C" w:rsidRPr="00486D11">
        <w:rPr>
          <w:rFonts w:ascii="David" w:hAnsi="David" w:cs="David" w:hint="cs"/>
          <w:sz w:val="24"/>
          <w:szCs w:val="24"/>
          <w:rtl/>
        </w:rPr>
        <w:t>,</w:t>
      </w:r>
      <w:r w:rsidR="00D46121" w:rsidRPr="00486D11">
        <w:rPr>
          <w:rFonts w:ascii="David" w:hAnsi="David" w:cs="David" w:hint="cs"/>
          <w:sz w:val="24"/>
          <w:szCs w:val="24"/>
          <w:rtl/>
        </w:rPr>
        <w:t xml:space="preserve"> לתת לנושים את </w:t>
      </w:r>
      <w:proofErr w:type="spellStart"/>
      <w:r w:rsidR="00D46121" w:rsidRPr="00486D11">
        <w:rPr>
          <w:rFonts w:ascii="David" w:hAnsi="David" w:cs="David" w:hint="cs"/>
          <w:sz w:val="24"/>
          <w:szCs w:val="24"/>
          <w:rtl/>
        </w:rPr>
        <w:t>הכח</w:t>
      </w:r>
      <w:proofErr w:type="spellEnd"/>
      <w:r w:rsidR="00D46121" w:rsidRPr="00486D11">
        <w:rPr>
          <w:rFonts w:ascii="David" w:hAnsi="David" w:cs="David" w:hint="cs"/>
          <w:sz w:val="24"/>
          <w:szCs w:val="24"/>
          <w:rtl/>
        </w:rPr>
        <w:t xml:space="preserve"> לפעול ולהגיע להסדר חוב מוקדם כאשר החברה אינה מצליחה לפעול לשיפור מצבה. מצד שני, הגידול בזכויות הנושים עלול לתמרץ חברות בקשיים לנפח את הרווחים והמאזן שלהן ואגב כך לפגוע באיכות המידע בשוק ההון. </w:t>
      </w:r>
    </w:p>
    <w:sectPr w:rsidR="0062387C" w:rsidRPr="00486D1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CC4BC" w14:textId="77777777" w:rsidR="009F066A" w:rsidRDefault="009F066A" w:rsidP="0062387C">
      <w:pPr>
        <w:spacing w:after="0" w:line="240" w:lineRule="auto"/>
      </w:pPr>
      <w:r>
        <w:separator/>
      </w:r>
    </w:p>
  </w:endnote>
  <w:endnote w:type="continuationSeparator" w:id="0">
    <w:p w14:paraId="21928B2B" w14:textId="77777777" w:rsidR="009F066A" w:rsidRDefault="009F066A" w:rsidP="0062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67CD1" w14:textId="77777777" w:rsidR="004E7D49" w:rsidRDefault="004E7D4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173E" w14:textId="77777777" w:rsidR="004E7D49" w:rsidRDefault="004E7D4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3496" w14:textId="77777777" w:rsidR="004E7D49" w:rsidRDefault="004E7D4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867C6" w14:textId="77777777" w:rsidR="009F066A" w:rsidRDefault="009F066A" w:rsidP="0062387C">
      <w:pPr>
        <w:spacing w:after="0" w:line="240" w:lineRule="auto"/>
      </w:pPr>
      <w:r>
        <w:separator/>
      </w:r>
    </w:p>
  </w:footnote>
  <w:footnote w:type="continuationSeparator" w:id="0">
    <w:p w14:paraId="5DECD1C9" w14:textId="77777777" w:rsidR="009F066A" w:rsidRDefault="009F066A" w:rsidP="0062387C">
      <w:pPr>
        <w:spacing w:after="0" w:line="240" w:lineRule="auto"/>
      </w:pPr>
      <w:r>
        <w:continuationSeparator/>
      </w:r>
    </w:p>
  </w:footnote>
  <w:footnote w:id="1">
    <w:p w14:paraId="6BD5B707" w14:textId="0A659189" w:rsidR="00A43774" w:rsidRDefault="00A43774" w:rsidP="00726781">
      <w:pPr>
        <w:pStyle w:val="a3"/>
        <w:bidi/>
        <w:jc w:val="both"/>
        <w:rPr>
          <w:rtl/>
        </w:rPr>
      </w:pPr>
      <w:r>
        <w:rPr>
          <w:rStyle w:val="a5"/>
        </w:rPr>
        <w:footnoteRef/>
      </w:r>
      <w:r>
        <w:t xml:space="preserve"> </w:t>
      </w:r>
      <w:r>
        <w:rPr>
          <w:rFonts w:hint="cs"/>
          <w:rtl/>
        </w:rPr>
        <w:t xml:space="preserve"> </w:t>
      </w:r>
      <w:r w:rsidR="006B4E7E" w:rsidRPr="006B4E7E">
        <w:rPr>
          <w:rtl/>
        </w:rPr>
        <w:t xml:space="preserve">פרק (ת"א) 36681-04-13 </w:t>
      </w:r>
      <w:proofErr w:type="spellStart"/>
      <w:r w:rsidR="006B4E7E" w:rsidRPr="006B4E7E">
        <w:rPr>
          <w:rtl/>
        </w:rPr>
        <w:t>הרמטיק</w:t>
      </w:r>
      <w:proofErr w:type="spellEnd"/>
      <w:r w:rsidR="006B4E7E" w:rsidRPr="006B4E7E">
        <w:rPr>
          <w:rtl/>
        </w:rPr>
        <w:t xml:space="preserve"> נאמנות (1975) בע"מ נגד אי די </w:t>
      </w:r>
      <w:r w:rsidR="00E81547">
        <w:rPr>
          <w:rFonts w:hint="cs"/>
          <w:rtl/>
        </w:rPr>
        <w:t xml:space="preserve">בי </w:t>
      </w:r>
      <w:r w:rsidR="006B4E7E" w:rsidRPr="006B4E7E">
        <w:rPr>
          <w:rtl/>
        </w:rPr>
        <w:t>חברה לפיתוח בע"מ (30 באפריל 2013)</w:t>
      </w:r>
      <w:r w:rsidR="006B4E7E">
        <w:rPr>
          <w:rFonts w:hint="cs"/>
          <w:rtl/>
        </w:rPr>
        <w:t xml:space="preserve">. </w:t>
      </w:r>
      <w:r>
        <w:rPr>
          <w:rFonts w:hint="cs"/>
          <w:rtl/>
        </w:rPr>
        <w:t xml:space="preserve">פסק-הדין ניתן בתאריך 30.4.2013 על-ידי כבוד השופט איתן אורנשטיין, בתגובה לבקשה של הנאמנים בשלוש מסדרות אגרות החוב של 'אי די בי חברה לפיתוח בע"מ' לכפות על החברה הסדר חוב. השופט אורנשטיין הורה על מינוי עו"ד חגי אולמן כמשקיף לחברה ועל מינוי מר אייל גבאי כמומחה כלכלי שיעריך את מצבה של החברה, וזאת על-אף טענתה של החברה כי לא ניתן לכפות עליה הסדר. החלטת בית-המשפט </w:t>
      </w:r>
      <w:r w:rsidR="00726781">
        <w:rPr>
          <w:rFonts w:hint="cs"/>
          <w:rtl/>
        </w:rPr>
        <w:t>תקדימית בקביעה שנושים יכולים לכפות הסדר חוב על החברה החייבת אם הם מצליחים להראות שהיא חדלת-פירעון וזאת על-אף שעד לאותה נקודה החברה עמדה בכל התשלומים וללא שהיא הפרה תניה כלשהי בשטר החוב.</w:t>
      </w:r>
      <w:r>
        <w:rPr>
          <w:rFonts w:hint="cs"/>
          <w:rtl/>
        </w:rPr>
        <w:t xml:space="preserve"> </w:t>
      </w:r>
      <w:r w:rsidR="00466C69">
        <w:rPr>
          <w:rFonts w:hint="cs"/>
          <w:rtl/>
        </w:rPr>
        <w:t>הפסיקה הייתה מפתיעה ושנויה במחלוקת ואף נעשו בהמשך שני ניסיונות, שלא צלחו, לאתגר אותה בבית-המשפט העליון.</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279F" w14:textId="77777777" w:rsidR="004E7D49" w:rsidRDefault="004E7D4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2279" w14:textId="77777777" w:rsidR="004E7D49" w:rsidRDefault="004E7D49">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D4D3" w14:textId="77777777" w:rsidR="004E7D49" w:rsidRDefault="004E7D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E348D"/>
    <w:multiLevelType w:val="hybridMultilevel"/>
    <w:tmpl w:val="6CD8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7C"/>
    <w:rsid w:val="00000B74"/>
    <w:rsid w:val="000109C7"/>
    <w:rsid w:val="000139DE"/>
    <w:rsid w:val="00013CB5"/>
    <w:rsid w:val="00015F1A"/>
    <w:rsid w:val="000200B6"/>
    <w:rsid w:val="00032C66"/>
    <w:rsid w:val="00041026"/>
    <w:rsid w:val="00042077"/>
    <w:rsid w:val="00045CE5"/>
    <w:rsid w:val="000471D6"/>
    <w:rsid w:val="000549D3"/>
    <w:rsid w:val="00062CF5"/>
    <w:rsid w:val="000861D8"/>
    <w:rsid w:val="00094E94"/>
    <w:rsid w:val="000C051E"/>
    <w:rsid w:val="000C5BB6"/>
    <w:rsid w:val="000C62D7"/>
    <w:rsid w:val="000E519B"/>
    <w:rsid w:val="0014245B"/>
    <w:rsid w:val="00163739"/>
    <w:rsid w:val="00180E0C"/>
    <w:rsid w:val="00194C50"/>
    <w:rsid w:val="001977DA"/>
    <w:rsid w:val="001B42B0"/>
    <w:rsid w:val="001B6941"/>
    <w:rsid w:val="001C27C3"/>
    <w:rsid w:val="001C793B"/>
    <w:rsid w:val="001F25AA"/>
    <w:rsid w:val="001F45AA"/>
    <w:rsid w:val="00204C6F"/>
    <w:rsid w:val="00220878"/>
    <w:rsid w:val="002243E8"/>
    <w:rsid w:val="0022461B"/>
    <w:rsid w:val="00236673"/>
    <w:rsid w:val="00244F62"/>
    <w:rsid w:val="00250B27"/>
    <w:rsid w:val="00251B79"/>
    <w:rsid w:val="00251F70"/>
    <w:rsid w:val="00263AE8"/>
    <w:rsid w:val="00272D19"/>
    <w:rsid w:val="002732D4"/>
    <w:rsid w:val="00276A43"/>
    <w:rsid w:val="002811F7"/>
    <w:rsid w:val="0028447F"/>
    <w:rsid w:val="0028454D"/>
    <w:rsid w:val="00290684"/>
    <w:rsid w:val="002B37F8"/>
    <w:rsid w:val="002B3B21"/>
    <w:rsid w:val="002D1E4F"/>
    <w:rsid w:val="002E6D28"/>
    <w:rsid w:val="002F0EE4"/>
    <w:rsid w:val="002F7707"/>
    <w:rsid w:val="002F7E12"/>
    <w:rsid w:val="00301FC2"/>
    <w:rsid w:val="00305205"/>
    <w:rsid w:val="0031512E"/>
    <w:rsid w:val="00316A33"/>
    <w:rsid w:val="003270B7"/>
    <w:rsid w:val="00336B0E"/>
    <w:rsid w:val="003408E1"/>
    <w:rsid w:val="003427A7"/>
    <w:rsid w:val="0035620F"/>
    <w:rsid w:val="00357E62"/>
    <w:rsid w:val="00370F28"/>
    <w:rsid w:val="0037329C"/>
    <w:rsid w:val="00383F01"/>
    <w:rsid w:val="00383F60"/>
    <w:rsid w:val="00390B46"/>
    <w:rsid w:val="003A0A0E"/>
    <w:rsid w:val="003A0F4C"/>
    <w:rsid w:val="003A6011"/>
    <w:rsid w:val="003B1499"/>
    <w:rsid w:val="003D22CC"/>
    <w:rsid w:val="003D3A38"/>
    <w:rsid w:val="003F10D3"/>
    <w:rsid w:val="00406F60"/>
    <w:rsid w:val="00407D54"/>
    <w:rsid w:val="004123BD"/>
    <w:rsid w:val="00430B91"/>
    <w:rsid w:val="00431472"/>
    <w:rsid w:val="00440865"/>
    <w:rsid w:val="004436D1"/>
    <w:rsid w:val="00466C69"/>
    <w:rsid w:val="00466C80"/>
    <w:rsid w:val="0047152C"/>
    <w:rsid w:val="00473B8D"/>
    <w:rsid w:val="00476584"/>
    <w:rsid w:val="004766B7"/>
    <w:rsid w:val="00477964"/>
    <w:rsid w:val="00483E69"/>
    <w:rsid w:val="00486D11"/>
    <w:rsid w:val="004956BF"/>
    <w:rsid w:val="004A6B2A"/>
    <w:rsid w:val="004B7D19"/>
    <w:rsid w:val="004D08A1"/>
    <w:rsid w:val="004D38A3"/>
    <w:rsid w:val="004E130C"/>
    <w:rsid w:val="004E1D3D"/>
    <w:rsid w:val="004E7D49"/>
    <w:rsid w:val="004F17FD"/>
    <w:rsid w:val="00507FA3"/>
    <w:rsid w:val="00511C44"/>
    <w:rsid w:val="0052168D"/>
    <w:rsid w:val="00551868"/>
    <w:rsid w:val="00585878"/>
    <w:rsid w:val="00587916"/>
    <w:rsid w:val="00590564"/>
    <w:rsid w:val="00597D48"/>
    <w:rsid w:val="005A65F6"/>
    <w:rsid w:val="005B3287"/>
    <w:rsid w:val="005C6713"/>
    <w:rsid w:val="005D167B"/>
    <w:rsid w:val="005D719D"/>
    <w:rsid w:val="005E4C6E"/>
    <w:rsid w:val="005E6709"/>
    <w:rsid w:val="00602406"/>
    <w:rsid w:val="00603BEB"/>
    <w:rsid w:val="00605D61"/>
    <w:rsid w:val="00616418"/>
    <w:rsid w:val="0062387C"/>
    <w:rsid w:val="00631433"/>
    <w:rsid w:val="00635CDE"/>
    <w:rsid w:val="00643602"/>
    <w:rsid w:val="006616F4"/>
    <w:rsid w:val="006768A7"/>
    <w:rsid w:val="006A3207"/>
    <w:rsid w:val="006B4E7E"/>
    <w:rsid w:val="006B55A7"/>
    <w:rsid w:val="006C1971"/>
    <w:rsid w:val="006D3C66"/>
    <w:rsid w:val="006E24E8"/>
    <w:rsid w:val="006F0844"/>
    <w:rsid w:val="006F33D9"/>
    <w:rsid w:val="00701F56"/>
    <w:rsid w:val="00704E68"/>
    <w:rsid w:val="00713B3F"/>
    <w:rsid w:val="00726781"/>
    <w:rsid w:val="00727915"/>
    <w:rsid w:val="0073021D"/>
    <w:rsid w:val="00732C41"/>
    <w:rsid w:val="00736952"/>
    <w:rsid w:val="0073751A"/>
    <w:rsid w:val="00747BED"/>
    <w:rsid w:val="00781008"/>
    <w:rsid w:val="0078728D"/>
    <w:rsid w:val="007E103F"/>
    <w:rsid w:val="007E271F"/>
    <w:rsid w:val="007E7659"/>
    <w:rsid w:val="007F7508"/>
    <w:rsid w:val="00804491"/>
    <w:rsid w:val="0080680F"/>
    <w:rsid w:val="00806DBD"/>
    <w:rsid w:val="00811D62"/>
    <w:rsid w:val="00816F02"/>
    <w:rsid w:val="00844ACF"/>
    <w:rsid w:val="00852060"/>
    <w:rsid w:val="0088222C"/>
    <w:rsid w:val="008828FF"/>
    <w:rsid w:val="0088522B"/>
    <w:rsid w:val="008953E6"/>
    <w:rsid w:val="00895F55"/>
    <w:rsid w:val="008A50A9"/>
    <w:rsid w:val="008A550D"/>
    <w:rsid w:val="008B3703"/>
    <w:rsid w:val="008C1FF9"/>
    <w:rsid w:val="008C3C7D"/>
    <w:rsid w:val="008D000A"/>
    <w:rsid w:val="008D4CD5"/>
    <w:rsid w:val="008D57A4"/>
    <w:rsid w:val="008E1252"/>
    <w:rsid w:val="008E28C9"/>
    <w:rsid w:val="008F13C2"/>
    <w:rsid w:val="008F5C2F"/>
    <w:rsid w:val="009138A7"/>
    <w:rsid w:val="0091490C"/>
    <w:rsid w:val="00917DF9"/>
    <w:rsid w:val="009409A1"/>
    <w:rsid w:val="00947710"/>
    <w:rsid w:val="00947829"/>
    <w:rsid w:val="009479C5"/>
    <w:rsid w:val="00985D5D"/>
    <w:rsid w:val="009860AB"/>
    <w:rsid w:val="0099592D"/>
    <w:rsid w:val="009A1CD5"/>
    <w:rsid w:val="009B17C1"/>
    <w:rsid w:val="009B4080"/>
    <w:rsid w:val="009C319B"/>
    <w:rsid w:val="009C341F"/>
    <w:rsid w:val="009C6D85"/>
    <w:rsid w:val="009D4732"/>
    <w:rsid w:val="009E2AE0"/>
    <w:rsid w:val="009F066A"/>
    <w:rsid w:val="009F2066"/>
    <w:rsid w:val="00A00E21"/>
    <w:rsid w:val="00A04B34"/>
    <w:rsid w:val="00A20CBA"/>
    <w:rsid w:val="00A33770"/>
    <w:rsid w:val="00A40DBC"/>
    <w:rsid w:val="00A43774"/>
    <w:rsid w:val="00A62E21"/>
    <w:rsid w:val="00A70614"/>
    <w:rsid w:val="00A73E62"/>
    <w:rsid w:val="00AA2520"/>
    <w:rsid w:val="00AA67C8"/>
    <w:rsid w:val="00AB2950"/>
    <w:rsid w:val="00AD4745"/>
    <w:rsid w:val="00AD4CD4"/>
    <w:rsid w:val="00AF0063"/>
    <w:rsid w:val="00AF0D00"/>
    <w:rsid w:val="00AF2D5B"/>
    <w:rsid w:val="00B056EC"/>
    <w:rsid w:val="00B06EF5"/>
    <w:rsid w:val="00B1184C"/>
    <w:rsid w:val="00B2529B"/>
    <w:rsid w:val="00B67DCA"/>
    <w:rsid w:val="00B83E59"/>
    <w:rsid w:val="00B84B9A"/>
    <w:rsid w:val="00B85B98"/>
    <w:rsid w:val="00B91488"/>
    <w:rsid w:val="00B9225C"/>
    <w:rsid w:val="00B95AC5"/>
    <w:rsid w:val="00BB73CE"/>
    <w:rsid w:val="00BC55E9"/>
    <w:rsid w:val="00BE2F6F"/>
    <w:rsid w:val="00BE3E56"/>
    <w:rsid w:val="00BF3160"/>
    <w:rsid w:val="00BF463C"/>
    <w:rsid w:val="00C02174"/>
    <w:rsid w:val="00C14A4A"/>
    <w:rsid w:val="00C15D46"/>
    <w:rsid w:val="00C21E30"/>
    <w:rsid w:val="00C23115"/>
    <w:rsid w:val="00C40022"/>
    <w:rsid w:val="00C63253"/>
    <w:rsid w:val="00C76151"/>
    <w:rsid w:val="00C842A2"/>
    <w:rsid w:val="00C9297A"/>
    <w:rsid w:val="00C94B5D"/>
    <w:rsid w:val="00CB3124"/>
    <w:rsid w:val="00CC6E5B"/>
    <w:rsid w:val="00CE01CB"/>
    <w:rsid w:val="00CE3EBE"/>
    <w:rsid w:val="00CE799E"/>
    <w:rsid w:val="00CF145E"/>
    <w:rsid w:val="00CF428E"/>
    <w:rsid w:val="00D03A22"/>
    <w:rsid w:val="00D047FE"/>
    <w:rsid w:val="00D20A99"/>
    <w:rsid w:val="00D24672"/>
    <w:rsid w:val="00D42A1B"/>
    <w:rsid w:val="00D431B4"/>
    <w:rsid w:val="00D44A02"/>
    <w:rsid w:val="00D46121"/>
    <w:rsid w:val="00D46DD5"/>
    <w:rsid w:val="00D56911"/>
    <w:rsid w:val="00D95C29"/>
    <w:rsid w:val="00DA5066"/>
    <w:rsid w:val="00DC061E"/>
    <w:rsid w:val="00DC15A8"/>
    <w:rsid w:val="00DE6AC6"/>
    <w:rsid w:val="00DF0003"/>
    <w:rsid w:val="00E006A7"/>
    <w:rsid w:val="00E03271"/>
    <w:rsid w:val="00E03465"/>
    <w:rsid w:val="00E0509B"/>
    <w:rsid w:val="00E32CF7"/>
    <w:rsid w:val="00E4020B"/>
    <w:rsid w:val="00E513DE"/>
    <w:rsid w:val="00E63606"/>
    <w:rsid w:val="00E73262"/>
    <w:rsid w:val="00E74C7E"/>
    <w:rsid w:val="00E81547"/>
    <w:rsid w:val="00E821F6"/>
    <w:rsid w:val="00E928F1"/>
    <w:rsid w:val="00E95236"/>
    <w:rsid w:val="00EA7F90"/>
    <w:rsid w:val="00EB00BA"/>
    <w:rsid w:val="00EC6F8D"/>
    <w:rsid w:val="00ED404A"/>
    <w:rsid w:val="00EE2B40"/>
    <w:rsid w:val="00EE54A4"/>
    <w:rsid w:val="00EF4249"/>
    <w:rsid w:val="00EF74DD"/>
    <w:rsid w:val="00F01E3E"/>
    <w:rsid w:val="00F02CB8"/>
    <w:rsid w:val="00F03882"/>
    <w:rsid w:val="00F077FA"/>
    <w:rsid w:val="00F13973"/>
    <w:rsid w:val="00F30A01"/>
    <w:rsid w:val="00F369D6"/>
    <w:rsid w:val="00F5236A"/>
    <w:rsid w:val="00F54519"/>
    <w:rsid w:val="00F62FCC"/>
    <w:rsid w:val="00F63254"/>
    <w:rsid w:val="00F636D9"/>
    <w:rsid w:val="00F85924"/>
    <w:rsid w:val="00FB0BFD"/>
    <w:rsid w:val="00FC1722"/>
    <w:rsid w:val="00FC5EA2"/>
    <w:rsid w:val="00FD5069"/>
    <w:rsid w:val="00FD50CE"/>
    <w:rsid w:val="00FD538C"/>
    <w:rsid w:val="00FE46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3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7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62387C"/>
    <w:pPr>
      <w:spacing w:after="0" w:line="240" w:lineRule="auto"/>
    </w:pPr>
    <w:rPr>
      <w:sz w:val="20"/>
      <w:szCs w:val="20"/>
    </w:rPr>
  </w:style>
  <w:style w:type="character" w:customStyle="1" w:styleId="a4">
    <w:name w:val="טקסט הערת שוליים תו"/>
    <w:basedOn w:val="a0"/>
    <w:link w:val="a3"/>
    <w:rsid w:val="0062387C"/>
    <w:rPr>
      <w:rFonts w:ascii="Calibri" w:eastAsia="Calibri" w:hAnsi="Calibri" w:cs="Calibri"/>
      <w:sz w:val="20"/>
      <w:szCs w:val="20"/>
    </w:rPr>
  </w:style>
  <w:style w:type="character" w:styleId="a5">
    <w:name w:val="footnote reference"/>
    <w:basedOn w:val="a0"/>
    <w:uiPriority w:val="99"/>
    <w:semiHidden/>
    <w:unhideWhenUsed/>
    <w:rsid w:val="0062387C"/>
    <w:rPr>
      <w:vertAlign w:val="superscript"/>
    </w:rPr>
  </w:style>
  <w:style w:type="paragraph" w:styleId="a6">
    <w:name w:val="List Paragraph"/>
    <w:basedOn w:val="a"/>
    <w:uiPriority w:val="34"/>
    <w:qFormat/>
    <w:rsid w:val="009E2AE0"/>
    <w:pPr>
      <w:spacing w:after="160" w:line="256" w:lineRule="auto"/>
      <w:ind w:left="720"/>
      <w:contextualSpacing/>
    </w:pPr>
    <w:rPr>
      <w:rFonts w:asciiTheme="minorHAnsi" w:eastAsiaTheme="minorHAnsi" w:hAnsiTheme="minorHAnsi" w:cstheme="minorBidi"/>
    </w:rPr>
  </w:style>
  <w:style w:type="character" w:styleId="a7">
    <w:name w:val="annotation reference"/>
    <w:basedOn w:val="a0"/>
    <w:uiPriority w:val="99"/>
    <w:semiHidden/>
    <w:unhideWhenUsed/>
    <w:rsid w:val="00180E0C"/>
    <w:rPr>
      <w:sz w:val="16"/>
      <w:szCs w:val="16"/>
    </w:rPr>
  </w:style>
  <w:style w:type="paragraph" w:styleId="a8">
    <w:name w:val="annotation text"/>
    <w:basedOn w:val="a"/>
    <w:link w:val="a9"/>
    <w:uiPriority w:val="99"/>
    <w:semiHidden/>
    <w:unhideWhenUsed/>
    <w:rsid w:val="00180E0C"/>
    <w:pPr>
      <w:spacing w:line="240" w:lineRule="auto"/>
    </w:pPr>
    <w:rPr>
      <w:sz w:val="20"/>
      <w:szCs w:val="20"/>
    </w:rPr>
  </w:style>
  <w:style w:type="character" w:customStyle="1" w:styleId="a9">
    <w:name w:val="טקסט הערה תו"/>
    <w:basedOn w:val="a0"/>
    <w:link w:val="a8"/>
    <w:uiPriority w:val="99"/>
    <w:semiHidden/>
    <w:rsid w:val="00180E0C"/>
    <w:rPr>
      <w:rFonts w:ascii="Calibri" w:eastAsia="Calibri" w:hAnsi="Calibri" w:cs="Calibri"/>
      <w:sz w:val="20"/>
      <w:szCs w:val="20"/>
    </w:rPr>
  </w:style>
  <w:style w:type="paragraph" w:styleId="aa">
    <w:name w:val="annotation subject"/>
    <w:basedOn w:val="a8"/>
    <w:next w:val="a8"/>
    <w:link w:val="ab"/>
    <w:uiPriority w:val="99"/>
    <w:semiHidden/>
    <w:unhideWhenUsed/>
    <w:rsid w:val="00180E0C"/>
    <w:rPr>
      <w:b/>
      <w:bCs/>
    </w:rPr>
  </w:style>
  <w:style w:type="character" w:customStyle="1" w:styleId="ab">
    <w:name w:val="נושא הערה תו"/>
    <w:basedOn w:val="a9"/>
    <w:link w:val="aa"/>
    <w:uiPriority w:val="99"/>
    <w:semiHidden/>
    <w:rsid w:val="00180E0C"/>
    <w:rPr>
      <w:rFonts w:ascii="Calibri" w:eastAsia="Calibri" w:hAnsi="Calibri" w:cs="Calibri"/>
      <w:b/>
      <w:bCs/>
      <w:sz w:val="20"/>
      <w:szCs w:val="20"/>
    </w:rPr>
  </w:style>
  <w:style w:type="paragraph" w:styleId="ac">
    <w:name w:val="Balloon Text"/>
    <w:basedOn w:val="a"/>
    <w:link w:val="ad"/>
    <w:uiPriority w:val="99"/>
    <w:semiHidden/>
    <w:unhideWhenUsed/>
    <w:rsid w:val="00180E0C"/>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180E0C"/>
    <w:rPr>
      <w:rFonts w:ascii="Segoe UI" w:eastAsia="Calibri" w:hAnsi="Segoe UI" w:cs="Segoe UI"/>
      <w:sz w:val="18"/>
      <w:szCs w:val="18"/>
    </w:rPr>
  </w:style>
  <w:style w:type="paragraph" w:styleId="ae">
    <w:name w:val="Revision"/>
    <w:hidden/>
    <w:uiPriority w:val="99"/>
    <w:semiHidden/>
    <w:rsid w:val="000C5BB6"/>
    <w:pPr>
      <w:spacing w:after="0" w:line="240" w:lineRule="auto"/>
    </w:pPr>
    <w:rPr>
      <w:rFonts w:ascii="Calibri" w:eastAsia="Calibri" w:hAnsi="Calibri" w:cs="Calibri"/>
    </w:rPr>
  </w:style>
  <w:style w:type="paragraph" w:styleId="af">
    <w:name w:val="header"/>
    <w:basedOn w:val="a"/>
    <w:link w:val="af0"/>
    <w:uiPriority w:val="99"/>
    <w:unhideWhenUsed/>
    <w:rsid w:val="004E7D49"/>
    <w:pPr>
      <w:tabs>
        <w:tab w:val="center" w:pos="4153"/>
        <w:tab w:val="right" w:pos="8306"/>
      </w:tabs>
      <w:spacing w:after="0" w:line="240" w:lineRule="auto"/>
    </w:pPr>
  </w:style>
  <w:style w:type="character" w:customStyle="1" w:styleId="af0">
    <w:name w:val="כותרת עליונה תו"/>
    <w:basedOn w:val="a0"/>
    <w:link w:val="af"/>
    <w:uiPriority w:val="99"/>
    <w:rsid w:val="004E7D49"/>
    <w:rPr>
      <w:rFonts w:ascii="Calibri" w:eastAsia="Calibri" w:hAnsi="Calibri" w:cs="Calibri"/>
    </w:rPr>
  </w:style>
  <w:style w:type="paragraph" w:styleId="af1">
    <w:name w:val="footer"/>
    <w:basedOn w:val="a"/>
    <w:link w:val="af2"/>
    <w:uiPriority w:val="99"/>
    <w:unhideWhenUsed/>
    <w:rsid w:val="004E7D49"/>
    <w:pPr>
      <w:tabs>
        <w:tab w:val="center" w:pos="4153"/>
        <w:tab w:val="right" w:pos="8306"/>
      </w:tabs>
      <w:spacing w:after="0" w:line="240" w:lineRule="auto"/>
    </w:pPr>
  </w:style>
  <w:style w:type="character" w:customStyle="1" w:styleId="af2">
    <w:name w:val="כותרת תחתונה תו"/>
    <w:basedOn w:val="a0"/>
    <w:link w:val="af1"/>
    <w:uiPriority w:val="99"/>
    <w:rsid w:val="004E7D4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הנפקת מניות</c:v>
          </c:tx>
          <c:spPr>
            <a:solidFill>
              <a:schemeClr val="accent1"/>
            </a:solidFill>
            <a:ln>
              <a:noFill/>
            </a:ln>
            <a:effectLst/>
          </c:spPr>
          <c:invertIfNegative val="0"/>
          <c:val>
            <c:numRef>
              <c:f>Sheet1!$B$2:$B$11</c:f>
              <c:numCache>
                <c:formatCode>0.0%</c:formatCode>
                <c:ptCount val="10"/>
                <c:pt idx="0">
                  <c:v>7.6062699999999997E-2</c:v>
                </c:pt>
                <c:pt idx="1">
                  <c:v>3.3704999999999998E-3</c:v>
                </c:pt>
                <c:pt idx="2">
                  <c:v>4.505E-4</c:v>
                </c:pt>
                <c:pt idx="3">
                  <c:v>6.4155000000000002E-3</c:v>
                </c:pt>
                <c:pt idx="4">
                  <c:v>8.4583999999999996E-3</c:v>
                </c:pt>
                <c:pt idx="5">
                  <c:v>0</c:v>
                </c:pt>
                <c:pt idx="6">
                  <c:v>1.0580300000000001E-2</c:v>
                </c:pt>
                <c:pt idx="7">
                  <c:v>9.033E-4</c:v>
                </c:pt>
                <c:pt idx="8">
                  <c:v>-2.9203199999999999E-2</c:v>
                </c:pt>
                <c:pt idx="9">
                  <c:v>-1.30326E-2</c:v>
                </c:pt>
              </c:numCache>
            </c:numRef>
          </c:val>
          <c:extLst>
            <c:ext xmlns:c16="http://schemas.microsoft.com/office/drawing/2014/chart" uri="{C3380CC4-5D6E-409C-BE32-E72D297353CC}">
              <c16:uniqueId val="{00000000-1FED-45EE-8EBD-3CB4757C9BA0}"/>
            </c:ext>
          </c:extLst>
        </c:ser>
        <c:ser>
          <c:idx val="1"/>
          <c:order val="1"/>
          <c:tx>
            <c:v>אומדן לניהול רווחים</c:v>
          </c:tx>
          <c:spPr>
            <a:solidFill>
              <a:schemeClr val="accent2"/>
            </a:solidFill>
            <a:ln>
              <a:noFill/>
            </a:ln>
            <a:effectLst/>
          </c:spPr>
          <c:invertIfNegative val="0"/>
          <c:val>
            <c:numRef>
              <c:f>Sheet1!$C$2:$C$11</c:f>
              <c:numCache>
                <c:formatCode>0.0%</c:formatCode>
                <c:ptCount val="10"/>
                <c:pt idx="0">
                  <c:v>5.9601700000000001E-2</c:v>
                </c:pt>
                <c:pt idx="1">
                  <c:v>3.8361199999999998E-2</c:v>
                </c:pt>
                <c:pt idx="2">
                  <c:v>2.8038400000000002E-2</c:v>
                </c:pt>
                <c:pt idx="3">
                  <c:v>-1.50686E-2</c:v>
                </c:pt>
                <c:pt idx="4">
                  <c:v>6.3137000000000002E-3</c:v>
                </c:pt>
                <c:pt idx="5">
                  <c:v>1.05424E-2</c:v>
                </c:pt>
                <c:pt idx="6">
                  <c:v>-5.1824000000000002E-3</c:v>
                </c:pt>
                <c:pt idx="7">
                  <c:v>3.0420000000000002E-4</c:v>
                </c:pt>
                <c:pt idx="8">
                  <c:v>3.0876500000000001E-2</c:v>
                </c:pt>
                <c:pt idx="9">
                  <c:v>1.8008799999999998E-2</c:v>
                </c:pt>
              </c:numCache>
            </c:numRef>
          </c:val>
          <c:extLst>
            <c:ext xmlns:c16="http://schemas.microsoft.com/office/drawing/2014/chart" uri="{C3380CC4-5D6E-409C-BE32-E72D297353CC}">
              <c16:uniqueId val="{00000001-1FED-45EE-8EBD-3CB4757C9BA0}"/>
            </c:ext>
          </c:extLst>
        </c:ser>
        <c:dLbls>
          <c:showLegendKey val="0"/>
          <c:showVal val="0"/>
          <c:showCatName val="0"/>
          <c:showSerName val="0"/>
          <c:showPercent val="0"/>
          <c:showBubbleSize val="0"/>
        </c:dLbls>
        <c:gapWidth val="219"/>
        <c:overlap val="-27"/>
        <c:axId val="789639424"/>
        <c:axId val="789634504"/>
      </c:barChart>
      <c:catAx>
        <c:axId val="789639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עשירון הון עצמי ערב-הפסיקה</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89634504"/>
        <c:crosses val="autoZero"/>
        <c:auto val="1"/>
        <c:lblAlgn val="ctr"/>
        <c:lblOffset val="100"/>
        <c:noMultiLvlLbl val="0"/>
      </c:catAx>
      <c:valAx>
        <c:axId val="789634504"/>
        <c:scaling>
          <c:orientation val="minMax"/>
          <c:max val="8.0000000000000016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שיעור</a:t>
                </a:r>
                <a:r>
                  <a:rPr lang="he-IL" baseline="0"/>
                  <a:t> שינוי בעקבות הפסיקה</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8963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2BDE0A8-965D-4487-A63F-33F12D20E453}"/>
</file>

<file path=customXml/itemProps2.xml><?xml version="1.0" encoding="utf-8"?>
<ds:datastoreItem xmlns:ds="http://schemas.openxmlformats.org/officeDocument/2006/customXml" ds:itemID="{44BEC68A-55AC-403F-A393-A1BE8203830A}"/>
</file>

<file path=customXml/itemProps3.xml><?xml version="1.0" encoding="utf-8"?>
<ds:datastoreItem xmlns:ds="http://schemas.openxmlformats.org/officeDocument/2006/customXml" ds:itemID="{CF07EF1F-65E0-4F44-9BB4-AD4AF1E247C8}"/>
</file>

<file path=customXml/itemProps4.xml><?xml version="1.0" encoding="utf-8"?>
<ds:datastoreItem xmlns:ds="http://schemas.openxmlformats.org/officeDocument/2006/customXml" ds:itemID="{9E5B192C-E1F5-43AA-9F7C-629DE887EE39}"/>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3905</Characters>
  <Application>Microsoft Office Word</Application>
  <DocSecurity>0</DocSecurity>
  <Lines>32</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2022-02-08T09:27:00Z</dcterms:created>
  <dcterms:modified xsi:type="dcterms:W3CDTF">2022-02-08T09:35:00Z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