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iagrams/data2.xml" ContentType="application/vnd.openxmlformats-officedocument.drawingml.diagramData+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2.xml" ContentType="application/vnd.ms-office.drawingml.diagramDrawing+xml"/>
  <Override PartName="/word/theme/theme1.xml" ContentType="application/vnd.openxmlformats-officedocument.theme+xml"/>
  <Override PartName="/word/diagrams/drawing1.xml" ContentType="application/vnd.ms-office.drawingml.diagramDrawing+xml"/>
  <Override PartName="/word/diagrams/quickStyle2.xml" ContentType="application/vnd.openxmlformats-officedocument.drawingml.diagramStyle+xml"/>
  <Override PartName="/word/diagrams/colors1.xml" ContentType="application/vnd.openxmlformats-officedocument.drawingml.diagramColors+xml"/>
  <Override PartName="/word/diagrams/colors2.xml" ContentType="application/vnd.openxmlformats-officedocument.drawingml.diagramColors+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7F" w:rsidRPr="00E8008F" w:rsidRDefault="00F571FB" w:rsidP="00F571FB">
      <w:pPr>
        <w:bidi w:val="0"/>
        <w:jc w:val="center"/>
        <w:rPr>
          <w:rtl/>
        </w:rPr>
      </w:pPr>
      <w:r>
        <w:rPr>
          <w:rFonts w:cs="Arial" w:hint="cs"/>
          <w:noProof/>
          <w:rtl/>
        </w:rPr>
        <w:drawing>
          <wp:anchor distT="0" distB="0" distL="114300" distR="114300" simplePos="0" relativeHeight="251660288" behindDoc="0" locked="0" layoutInCell="1" allowOverlap="1" wp14:anchorId="2DE810AF" wp14:editId="3AD4D81A">
            <wp:simplePos x="0" y="0"/>
            <wp:positionH relativeFrom="margin">
              <wp:posOffset>2117014</wp:posOffset>
            </wp:positionH>
            <wp:positionV relativeFrom="margin">
              <wp:posOffset>-197866</wp:posOffset>
            </wp:positionV>
            <wp:extent cx="943610" cy="943610"/>
            <wp:effectExtent l="0" t="0" r="8890" b="8890"/>
            <wp:wrapNone/>
            <wp:docPr id="1"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97B" w:rsidRDefault="0094297B" w:rsidP="0094738B">
      <w:pPr>
        <w:pStyle w:val="LetterheadBOI"/>
      </w:pPr>
    </w:p>
    <w:p w:rsidR="0094297B" w:rsidRDefault="0094297B" w:rsidP="0094738B">
      <w:pPr>
        <w:pStyle w:val="LetterheadBOI"/>
      </w:pPr>
    </w:p>
    <w:p w:rsidR="00F571FB" w:rsidRDefault="00F571FB" w:rsidP="00F571FB">
      <w:pPr>
        <w:pStyle w:val="LetterheadBOI"/>
        <w:jc w:val="left"/>
      </w:pPr>
    </w:p>
    <w:p w:rsidR="00CB5D78" w:rsidRPr="008E4D8E" w:rsidRDefault="00CB5D78" w:rsidP="0094738B">
      <w:pPr>
        <w:pStyle w:val="LetterheadBOI"/>
      </w:pPr>
      <w:r w:rsidRPr="008E4D8E">
        <w:t>BANK OF ISRAEL</w:t>
      </w:r>
    </w:p>
    <w:p w:rsidR="00AC0FB3" w:rsidRPr="008E4D8E" w:rsidRDefault="00AC0FB3" w:rsidP="00AC0FB3">
      <w:pPr>
        <w:pStyle w:val="Letterhead2"/>
        <w:rPr>
          <w:b/>
        </w:rPr>
      </w:pPr>
      <w:r w:rsidRPr="008E4D8E">
        <w:t>Office of the Spokesperson and Economic Information</w:t>
      </w:r>
    </w:p>
    <w:p w:rsidR="00AC0FB3" w:rsidRDefault="00AC0FB3" w:rsidP="00AC0FB3">
      <w:pPr>
        <w:bidi w:val="0"/>
        <w:jc w:val="center"/>
        <w:rPr>
          <w:rFonts w:cs="David"/>
          <w:b/>
          <w:bCs/>
          <w:sz w:val="26"/>
          <w:szCs w:val="26"/>
        </w:rPr>
      </w:pPr>
    </w:p>
    <w:p w:rsidR="00AC0FB3" w:rsidRDefault="00AC0FB3" w:rsidP="00AC0FB3">
      <w:pPr>
        <w:bidi w:val="0"/>
        <w:jc w:val="right"/>
      </w:pPr>
      <w:r>
        <w:t>December 12, 2018</w:t>
      </w:r>
    </w:p>
    <w:p w:rsidR="00AC0FB3" w:rsidRDefault="00AC0FB3" w:rsidP="00AC0FB3">
      <w:pPr>
        <w:pStyle w:val="PressReleaseTitle"/>
      </w:pPr>
    </w:p>
    <w:p w:rsidR="00AC0FB3" w:rsidRPr="00F571FB" w:rsidRDefault="00AC0FB3" w:rsidP="00AC0FB3">
      <w:pPr>
        <w:pStyle w:val="PressReleaseTitle"/>
        <w:rPr>
          <w:sz w:val="24"/>
          <w:szCs w:val="24"/>
        </w:rPr>
      </w:pPr>
      <w:r w:rsidRPr="00F571FB">
        <w:rPr>
          <w:sz w:val="24"/>
          <w:szCs w:val="24"/>
        </w:rPr>
        <w:t>Press Release</w:t>
      </w:r>
    </w:p>
    <w:p w:rsidR="00883627" w:rsidRDefault="00883627" w:rsidP="0094738B">
      <w:pPr>
        <w:pStyle w:val="PressReleaseTitle"/>
      </w:pPr>
    </w:p>
    <w:p w:rsidR="00955A7F" w:rsidRPr="00F571FB" w:rsidRDefault="00AC0FB3" w:rsidP="00955A7F">
      <w:pPr>
        <w:pStyle w:val="PressReleaseTitle"/>
        <w:rPr>
          <w:sz w:val="28"/>
          <w:szCs w:val="28"/>
        </w:rPr>
      </w:pPr>
      <w:bookmarkStart w:id="0" w:name="_GoBack"/>
      <w:r w:rsidRPr="00F571FB">
        <w:rPr>
          <w:sz w:val="28"/>
          <w:szCs w:val="28"/>
        </w:rPr>
        <w:t>I</w:t>
      </w:r>
      <w:r w:rsidR="00C4612A" w:rsidRPr="00F571FB">
        <w:rPr>
          <w:sz w:val="28"/>
          <w:szCs w:val="28"/>
        </w:rPr>
        <w:t>nitiated marketing of consumer credit</w:t>
      </w:r>
      <w:bookmarkEnd w:id="0"/>
      <w:r w:rsidR="00955A7F" w:rsidRPr="00F571FB">
        <w:rPr>
          <w:sz w:val="28"/>
          <w:szCs w:val="28"/>
        </w:rPr>
        <w:t>: Examination report findings and Banking Supervision Department requirements</w:t>
      </w:r>
    </w:p>
    <w:p w:rsidR="0094738B" w:rsidRDefault="0094738B" w:rsidP="0094738B">
      <w:pPr>
        <w:pStyle w:val="Pressreleaseheading2"/>
      </w:pPr>
    </w:p>
    <w:p w:rsidR="00F14A71" w:rsidRDefault="00F14A71" w:rsidP="007568E4">
      <w:pPr>
        <w:pStyle w:val="Pressreleaseheading2"/>
        <w:jc w:val="both"/>
        <w:rPr>
          <w:sz w:val="24"/>
          <w:szCs w:val="24"/>
        </w:rPr>
      </w:pPr>
    </w:p>
    <w:p w:rsidR="00276CFC" w:rsidRDefault="00C4612A" w:rsidP="00E42F1A">
      <w:pPr>
        <w:pStyle w:val="Pressreleaseheading2"/>
        <w:numPr>
          <w:ilvl w:val="0"/>
          <w:numId w:val="6"/>
        </w:numPr>
        <w:ind w:left="426"/>
        <w:jc w:val="both"/>
        <w:rPr>
          <w:b/>
          <w:bCs/>
          <w:sz w:val="24"/>
          <w:szCs w:val="24"/>
        </w:rPr>
      </w:pPr>
      <w:r w:rsidRPr="00C4612A">
        <w:rPr>
          <w:b/>
          <w:bCs/>
          <w:sz w:val="24"/>
          <w:szCs w:val="24"/>
        </w:rPr>
        <w:t>Consumer</w:t>
      </w:r>
      <w:r w:rsidR="00E42F1A">
        <w:rPr>
          <w:b/>
          <w:bCs/>
          <w:sz w:val="24"/>
          <w:szCs w:val="24"/>
        </w:rPr>
        <w:t xml:space="preserve"> credit is a focus of the Banking Supervision Department’s work in recent years, from both consumer and prudential standpoints</w:t>
      </w:r>
      <w:r w:rsidR="00276CFC" w:rsidRPr="00C4612A">
        <w:rPr>
          <w:b/>
          <w:bCs/>
          <w:sz w:val="24"/>
          <w:szCs w:val="24"/>
        </w:rPr>
        <w:t>.</w:t>
      </w:r>
      <w:r w:rsidR="00E42F1A">
        <w:rPr>
          <w:b/>
          <w:bCs/>
          <w:sz w:val="24"/>
          <w:szCs w:val="24"/>
        </w:rPr>
        <w:t xml:space="preserve"> Following an assessment of risk in the credit portfolio, the Banking Supervision Department has taken a number of steps—supervisory guidelines, monitoring and gathering of information, data analysis, examinations and requirements—which led to a slowdown in the growth rate of household credit.</w:t>
      </w:r>
    </w:p>
    <w:p w:rsidR="00E42F1A" w:rsidRDefault="008249F7" w:rsidP="00E42F1A">
      <w:pPr>
        <w:pStyle w:val="Pressreleaseheading2"/>
        <w:numPr>
          <w:ilvl w:val="0"/>
          <w:numId w:val="6"/>
        </w:numPr>
        <w:ind w:left="426"/>
        <w:jc w:val="both"/>
        <w:rPr>
          <w:b/>
          <w:bCs/>
          <w:sz w:val="24"/>
          <w:szCs w:val="24"/>
        </w:rPr>
      </w:pPr>
      <w:r>
        <w:rPr>
          <w:b/>
          <w:bCs/>
          <w:sz w:val="24"/>
          <w:szCs w:val="24"/>
        </w:rPr>
        <w:t>These measures are mainly intended to ensure that the credit is provided to customers who have a reasonable ability to repay, and to prevent customers without such ability or those who are financially weaker due to taking out surplus credit from getting entangled in debts.</w:t>
      </w:r>
    </w:p>
    <w:p w:rsidR="008249F7" w:rsidRDefault="008249F7" w:rsidP="00F9643A">
      <w:pPr>
        <w:pStyle w:val="Pressreleaseheading2"/>
        <w:numPr>
          <w:ilvl w:val="0"/>
          <w:numId w:val="6"/>
        </w:numPr>
        <w:ind w:left="426"/>
        <w:jc w:val="both"/>
        <w:rPr>
          <w:b/>
          <w:bCs/>
          <w:sz w:val="24"/>
          <w:szCs w:val="24"/>
        </w:rPr>
      </w:pPr>
      <w:r>
        <w:rPr>
          <w:b/>
          <w:bCs/>
          <w:sz w:val="24"/>
          <w:szCs w:val="24"/>
        </w:rPr>
        <w:t xml:space="preserve">In the past year, the Banking Supervision Department has looked into the initiated marketing processes in the banking system, through examinations and other checks </w:t>
      </w:r>
      <w:r w:rsidR="00F9643A">
        <w:rPr>
          <w:b/>
          <w:bCs/>
          <w:sz w:val="24"/>
          <w:szCs w:val="24"/>
        </w:rPr>
        <w:t>conducted by the bank’s internal auditors that it guided, found problems in some of the marketing processes, and required their rectification.</w:t>
      </w:r>
    </w:p>
    <w:p w:rsidR="00F9643A" w:rsidRDefault="00F9643A" w:rsidP="00F9643A">
      <w:pPr>
        <w:pStyle w:val="Pressreleaseheading2"/>
        <w:numPr>
          <w:ilvl w:val="0"/>
          <w:numId w:val="6"/>
        </w:numPr>
        <w:ind w:left="426"/>
        <w:jc w:val="both"/>
        <w:rPr>
          <w:b/>
          <w:bCs/>
          <w:sz w:val="24"/>
          <w:szCs w:val="24"/>
        </w:rPr>
      </w:pPr>
      <w:r>
        <w:rPr>
          <w:b/>
          <w:bCs/>
          <w:sz w:val="24"/>
          <w:szCs w:val="24"/>
        </w:rPr>
        <w:t>In the coming year, the issue of consumer credit will remain a major focus as fulfillment of the Department’s requirements is monitored and a directive on the matter is published.</w:t>
      </w:r>
    </w:p>
    <w:p w:rsidR="00F9643A" w:rsidRPr="00C4612A" w:rsidRDefault="00F9643A" w:rsidP="00F9643A">
      <w:pPr>
        <w:pStyle w:val="Pressreleaseheading2"/>
        <w:numPr>
          <w:ilvl w:val="0"/>
          <w:numId w:val="6"/>
        </w:numPr>
        <w:ind w:left="426"/>
        <w:jc w:val="both"/>
        <w:rPr>
          <w:b/>
          <w:bCs/>
          <w:sz w:val="24"/>
          <w:szCs w:val="24"/>
        </w:rPr>
      </w:pPr>
      <w:r>
        <w:rPr>
          <w:b/>
          <w:bCs/>
          <w:sz w:val="24"/>
          <w:szCs w:val="24"/>
        </w:rPr>
        <w:t xml:space="preserve">This review </w:t>
      </w:r>
      <w:r w:rsidR="00EF1DA9">
        <w:rPr>
          <w:b/>
          <w:bCs/>
          <w:sz w:val="24"/>
          <w:szCs w:val="24"/>
        </w:rPr>
        <w:t>provides details of the findings of the examinations the Department carried out, and sums up its requirements of the banking system in the area of initiated marketing of consumer credit.</w:t>
      </w:r>
    </w:p>
    <w:p w:rsidR="00EC10B8" w:rsidRDefault="00EC10B8" w:rsidP="00EC10B8">
      <w:pPr>
        <w:pStyle w:val="Pressreleaseheading2"/>
        <w:jc w:val="both"/>
        <w:rPr>
          <w:b/>
          <w:bCs/>
          <w:sz w:val="24"/>
          <w:szCs w:val="24"/>
        </w:rPr>
      </w:pPr>
    </w:p>
    <w:p w:rsidR="00732EE0" w:rsidRDefault="00732EE0" w:rsidP="00EC10B8">
      <w:pPr>
        <w:pStyle w:val="Pressreleaseheading2"/>
        <w:jc w:val="both"/>
        <w:rPr>
          <w:sz w:val="24"/>
          <w:szCs w:val="24"/>
        </w:rPr>
      </w:pPr>
      <w:r>
        <w:rPr>
          <w:sz w:val="24"/>
          <w:szCs w:val="24"/>
        </w:rPr>
        <w:t>In recent years, the Banking Supervision Department has given greater attention to the consumer and prudential aspects of the increase in credit to households.</w:t>
      </w:r>
    </w:p>
    <w:p w:rsidR="00732EE0" w:rsidRDefault="00732EE0" w:rsidP="00EC10B8">
      <w:pPr>
        <w:pStyle w:val="Pressreleaseheading2"/>
        <w:jc w:val="both"/>
        <w:rPr>
          <w:sz w:val="24"/>
          <w:szCs w:val="24"/>
        </w:rPr>
      </w:pPr>
    </w:p>
    <w:p w:rsidR="00732EE0" w:rsidRDefault="00732EE0" w:rsidP="00A36C7F">
      <w:pPr>
        <w:pStyle w:val="Pressreleaseheading2"/>
        <w:jc w:val="both"/>
        <w:rPr>
          <w:sz w:val="24"/>
          <w:szCs w:val="24"/>
        </w:rPr>
      </w:pPr>
      <w:r>
        <w:rPr>
          <w:sz w:val="24"/>
          <w:szCs w:val="24"/>
        </w:rPr>
        <w:t xml:space="preserve">From the prudential aspect, the Department has taken a variety of measures to assess and limit the risk in the consumer credit portfolio.  In January 2015, </w:t>
      </w:r>
      <w:r w:rsidR="00A36C7F">
        <w:rPr>
          <w:sz w:val="24"/>
          <w:szCs w:val="24"/>
        </w:rPr>
        <w:t xml:space="preserve">it required making a conservative loan loss provision in order to illustrate in advance the developing risk in this area.  Additional examinations and checks were made at the banks, as part of which the underwriting, monitoring and control processes were examined.  The Department </w:t>
      </w:r>
      <w:r w:rsidR="00091231">
        <w:rPr>
          <w:sz w:val="24"/>
          <w:szCs w:val="24"/>
        </w:rPr>
        <w:t>showed the risks in the consumer area to the banks’ management and boards of directors to make sure that they would act as necessary.</w:t>
      </w:r>
      <w:r w:rsidR="00127E63">
        <w:rPr>
          <w:sz w:val="24"/>
          <w:szCs w:val="24"/>
        </w:rPr>
        <w:t xml:space="preserve">  </w:t>
      </w:r>
      <w:r w:rsidR="00127E63">
        <w:rPr>
          <w:sz w:val="24"/>
          <w:szCs w:val="24"/>
        </w:rPr>
        <w:lastRenderedPageBreak/>
        <w:t>The Department also analyzed the distribution of credit in the economy by income level, and published the analysis to the banks and the public.</w:t>
      </w:r>
    </w:p>
    <w:p w:rsidR="00127E63" w:rsidRDefault="00127E63" w:rsidP="00A36C7F">
      <w:pPr>
        <w:pStyle w:val="Pressreleaseheading2"/>
        <w:jc w:val="both"/>
        <w:rPr>
          <w:sz w:val="24"/>
          <w:szCs w:val="24"/>
        </w:rPr>
      </w:pPr>
    </w:p>
    <w:p w:rsidR="00127E63" w:rsidRDefault="00127E63" w:rsidP="00A36C7F">
      <w:pPr>
        <w:pStyle w:val="Pressreleaseheading2"/>
        <w:jc w:val="both"/>
        <w:rPr>
          <w:sz w:val="24"/>
          <w:szCs w:val="24"/>
        </w:rPr>
      </w:pPr>
      <w:r>
        <w:rPr>
          <w:sz w:val="24"/>
          <w:szCs w:val="24"/>
        </w:rPr>
        <w:t>The Banking Supervision Department’s measures led to a slowdown in the growth rate of credit provided to households by the banks in the past year.</w:t>
      </w:r>
    </w:p>
    <w:p w:rsidR="0016578C" w:rsidRDefault="0016578C" w:rsidP="00127E63">
      <w:pPr>
        <w:pStyle w:val="Pressreleaseheading2"/>
        <w:jc w:val="left"/>
        <w:rPr>
          <w:sz w:val="24"/>
          <w:szCs w:val="24"/>
        </w:rPr>
      </w:pPr>
      <w:r w:rsidRPr="005F2CB9">
        <w:rPr>
          <w:noProof/>
        </w:rPr>
        <w:drawing>
          <wp:anchor distT="0" distB="0" distL="114300" distR="114300" simplePos="0" relativeHeight="251661312" behindDoc="0" locked="0" layoutInCell="1" allowOverlap="1" wp14:anchorId="26B8DE4B" wp14:editId="1D34A483">
            <wp:simplePos x="0" y="0"/>
            <wp:positionH relativeFrom="column">
              <wp:posOffset>445770</wp:posOffset>
            </wp:positionH>
            <wp:positionV relativeFrom="paragraph">
              <wp:posOffset>149860</wp:posOffset>
            </wp:positionV>
            <wp:extent cx="4250055" cy="2640330"/>
            <wp:effectExtent l="0" t="0" r="0" b="7620"/>
            <wp:wrapSquare wrapText="bothSides"/>
            <wp:docPr id="8" name="תרשים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27E63" w:rsidRDefault="00127E63"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16578C" w:rsidP="00127E63">
      <w:pPr>
        <w:pStyle w:val="Pressreleaseheading2"/>
        <w:jc w:val="left"/>
        <w:rPr>
          <w:sz w:val="24"/>
          <w:szCs w:val="24"/>
        </w:rPr>
      </w:pPr>
    </w:p>
    <w:p w:rsidR="0016578C" w:rsidRDefault="009E5783" w:rsidP="00B25050">
      <w:pPr>
        <w:pStyle w:val="Pressreleaseheading2"/>
        <w:jc w:val="both"/>
        <w:rPr>
          <w:sz w:val="24"/>
          <w:szCs w:val="24"/>
        </w:rPr>
      </w:pPr>
      <w:r>
        <w:rPr>
          <w:sz w:val="24"/>
          <w:szCs w:val="24"/>
        </w:rPr>
        <w:t>From the consumer aspect, the Banking Supervision Department required that credit marketing be aimed at customers with the ability to repay, in order to prevent financial entanglements among economically weaker population groups.  In addition, the banks were required strictly uphold proper marketing practices toward their customers.  The central credit register that is expected to go online in 2019, which is one of the important projects being led by the Bank of Israel, will make it easier for all lenders, banks and nonbank entities, to properly assess the customers’ repayment capacity based on full information, in order to prevent the provision of credit to customers who do not have the ability to repay.</w:t>
      </w:r>
    </w:p>
    <w:p w:rsidR="009E5783" w:rsidRDefault="009E5783" w:rsidP="00B25050">
      <w:pPr>
        <w:pStyle w:val="Pressreleaseheading2"/>
        <w:jc w:val="both"/>
        <w:rPr>
          <w:sz w:val="24"/>
          <w:szCs w:val="24"/>
        </w:rPr>
      </w:pPr>
    </w:p>
    <w:p w:rsidR="009E5783" w:rsidRDefault="009E5783" w:rsidP="00E51677">
      <w:pPr>
        <w:pStyle w:val="Pressreleaseheading2"/>
        <w:jc w:val="both"/>
        <w:rPr>
          <w:sz w:val="24"/>
          <w:szCs w:val="24"/>
        </w:rPr>
      </w:pPr>
      <w:r>
        <w:rPr>
          <w:sz w:val="24"/>
          <w:szCs w:val="24"/>
        </w:rPr>
        <w:t xml:space="preserve">The Banking Supervision Department has placed a special emphasis </w:t>
      </w:r>
      <w:r>
        <w:rPr>
          <w:b/>
          <w:bCs/>
          <w:sz w:val="24"/>
          <w:szCs w:val="24"/>
        </w:rPr>
        <w:t>on the initiated marketing of credit to households</w:t>
      </w:r>
      <w:r>
        <w:rPr>
          <w:sz w:val="24"/>
          <w:szCs w:val="24"/>
        </w:rPr>
        <w:t xml:space="preserve"> by the banking system—a process by which the bank approached a specific customer with an offer to provide credit—at branches, through digital channels, by phone, and even during the handling of another request from the customer.  </w:t>
      </w:r>
      <w:r w:rsidR="00E51677">
        <w:rPr>
          <w:sz w:val="24"/>
          <w:szCs w:val="24"/>
        </w:rPr>
        <w:t xml:space="preserve">While this practice exists in Israel and abroad, initiated marketing also carries risks for customers.  </w:t>
      </w:r>
      <w:r>
        <w:rPr>
          <w:sz w:val="24"/>
          <w:szCs w:val="24"/>
        </w:rPr>
        <w:t xml:space="preserve">For instance, </w:t>
      </w:r>
      <w:r w:rsidR="00BD2C63">
        <w:rPr>
          <w:sz w:val="24"/>
          <w:szCs w:val="24"/>
        </w:rPr>
        <w:t>during an initiated contact, the customer generally does not have sufficient opportunity to assess all of the conditions or to compare prices with other credit alternatives in the market, or to assess the overall burden of liability so that he can properly plan how to repay the credit.</w:t>
      </w:r>
    </w:p>
    <w:p w:rsidR="00BD2C63" w:rsidRDefault="00BD2C63" w:rsidP="00B25050">
      <w:pPr>
        <w:pStyle w:val="Pressreleaseheading2"/>
        <w:jc w:val="both"/>
        <w:rPr>
          <w:sz w:val="24"/>
          <w:szCs w:val="24"/>
        </w:rPr>
      </w:pPr>
    </w:p>
    <w:p w:rsidR="00BD2C63" w:rsidRDefault="00BD2C63" w:rsidP="00B25050">
      <w:pPr>
        <w:pStyle w:val="Pressreleaseheading2"/>
        <w:jc w:val="both"/>
        <w:rPr>
          <w:sz w:val="24"/>
          <w:szCs w:val="24"/>
        </w:rPr>
      </w:pPr>
      <w:r>
        <w:rPr>
          <w:sz w:val="24"/>
          <w:szCs w:val="24"/>
        </w:rPr>
        <w:t>As such, the Banking Supervision Department provided written instructions to the banks and the credit card companies in 2015 on how to make an initiated approach to customers with a credit offer.</w:t>
      </w:r>
      <w:r w:rsidR="002B6BF1">
        <w:rPr>
          <w:sz w:val="24"/>
          <w:szCs w:val="24"/>
        </w:rPr>
        <w:t xml:space="preserve">  The banks are required to set out in their policy the target groups for their initiated marketing, and to exclude from it groups of customers that </w:t>
      </w:r>
      <w:r w:rsidR="00847C68">
        <w:rPr>
          <w:sz w:val="24"/>
          <w:szCs w:val="24"/>
        </w:rPr>
        <w:t xml:space="preserve">do not have the ability to repay, as well as other groups of customers (such as the very elderly or very young).  We emphasize that these groups were excluded from initiated marketing only, but they can obviously still approach the banks to request credit at their own initiative, and each request will be judged on its own merits.  In </w:t>
      </w:r>
      <w:r w:rsidR="00847C68">
        <w:rPr>
          <w:sz w:val="24"/>
          <w:szCs w:val="24"/>
        </w:rPr>
        <w:lastRenderedPageBreak/>
        <w:t>addition, the Department required the banks to make sure that the credit solutions are consistent with the needs of the customers.</w:t>
      </w:r>
    </w:p>
    <w:p w:rsidR="00847C68" w:rsidRDefault="00847C68" w:rsidP="00B25050">
      <w:pPr>
        <w:pStyle w:val="Pressreleaseheading2"/>
        <w:jc w:val="both"/>
        <w:rPr>
          <w:sz w:val="24"/>
          <w:szCs w:val="24"/>
        </w:rPr>
      </w:pPr>
    </w:p>
    <w:p w:rsidR="00847C68" w:rsidRDefault="00847C68" w:rsidP="00B25050">
      <w:pPr>
        <w:pStyle w:val="Pressreleaseheading2"/>
        <w:jc w:val="both"/>
        <w:rPr>
          <w:b/>
          <w:bCs/>
          <w:sz w:val="24"/>
          <w:szCs w:val="24"/>
        </w:rPr>
      </w:pPr>
      <w:r>
        <w:rPr>
          <w:b/>
          <w:bCs/>
          <w:sz w:val="24"/>
          <w:szCs w:val="24"/>
        </w:rPr>
        <w:t>In the past year, the Banking Supervision Department has examined the initiated marketing of consumer credit in the banking system through examinations and other checks.</w:t>
      </w:r>
    </w:p>
    <w:p w:rsidR="00900D7F" w:rsidRDefault="00900D7F" w:rsidP="00B25050">
      <w:pPr>
        <w:pStyle w:val="Pressreleaseheading2"/>
        <w:jc w:val="both"/>
        <w:rPr>
          <w:b/>
          <w:bCs/>
          <w:sz w:val="24"/>
          <w:szCs w:val="24"/>
        </w:rPr>
      </w:pPr>
    </w:p>
    <w:p w:rsidR="00900D7F" w:rsidRDefault="00900D7F" w:rsidP="00B25050">
      <w:pPr>
        <w:pStyle w:val="Pressreleaseheading2"/>
        <w:jc w:val="both"/>
        <w:rPr>
          <w:b/>
          <w:bCs/>
          <w:sz w:val="24"/>
          <w:szCs w:val="24"/>
        </w:rPr>
      </w:pPr>
      <w:r>
        <w:rPr>
          <w:b/>
          <w:bCs/>
          <w:sz w:val="24"/>
          <w:szCs w:val="24"/>
        </w:rPr>
        <w:t>These examinations showed that in general, credit is marketed to customers with a reasonable repayment capacity, and there was no phenomenon of “pushing” credit to customers who could not repay it or to financially weaker customers.</w:t>
      </w:r>
    </w:p>
    <w:p w:rsidR="00900D7F" w:rsidRDefault="00900D7F" w:rsidP="00B25050">
      <w:pPr>
        <w:pStyle w:val="Pressreleaseheading2"/>
        <w:jc w:val="both"/>
        <w:rPr>
          <w:b/>
          <w:bCs/>
          <w:sz w:val="24"/>
          <w:szCs w:val="24"/>
        </w:rPr>
      </w:pPr>
    </w:p>
    <w:p w:rsidR="00900D7F" w:rsidRDefault="00900D7F" w:rsidP="00B25050">
      <w:pPr>
        <w:pStyle w:val="Pressreleaseheading2"/>
        <w:jc w:val="both"/>
        <w:rPr>
          <w:b/>
          <w:bCs/>
          <w:sz w:val="24"/>
          <w:szCs w:val="24"/>
        </w:rPr>
      </w:pPr>
      <w:r>
        <w:rPr>
          <w:b/>
          <w:bCs/>
          <w:sz w:val="24"/>
          <w:szCs w:val="24"/>
        </w:rPr>
        <w:t>However, the Banking Supervision Department did identify other problems in the marketing processes in some cases, and it is monitoring their rectification in accordance with its requirements:</w:t>
      </w:r>
    </w:p>
    <w:p w:rsidR="00900D7F" w:rsidRDefault="00900D7F" w:rsidP="00B25050">
      <w:pPr>
        <w:pStyle w:val="Pressreleaseheading2"/>
        <w:jc w:val="both"/>
        <w:rPr>
          <w:b/>
          <w:bCs/>
          <w:sz w:val="24"/>
          <w:szCs w:val="24"/>
        </w:rPr>
      </w:pPr>
    </w:p>
    <w:p w:rsidR="004C2CA8" w:rsidRDefault="004C2CA8" w:rsidP="00B25050">
      <w:pPr>
        <w:pStyle w:val="Pressreleaseheading2"/>
        <w:numPr>
          <w:ilvl w:val="0"/>
          <w:numId w:val="7"/>
        </w:numPr>
        <w:ind w:left="426"/>
        <w:jc w:val="both"/>
        <w:rPr>
          <w:sz w:val="24"/>
          <w:szCs w:val="24"/>
        </w:rPr>
      </w:pPr>
      <w:r>
        <w:rPr>
          <w:sz w:val="24"/>
          <w:szCs w:val="24"/>
        </w:rPr>
        <w:t xml:space="preserve">Banking corporations are required to make sure that their employees, at branches and call centers, </w:t>
      </w:r>
      <w:r>
        <w:rPr>
          <w:b/>
          <w:bCs/>
          <w:sz w:val="24"/>
          <w:szCs w:val="24"/>
        </w:rPr>
        <w:t>do not apply any pressure</w:t>
      </w:r>
      <w:r>
        <w:rPr>
          <w:sz w:val="24"/>
          <w:szCs w:val="24"/>
        </w:rPr>
        <w:t xml:space="preserve"> on customers to obtain credit services.  Examinations conducted by the Banking Supervision Department found certain cases where call center employees acted to convince customers to take a loan even though the customers had </w:t>
      </w:r>
      <w:r w:rsidR="00903B5D">
        <w:rPr>
          <w:sz w:val="24"/>
          <w:szCs w:val="24"/>
        </w:rPr>
        <w:t>said they were not interested</w:t>
      </w:r>
      <w:r>
        <w:rPr>
          <w:sz w:val="24"/>
          <w:szCs w:val="24"/>
        </w:rPr>
        <w:t>.  It was found that the improper convincing in those cases included repeated offers, applying pressure on customers to decide “today”, and th</w:t>
      </w:r>
      <w:r w:rsidR="00775E65">
        <w:rPr>
          <w:sz w:val="24"/>
          <w:szCs w:val="24"/>
        </w:rPr>
        <w:t>e use of inappropriate verbal coercion.</w:t>
      </w:r>
    </w:p>
    <w:p w:rsidR="00775E65" w:rsidRDefault="00775E65" w:rsidP="00B25050">
      <w:pPr>
        <w:pStyle w:val="Pressreleaseheading2"/>
        <w:numPr>
          <w:ilvl w:val="0"/>
          <w:numId w:val="7"/>
        </w:numPr>
        <w:ind w:left="426"/>
        <w:jc w:val="both"/>
        <w:rPr>
          <w:sz w:val="24"/>
          <w:szCs w:val="24"/>
        </w:rPr>
      </w:pPr>
      <w:r>
        <w:rPr>
          <w:sz w:val="24"/>
          <w:szCs w:val="24"/>
        </w:rPr>
        <w:t xml:space="preserve">The Banking Supervision Department is requiring the banking corporations to prepare for a mechanism that </w:t>
      </w:r>
      <w:r>
        <w:rPr>
          <w:b/>
          <w:bCs/>
          <w:sz w:val="24"/>
          <w:szCs w:val="24"/>
        </w:rPr>
        <w:t>will prevent the harassment of customers</w:t>
      </w:r>
      <w:r>
        <w:rPr>
          <w:sz w:val="24"/>
          <w:szCs w:val="24"/>
        </w:rPr>
        <w:t xml:space="preserve"> with repeated offers of credit after they have </w:t>
      </w:r>
      <w:r w:rsidR="00903B5D">
        <w:rPr>
          <w:sz w:val="24"/>
          <w:szCs w:val="24"/>
        </w:rPr>
        <w:t>said they are not interested</w:t>
      </w:r>
      <w:r>
        <w:rPr>
          <w:sz w:val="24"/>
          <w:szCs w:val="24"/>
        </w:rPr>
        <w:t xml:space="preserve"> in the service, and is even instructing the banking corporations to prepare for the implementation of a mechanism that will allow customers to give prior notice that they are not interested in initiated contact from the bank.  This is due to cases that were found where call center employees contacted customers with repeated offers to obtain loans, even after the customers </w:t>
      </w:r>
      <w:r w:rsidR="00903B5D">
        <w:rPr>
          <w:sz w:val="24"/>
          <w:szCs w:val="24"/>
        </w:rPr>
        <w:t>said they were not interested</w:t>
      </w:r>
      <w:r>
        <w:rPr>
          <w:sz w:val="24"/>
          <w:szCs w:val="24"/>
        </w:rPr>
        <w:t xml:space="preserve"> or refused the offers.</w:t>
      </w:r>
    </w:p>
    <w:p w:rsidR="00775E65" w:rsidRDefault="00775E65" w:rsidP="00B25050">
      <w:pPr>
        <w:pStyle w:val="Pressreleaseheading2"/>
        <w:numPr>
          <w:ilvl w:val="0"/>
          <w:numId w:val="7"/>
        </w:numPr>
        <w:ind w:left="426"/>
        <w:jc w:val="both"/>
        <w:rPr>
          <w:sz w:val="24"/>
          <w:szCs w:val="24"/>
        </w:rPr>
      </w:pPr>
      <w:r>
        <w:rPr>
          <w:sz w:val="24"/>
          <w:szCs w:val="24"/>
        </w:rPr>
        <w:t xml:space="preserve">The Banking Supervision Department is requiring the banking corporations </w:t>
      </w:r>
      <w:r>
        <w:rPr>
          <w:b/>
          <w:bCs/>
          <w:sz w:val="24"/>
          <w:szCs w:val="24"/>
        </w:rPr>
        <w:t>to increase the disclosure they provide to customers</w:t>
      </w:r>
      <w:r>
        <w:rPr>
          <w:sz w:val="24"/>
          <w:szCs w:val="24"/>
        </w:rPr>
        <w:t xml:space="preserve"> by improving guidelines for conducting a conversation with a customer and increasing controls over the conversations in practice:</w:t>
      </w:r>
    </w:p>
    <w:p w:rsidR="00775E65" w:rsidRDefault="000F3EBB" w:rsidP="00F613F1">
      <w:pPr>
        <w:pStyle w:val="Pressreleaseheading2"/>
        <w:numPr>
          <w:ilvl w:val="1"/>
          <w:numId w:val="7"/>
        </w:numPr>
        <w:ind w:left="851"/>
        <w:jc w:val="both"/>
        <w:rPr>
          <w:sz w:val="24"/>
          <w:szCs w:val="24"/>
        </w:rPr>
      </w:pPr>
      <w:r>
        <w:rPr>
          <w:sz w:val="24"/>
          <w:szCs w:val="24"/>
        </w:rPr>
        <w:t xml:space="preserve">The banks must bring to the customer’s attention, </w:t>
      </w:r>
      <w:r w:rsidR="00F613F1">
        <w:rPr>
          <w:sz w:val="24"/>
          <w:szCs w:val="24"/>
        </w:rPr>
        <w:t>at the beginning of the</w:t>
      </w:r>
      <w:r>
        <w:rPr>
          <w:sz w:val="24"/>
          <w:szCs w:val="24"/>
        </w:rPr>
        <w:t xml:space="preserve"> conversation, </w:t>
      </w:r>
      <w:r>
        <w:rPr>
          <w:b/>
          <w:bCs/>
          <w:sz w:val="24"/>
          <w:szCs w:val="24"/>
        </w:rPr>
        <w:t>the customer’s financial state in the account, both on the debit side and on the credit side.</w:t>
      </w:r>
      <w:r>
        <w:rPr>
          <w:sz w:val="24"/>
          <w:szCs w:val="24"/>
        </w:rPr>
        <w:t xml:space="preserve">  In particular, the banks must bring to the customers attention details about deposits that are available to them, including their date of repayment and their interest rate.  The objective is to enable the customers to make an informed decision on whether to take out a loan or to withdraw a deposit, in view of the interest rate differentials between the two.  In financial terms, the use of a deposit is generally more worthwhile for the customer than taking out a loan, since the interest that the customer receives on a deposit is much lower than the interest he would pay on a loan.</w:t>
      </w:r>
    </w:p>
    <w:p w:rsidR="000F3EBB" w:rsidRDefault="000F3EBB" w:rsidP="00B25050">
      <w:pPr>
        <w:pStyle w:val="Pressreleaseheading2"/>
        <w:numPr>
          <w:ilvl w:val="1"/>
          <w:numId w:val="7"/>
        </w:numPr>
        <w:ind w:left="851"/>
        <w:jc w:val="both"/>
        <w:rPr>
          <w:sz w:val="24"/>
          <w:szCs w:val="24"/>
        </w:rPr>
      </w:pPr>
      <w:r>
        <w:rPr>
          <w:sz w:val="24"/>
          <w:szCs w:val="24"/>
        </w:rPr>
        <w:t xml:space="preserve">Another example is the requirement to </w:t>
      </w:r>
      <w:r w:rsidR="00FC12AC">
        <w:rPr>
          <w:b/>
          <w:bCs/>
          <w:sz w:val="24"/>
          <w:szCs w:val="24"/>
        </w:rPr>
        <w:t>advance disclosure of the interest rate on the loan</w:t>
      </w:r>
      <w:r w:rsidR="00FC12AC">
        <w:rPr>
          <w:sz w:val="24"/>
          <w:szCs w:val="24"/>
        </w:rPr>
        <w:t xml:space="preserve"> offered at the beginning of the marketing conversation, and before the customer has formed his opinion on the offer.  This requirement is </w:t>
      </w:r>
      <w:r w:rsidR="00FC12AC">
        <w:rPr>
          <w:sz w:val="24"/>
          <w:szCs w:val="24"/>
        </w:rPr>
        <w:lastRenderedPageBreak/>
        <w:t>due to the work process in some cases where the sale is comprised of two stages: In the first conversation, the customer gives his agreement in principle to submit a request for credit before the bank tells him what the interest rate is, and the bank updates him regarding the approved interest rate only in the second conversation.  The Banking Supervision Department wants to make sure that the customer understands what the interest rate is and considers it at an early stage of the sales process, before giving his agreement in principle to submit a request for credit.</w:t>
      </w:r>
    </w:p>
    <w:p w:rsidR="00FC12AC" w:rsidRDefault="00D71C05" w:rsidP="00B25050">
      <w:pPr>
        <w:pStyle w:val="Pressreleaseheading2"/>
        <w:numPr>
          <w:ilvl w:val="1"/>
          <w:numId w:val="7"/>
        </w:numPr>
        <w:ind w:left="851"/>
        <w:jc w:val="both"/>
        <w:rPr>
          <w:sz w:val="24"/>
          <w:szCs w:val="24"/>
        </w:rPr>
      </w:pPr>
      <w:r>
        <w:rPr>
          <w:sz w:val="24"/>
          <w:szCs w:val="24"/>
        </w:rPr>
        <w:t>The disclosure of the interest rate is especially important in cases where the customer is offered a loan to fully or partially pay back previous loans.  From a financial standpoint, it is generally not worthwhile for a customer to recycle existing loans with a more expensive loan.  The exception to this is a customer that is having difficulties repaying the loans, and the recycling is required in order to spread out the payments.</w:t>
      </w:r>
    </w:p>
    <w:p w:rsidR="002349AC" w:rsidRPr="002349AC" w:rsidRDefault="00D71C05" w:rsidP="00B25050">
      <w:pPr>
        <w:pStyle w:val="Pressreleaseheading2"/>
        <w:numPr>
          <w:ilvl w:val="1"/>
          <w:numId w:val="7"/>
        </w:numPr>
        <w:ind w:left="851"/>
        <w:jc w:val="both"/>
        <w:rPr>
          <w:sz w:val="24"/>
          <w:szCs w:val="24"/>
        </w:rPr>
      </w:pPr>
      <w:r w:rsidRPr="002349AC">
        <w:rPr>
          <w:sz w:val="24"/>
          <w:szCs w:val="24"/>
        </w:rPr>
        <w:t xml:space="preserve">The banks must make sure to bring interest rate benefits to the customer’s attention, </w:t>
      </w:r>
      <w:r w:rsidR="002349AC" w:rsidRPr="002349AC">
        <w:rPr>
          <w:sz w:val="24"/>
          <w:szCs w:val="24"/>
        </w:rPr>
        <w:t>insofar as an existing customer is entitled to such a benefit based on a general arrangement (belonging to a certain segment of the population, such as soldiers, students, and so forth), or based on special agreements (for instance agreements that apply to certain groups of workers).</w:t>
      </w:r>
    </w:p>
    <w:p w:rsidR="002349AC" w:rsidRDefault="002349AC" w:rsidP="00B25050">
      <w:pPr>
        <w:pStyle w:val="Pressreleaseheading2"/>
        <w:numPr>
          <w:ilvl w:val="0"/>
          <w:numId w:val="8"/>
        </w:numPr>
        <w:ind w:left="426"/>
        <w:jc w:val="both"/>
        <w:rPr>
          <w:sz w:val="24"/>
          <w:szCs w:val="24"/>
        </w:rPr>
      </w:pPr>
      <w:r>
        <w:rPr>
          <w:sz w:val="24"/>
          <w:szCs w:val="24"/>
        </w:rPr>
        <w:t xml:space="preserve">The Banking Supervision Department is requiring that the banks make sure that loans offered through direct channels </w:t>
      </w:r>
      <w:r>
        <w:rPr>
          <w:b/>
          <w:bCs/>
          <w:sz w:val="24"/>
          <w:szCs w:val="24"/>
        </w:rPr>
        <w:t>are not more expensive</w:t>
      </w:r>
      <w:r>
        <w:rPr>
          <w:sz w:val="24"/>
          <w:szCs w:val="24"/>
        </w:rPr>
        <w:t xml:space="preserve"> than loans offered to customers at branches.  The Department’s position is that technological improvements enable the banking corporations to streamline and to offer their customers services at lower prices.  This position also applies to the price of consumer loans.</w:t>
      </w:r>
    </w:p>
    <w:p w:rsidR="002349AC" w:rsidRDefault="007B5CA8" w:rsidP="00AC0FB3">
      <w:pPr>
        <w:pStyle w:val="Pressreleaseheading2"/>
        <w:numPr>
          <w:ilvl w:val="0"/>
          <w:numId w:val="8"/>
        </w:numPr>
        <w:ind w:left="426"/>
        <w:jc w:val="both"/>
        <w:rPr>
          <w:sz w:val="24"/>
          <w:szCs w:val="24"/>
        </w:rPr>
      </w:pPr>
      <w:r>
        <w:rPr>
          <w:sz w:val="24"/>
          <w:szCs w:val="24"/>
        </w:rPr>
        <w:t xml:space="preserve">The Banking Supervision Department is requiring the banking corporations to make sure that </w:t>
      </w:r>
      <w:r>
        <w:rPr>
          <w:b/>
          <w:bCs/>
          <w:sz w:val="24"/>
          <w:szCs w:val="24"/>
        </w:rPr>
        <w:t xml:space="preserve">the variable pay mechanisms for employees who market credit are not based on personal </w:t>
      </w:r>
      <w:r w:rsidR="00AC0FB3">
        <w:rPr>
          <w:b/>
          <w:bCs/>
          <w:sz w:val="24"/>
          <w:szCs w:val="24"/>
        </w:rPr>
        <w:t xml:space="preserve">credit sales </w:t>
      </w:r>
      <w:r>
        <w:rPr>
          <w:b/>
          <w:bCs/>
          <w:sz w:val="24"/>
          <w:szCs w:val="24"/>
        </w:rPr>
        <w:t>targets</w:t>
      </w:r>
      <w:r>
        <w:rPr>
          <w:sz w:val="24"/>
          <w:szCs w:val="24"/>
        </w:rPr>
        <w:t xml:space="preserve"> or on other targets that may encourage aggressive marketing and increase risk.  The Department found that variable pay based on personal targets may increase the risk of marketing that does not meet the appropriate disclosure and fairness standards.</w:t>
      </w:r>
    </w:p>
    <w:p w:rsidR="00807C6E" w:rsidRDefault="00807C6E" w:rsidP="00612465">
      <w:pPr>
        <w:pStyle w:val="Pressreleaseheading2"/>
        <w:numPr>
          <w:ilvl w:val="0"/>
          <w:numId w:val="8"/>
        </w:numPr>
        <w:ind w:left="426"/>
        <w:jc w:val="both"/>
        <w:rPr>
          <w:sz w:val="24"/>
          <w:szCs w:val="24"/>
        </w:rPr>
      </w:pPr>
      <w:r>
        <w:rPr>
          <w:sz w:val="24"/>
          <w:szCs w:val="24"/>
        </w:rPr>
        <w:t xml:space="preserve">Another material requirement of the Banking Supervision Department is intended to ensure </w:t>
      </w:r>
      <w:r>
        <w:rPr>
          <w:b/>
          <w:bCs/>
          <w:sz w:val="24"/>
          <w:szCs w:val="24"/>
        </w:rPr>
        <w:t>an organizational culture of the customer</w:t>
      </w:r>
      <w:r w:rsidR="00612465">
        <w:rPr>
          <w:b/>
          <w:bCs/>
          <w:sz w:val="24"/>
          <w:szCs w:val="24"/>
        </w:rPr>
        <w:t>’s best interest</w:t>
      </w:r>
      <w:r>
        <w:rPr>
          <w:sz w:val="24"/>
          <w:szCs w:val="24"/>
        </w:rPr>
        <w:t xml:space="preserve"> in the bank’s operations.  As such, a requirement was presented </w:t>
      </w:r>
      <w:r>
        <w:rPr>
          <w:b/>
          <w:bCs/>
          <w:sz w:val="24"/>
          <w:szCs w:val="24"/>
        </w:rPr>
        <w:t>to increase control and examination of the consumer credit provision processes</w:t>
      </w:r>
      <w:r>
        <w:rPr>
          <w:sz w:val="24"/>
          <w:szCs w:val="24"/>
        </w:rPr>
        <w:t>, and particularly the initiated marketing conversations, by gatekeepers at the banking corporations—controllers, legal counsel, compliance, risk management, and internal audit—in order to ensure that all of the banking corporations’ obligations toward their customers are met.</w:t>
      </w:r>
    </w:p>
    <w:p w:rsidR="005522D4" w:rsidRDefault="005522D4" w:rsidP="00B25050">
      <w:pPr>
        <w:pStyle w:val="Pressreleaseheading2"/>
        <w:jc w:val="both"/>
        <w:rPr>
          <w:sz w:val="24"/>
          <w:szCs w:val="24"/>
        </w:rPr>
      </w:pPr>
    </w:p>
    <w:p w:rsidR="00F571FB" w:rsidRDefault="005522D4" w:rsidP="00B25050">
      <w:pPr>
        <w:pStyle w:val="Pressreleaseheading2"/>
        <w:jc w:val="both"/>
        <w:rPr>
          <w:sz w:val="24"/>
          <w:szCs w:val="24"/>
        </w:rPr>
      </w:pPr>
      <w:r>
        <w:rPr>
          <w:sz w:val="24"/>
          <w:szCs w:val="24"/>
        </w:rPr>
        <w:t>The Banking Supervision Department is continuing its work on consumer credit, and in the coming year, it will monitor the rectifications of the deficiencies that were found.  It is also preparing for the publication of a specific directive on the marketing of consumer credit by the banking system.</w:t>
      </w:r>
    </w:p>
    <w:p w:rsidR="00F571FB" w:rsidRDefault="00F571FB">
      <w:pPr>
        <w:bidi w:val="0"/>
        <w:rPr>
          <w:rFonts w:cs="David"/>
        </w:rPr>
      </w:pPr>
      <w:r>
        <w:br w:type="page"/>
      </w:r>
    </w:p>
    <w:p w:rsidR="005522D4" w:rsidRDefault="005522D4" w:rsidP="00B25050">
      <w:pPr>
        <w:pStyle w:val="Pressreleaseheading2"/>
        <w:jc w:val="both"/>
        <w:rPr>
          <w:sz w:val="24"/>
          <w:szCs w:val="24"/>
        </w:rPr>
      </w:pPr>
    </w:p>
    <w:p w:rsidR="001C5FB3" w:rsidRDefault="00086640" w:rsidP="005522D4">
      <w:pPr>
        <w:pStyle w:val="Pressreleaseheading2"/>
        <w:jc w:val="left"/>
        <w:rPr>
          <w:sz w:val="24"/>
          <w:szCs w:val="24"/>
        </w:rPr>
      </w:pPr>
      <w:r w:rsidRPr="001C5FB3">
        <w:rPr>
          <w:rFonts w:hint="cs"/>
          <w:noProof/>
          <w:sz w:val="24"/>
          <w:szCs w:val="24"/>
        </w:rPr>
        <mc:AlternateContent>
          <mc:Choice Requires="wps">
            <w:drawing>
              <wp:anchor distT="0" distB="0" distL="114300" distR="114300" simplePos="0" relativeHeight="251663360" behindDoc="1" locked="0" layoutInCell="1" allowOverlap="1" wp14:anchorId="3AE584F1" wp14:editId="1229D824">
                <wp:simplePos x="0" y="0"/>
                <wp:positionH relativeFrom="column">
                  <wp:posOffset>-829310</wp:posOffset>
                </wp:positionH>
                <wp:positionV relativeFrom="paragraph">
                  <wp:posOffset>273685</wp:posOffset>
                </wp:positionV>
                <wp:extent cx="7037070" cy="3789045"/>
                <wp:effectExtent l="0" t="0" r="11430" b="20955"/>
                <wp:wrapNone/>
                <wp:docPr id="16" name="מלבן 16"/>
                <wp:cNvGraphicFramePr/>
                <a:graphic xmlns:a="http://schemas.openxmlformats.org/drawingml/2006/main">
                  <a:graphicData uri="http://schemas.microsoft.com/office/word/2010/wordprocessingShape">
                    <wps:wsp>
                      <wps:cNvSpPr/>
                      <wps:spPr>
                        <a:xfrm>
                          <a:off x="0" y="0"/>
                          <a:ext cx="7037070" cy="3789045"/>
                        </a:xfrm>
                        <a:prstGeom prst="rect">
                          <a:avLst/>
                        </a:prstGeom>
                        <a:solidFill>
                          <a:srgbClr val="F9F8F5"/>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מלבן 16" o:spid="_x0000_s1026" style="position:absolute;margin-left:-65.3pt;margin-top:21.55pt;width:554.1pt;height:298.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" fillcolor="#f9f8f5" strokecolor="#ddd8c2 [2894]" strokeweight="2pt"/>
            </w:pict>
          </mc:Fallback>
        </mc:AlternateContent>
      </w:r>
    </w:p>
    <w:p w:rsidR="001C5FB3" w:rsidRPr="004C2CA8" w:rsidRDefault="00086640" w:rsidP="005522D4">
      <w:pPr>
        <w:pStyle w:val="Pressreleaseheading2"/>
        <w:jc w:val="left"/>
        <w:rPr>
          <w:sz w:val="24"/>
          <w:szCs w:val="24"/>
        </w:rPr>
      </w:pPr>
      <w:r w:rsidRPr="00931A39">
        <w:rPr>
          <w:noProof/>
          <w:sz w:val="24"/>
          <w:szCs w:val="24"/>
        </w:rPr>
        <mc:AlternateContent>
          <mc:Choice Requires="wps">
            <w:drawing>
              <wp:anchor distT="0" distB="0" distL="114300" distR="114300" simplePos="0" relativeHeight="251669504" behindDoc="0" locked="0" layoutInCell="1" allowOverlap="1" wp14:anchorId="1AC48EED" wp14:editId="01ABE7BA">
                <wp:simplePos x="0" y="0"/>
                <wp:positionH relativeFrom="column">
                  <wp:posOffset>-636905</wp:posOffset>
                </wp:positionH>
                <wp:positionV relativeFrom="paragraph">
                  <wp:posOffset>115570</wp:posOffset>
                </wp:positionV>
                <wp:extent cx="6715125" cy="7581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58190"/>
                        </a:xfrm>
                        <a:prstGeom prst="rect">
                          <a:avLst/>
                        </a:prstGeom>
                        <a:noFill/>
                        <a:ln w="9525">
                          <a:noFill/>
                          <a:miter lim="800000"/>
                          <a:headEnd/>
                          <a:tailEnd/>
                        </a:ln>
                      </wps:spPr>
                      <wps:txbx>
                        <w:txbxContent>
                          <w:p w:rsidR="00086640" w:rsidRDefault="00B42C61" w:rsidP="00086640">
                            <w:pPr>
                              <w:bidi w:val="0"/>
                              <w:spacing w:before="120" w:after="120"/>
                              <w:contextualSpacing/>
                              <w:jc w:val="center"/>
                              <w:rPr>
                                <w:rFonts w:asciiTheme="minorBidi" w:eastAsiaTheme="minorHAnsi" w:hAnsiTheme="minorBidi" w:cstheme="minorBidi"/>
                                <w:b/>
                                <w:bCs/>
                                <w:sz w:val="18"/>
                                <w:szCs w:val="18"/>
                              </w:rPr>
                            </w:pPr>
                            <w:r w:rsidRPr="00086640">
                              <w:rPr>
                                <w:rFonts w:asciiTheme="minorBidi" w:eastAsiaTheme="minorHAnsi" w:hAnsiTheme="minorBidi" w:cstheme="minorBidi"/>
                                <w:b/>
                                <w:bCs/>
                                <w:sz w:val="18"/>
                                <w:szCs w:val="18"/>
                              </w:rPr>
                              <w:t>Summary of the Banking Supervision Department’s requirements:</w:t>
                            </w:r>
                            <w:r w:rsidR="00086640">
                              <w:rPr>
                                <w:rFonts w:asciiTheme="minorBidi" w:eastAsiaTheme="minorHAnsi" w:hAnsiTheme="minorBidi" w:cstheme="minorBidi"/>
                                <w:b/>
                                <w:bCs/>
                                <w:sz w:val="18"/>
                                <w:szCs w:val="18"/>
                              </w:rPr>
                              <w:t xml:space="preserve"> </w:t>
                            </w:r>
                          </w:p>
                          <w:p w:rsidR="00931A39" w:rsidRPr="00086640" w:rsidRDefault="00086640" w:rsidP="00086640">
                            <w:pPr>
                              <w:bidi w:val="0"/>
                              <w:spacing w:before="120" w:after="120"/>
                              <w:contextualSpacing/>
                              <w:jc w:val="center"/>
                              <w:rPr>
                                <w:rFonts w:asciiTheme="minorBidi" w:eastAsiaTheme="minorHAnsi" w:hAnsiTheme="minorBidi" w:cstheme="minorBidi"/>
                                <w:b/>
                                <w:bCs/>
                                <w:sz w:val="18"/>
                                <w:szCs w:val="18"/>
                                <w:rtl/>
                              </w:rPr>
                            </w:pPr>
                            <w:r>
                              <w:rPr>
                                <w:rFonts w:asciiTheme="minorBidi" w:eastAsiaTheme="minorHAnsi" w:hAnsiTheme="minorBidi" w:cstheme="minorBidi"/>
                                <w:b/>
                                <w:bCs/>
                                <w:sz w:val="18"/>
                                <w:szCs w:val="18"/>
                              </w:rPr>
                              <w:t>The</w:t>
                            </w:r>
                            <w:r w:rsidR="00B42C61" w:rsidRPr="00086640">
                              <w:rPr>
                                <w:rFonts w:asciiTheme="minorBidi" w:eastAsiaTheme="minorHAnsi" w:hAnsiTheme="minorBidi" w:cstheme="minorBidi"/>
                                <w:b/>
                                <w:bCs/>
                                <w:sz w:val="18"/>
                                <w:szCs w:val="18"/>
                              </w:rPr>
                              <w:t xml:space="preserve"> “</w:t>
                            </w:r>
                            <w:proofErr w:type="spellStart"/>
                            <w:r w:rsidR="00B42C61" w:rsidRPr="00086640">
                              <w:rPr>
                                <w:rFonts w:asciiTheme="minorBidi" w:eastAsiaTheme="minorHAnsi" w:hAnsiTheme="minorBidi" w:cstheme="minorBidi"/>
                                <w:b/>
                                <w:bCs/>
                                <w:color w:val="76923C" w:themeColor="accent3" w:themeShade="BF"/>
                                <w:sz w:val="18"/>
                                <w:szCs w:val="18"/>
                              </w:rPr>
                              <w:t>Do</w:t>
                            </w:r>
                            <w:r w:rsidR="00B42C61" w:rsidRPr="00086640">
                              <w:rPr>
                                <w:rFonts w:asciiTheme="minorBidi" w:eastAsiaTheme="minorHAnsi" w:hAnsiTheme="minorBidi" w:cstheme="minorBidi"/>
                                <w:b/>
                                <w:bCs/>
                                <w:sz w:val="18"/>
                                <w:szCs w:val="18"/>
                              </w:rPr>
                              <w:t>”</w:t>
                            </w:r>
                            <w:r>
                              <w:rPr>
                                <w:rFonts w:asciiTheme="minorBidi" w:eastAsiaTheme="minorHAnsi" w:hAnsiTheme="minorBidi" w:cstheme="minorBidi"/>
                                <w:b/>
                                <w:bCs/>
                                <w:sz w:val="18"/>
                                <w:szCs w:val="18"/>
                              </w:rPr>
                              <w:t>s</w:t>
                            </w:r>
                            <w:proofErr w:type="spellEnd"/>
                            <w:r w:rsidR="00B42C61" w:rsidRPr="00086640">
                              <w:rPr>
                                <w:rFonts w:asciiTheme="minorBidi" w:eastAsiaTheme="minorHAnsi" w:hAnsiTheme="minorBidi" w:cstheme="minorBidi"/>
                                <w:b/>
                                <w:bCs/>
                                <w:sz w:val="18"/>
                                <w:szCs w:val="18"/>
                              </w:rPr>
                              <w:t xml:space="preserve"> and “</w:t>
                            </w:r>
                            <w:proofErr w:type="spellStart"/>
                            <w:r w:rsidR="00B42C61" w:rsidRPr="00086640">
                              <w:rPr>
                                <w:rFonts w:asciiTheme="minorBidi" w:eastAsiaTheme="minorHAnsi" w:hAnsiTheme="minorBidi" w:cstheme="minorBidi"/>
                                <w:b/>
                                <w:bCs/>
                                <w:color w:val="FF0000"/>
                                <w:sz w:val="18"/>
                                <w:szCs w:val="18"/>
                              </w:rPr>
                              <w:t>Don’t</w:t>
                            </w:r>
                            <w:r w:rsidR="00B42C61" w:rsidRPr="00086640">
                              <w:rPr>
                                <w:rFonts w:asciiTheme="minorBidi" w:eastAsiaTheme="minorHAnsi" w:hAnsiTheme="minorBidi" w:cstheme="minorBidi"/>
                                <w:b/>
                                <w:bCs/>
                                <w:sz w:val="18"/>
                                <w:szCs w:val="18"/>
                              </w:rPr>
                              <w:t>”</w:t>
                            </w:r>
                            <w:r>
                              <w:rPr>
                                <w:rFonts w:asciiTheme="minorBidi" w:eastAsiaTheme="minorHAnsi" w:hAnsiTheme="minorBidi" w:cstheme="minorBidi"/>
                                <w:b/>
                                <w:bCs/>
                                <w:sz w:val="18"/>
                                <w:szCs w:val="18"/>
                              </w:rPr>
                              <w:t>s</w:t>
                            </w:r>
                            <w:proofErr w:type="spellEnd"/>
                            <w:r w:rsidR="00B42C61" w:rsidRPr="00086640">
                              <w:rPr>
                                <w:rFonts w:asciiTheme="minorBidi" w:eastAsiaTheme="minorHAnsi" w:hAnsiTheme="minorBidi" w:cstheme="minorBidi"/>
                                <w:b/>
                                <w:bCs/>
                                <w:sz w:val="18"/>
                                <w:szCs w:val="18"/>
                              </w:rPr>
                              <w:t xml:space="preserve"> </w:t>
                            </w:r>
                            <w:r>
                              <w:rPr>
                                <w:rFonts w:asciiTheme="minorBidi" w:eastAsiaTheme="minorHAnsi" w:hAnsiTheme="minorBidi" w:cstheme="minorBidi"/>
                                <w:b/>
                                <w:bCs/>
                                <w:sz w:val="18"/>
                                <w:szCs w:val="18"/>
                              </w:rPr>
                              <w:t>of</w:t>
                            </w:r>
                            <w:r w:rsidR="00B42C61" w:rsidRPr="00086640">
                              <w:rPr>
                                <w:rFonts w:asciiTheme="minorBidi" w:eastAsiaTheme="minorHAnsi" w:hAnsiTheme="minorBidi" w:cstheme="minorBidi"/>
                                <w:b/>
                                <w:bCs/>
                                <w:sz w:val="18"/>
                                <w:szCs w:val="18"/>
                              </w:rPr>
                              <w:t xml:space="preserve"> initiated marketing of consumer credit</w:t>
                            </w:r>
                          </w:p>
                          <w:p w:rsidR="00931A39" w:rsidRPr="00086640" w:rsidRDefault="00931A39" w:rsidP="00931A39">
                            <w:pPr>
                              <w:rPr>
                                <w:rFonts w:asciiTheme="minorBidi" w:hAnsiTheme="minorBidi" w:cstheme="minorBid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pt;margin-top:9.1pt;width:528.75pt;height:5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" filled="f" stroked="f">
                <v:textbox>
                  <w:txbxContent>
                    <w:p w:rsidR="00086640" w:rsidRDefault="00B42C61" w:rsidP="00086640">
                      <w:pPr>
                        <w:bidi w:val="0"/>
                        <w:spacing w:before="120" w:after="120"/>
                        <w:contextualSpacing/>
                        <w:jc w:val="center"/>
                        <w:rPr>
                          <w:rFonts w:asciiTheme="minorBidi" w:eastAsiaTheme="minorHAnsi" w:hAnsiTheme="minorBidi" w:cstheme="minorBidi"/>
                          <w:b/>
                          <w:bCs/>
                          <w:sz w:val="18"/>
                          <w:szCs w:val="18"/>
                        </w:rPr>
                      </w:pPr>
                      <w:r w:rsidRPr="00086640">
                        <w:rPr>
                          <w:rFonts w:asciiTheme="minorBidi" w:eastAsiaTheme="minorHAnsi" w:hAnsiTheme="minorBidi" w:cstheme="minorBidi"/>
                          <w:b/>
                          <w:bCs/>
                          <w:sz w:val="18"/>
                          <w:szCs w:val="18"/>
                        </w:rPr>
                        <w:t>Summary of the Banking Supervision Department’s requirements:</w:t>
                      </w:r>
                      <w:r w:rsidR="00086640">
                        <w:rPr>
                          <w:rFonts w:asciiTheme="minorBidi" w:eastAsiaTheme="minorHAnsi" w:hAnsiTheme="minorBidi" w:cstheme="minorBidi"/>
                          <w:b/>
                          <w:bCs/>
                          <w:sz w:val="18"/>
                          <w:szCs w:val="18"/>
                        </w:rPr>
                        <w:t xml:space="preserve"> </w:t>
                      </w:r>
                    </w:p>
                    <w:p w:rsidR="00931A39" w:rsidRPr="00086640" w:rsidRDefault="00086640" w:rsidP="00086640">
                      <w:pPr>
                        <w:bidi w:val="0"/>
                        <w:spacing w:before="120" w:after="120"/>
                        <w:contextualSpacing/>
                        <w:jc w:val="center"/>
                        <w:rPr>
                          <w:rFonts w:asciiTheme="minorBidi" w:eastAsiaTheme="minorHAnsi" w:hAnsiTheme="minorBidi" w:cstheme="minorBidi"/>
                          <w:b/>
                          <w:bCs/>
                          <w:sz w:val="18"/>
                          <w:szCs w:val="18"/>
                          <w:rtl/>
                        </w:rPr>
                      </w:pPr>
                      <w:r>
                        <w:rPr>
                          <w:rFonts w:asciiTheme="minorBidi" w:eastAsiaTheme="minorHAnsi" w:hAnsiTheme="minorBidi" w:cstheme="minorBidi"/>
                          <w:b/>
                          <w:bCs/>
                          <w:sz w:val="18"/>
                          <w:szCs w:val="18"/>
                        </w:rPr>
                        <w:t>The</w:t>
                      </w:r>
                      <w:r w:rsidR="00B42C61" w:rsidRPr="00086640">
                        <w:rPr>
                          <w:rFonts w:asciiTheme="minorBidi" w:eastAsiaTheme="minorHAnsi" w:hAnsiTheme="minorBidi" w:cstheme="minorBidi"/>
                          <w:b/>
                          <w:bCs/>
                          <w:sz w:val="18"/>
                          <w:szCs w:val="18"/>
                        </w:rPr>
                        <w:t xml:space="preserve"> “</w:t>
                      </w:r>
                      <w:proofErr w:type="spellStart"/>
                      <w:r w:rsidR="00B42C61" w:rsidRPr="00086640">
                        <w:rPr>
                          <w:rFonts w:asciiTheme="minorBidi" w:eastAsiaTheme="minorHAnsi" w:hAnsiTheme="minorBidi" w:cstheme="minorBidi"/>
                          <w:b/>
                          <w:bCs/>
                          <w:color w:val="76923C" w:themeColor="accent3" w:themeShade="BF"/>
                          <w:sz w:val="18"/>
                          <w:szCs w:val="18"/>
                        </w:rPr>
                        <w:t>Do</w:t>
                      </w:r>
                      <w:r w:rsidR="00B42C61" w:rsidRPr="00086640">
                        <w:rPr>
                          <w:rFonts w:asciiTheme="minorBidi" w:eastAsiaTheme="minorHAnsi" w:hAnsiTheme="minorBidi" w:cstheme="minorBidi"/>
                          <w:b/>
                          <w:bCs/>
                          <w:sz w:val="18"/>
                          <w:szCs w:val="18"/>
                        </w:rPr>
                        <w:t>”</w:t>
                      </w:r>
                      <w:r>
                        <w:rPr>
                          <w:rFonts w:asciiTheme="minorBidi" w:eastAsiaTheme="minorHAnsi" w:hAnsiTheme="minorBidi" w:cstheme="minorBidi"/>
                          <w:b/>
                          <w:bCs/>
                          <w:sz w:val="18"/>
                          <w:szCs w:val="18"/>
                        </w:rPr>
                        <w:t>s</w:t>
                      </w:r>
                      <w:proofErr w:type="spellEnd"/>
                      <w:r w:rsidR="00B42C61" w:rsidRPr="00086640">
                        <w:rPr>
                          <w:rFonts w:asciiTheme="minorBidi" w:eastAsiaTheme="minorHAnsi" w:hAnsiTheme="minorBidi" w:cstheme="minorBidi"/>
                          <w:b/>
                          <w:bCs/>
                          <w:sz w:val="18"/>
                          <w:szCs w:val="18"/>
                        </w:rPr>
                        <w:t xml:space="preserve"> and “</w:t>
                      </w:r>
                      <w:proofErr w:type="spellStart"/>
                      <w:r w:rsidR="00B42C61" w:rsidRPr="00086640">
                        <w:rPr>
                          <w:rFonts w:asciiTheme="minorBidi" w:eastAsiaTheme="minorHAnsi" w:hAnsiTheme="minorBidi" w:cstheme="minorBidi"/>
                          <w:b/>
                          <w:bCs/>
                          <w:color w:val="FF0000"/>
                          <w:sz w:val="18"/>
                          <w:szCs w:val="18"/>
                        </w:rPr>
                        <w:t>Don’t</w:t>
                      </w:r>
                      <w:r w:rsidR="00B42C61" w:rsidRPr="00086640">
                        <w:rPr>
                          <w:rFonts w:asciiTheme="minorBidi" w:eastAsiaTheme="minorHAnsi" w:hAnsiTheme="minorBidi" w:cstheme="minorBidi"/>
                          <w:b/>
                          <w:bCs/>
                          <w:sz w:val="18"/>
                          <w:szCs w:val="18"/>
                        </w:rPr>
                        <w:t>”</w:t>
                      </w:r>
                      <w:r>
                        <w:rPr>
                          <w:rFonts w:asciiTheme="minorBidi" w:eastAsiaTheme="minorHAnsi" w:hAnsiTheme="minorBidi" w:cstheme="minorBidi"/>
                          <w:b/>
                          <w:bCs/>
                          <w:sz w:val="18"/>
                          <w:szCs w:val="18"/>
                        </w:rPr>
                        <w:t>s</w:t>
                      </w:r>
                      <w:proofErr w:type="spellEnd"/>
                      <w:r w:rsidR="00B42C61" w:rsidRPr="00086640">
                        <w:rPr>
                          <w:rFonts w:asciiTheme="minorBidi" w:eastAsiaTheme="minorHAnsi" w:hAnsiTheme="minorBidi" w:cstheme="minorBidi"/>
                          <w:b/>
                          <w:bCs/>
                          <w:sz w:val="18"/>
                          <w:szCs w:val="18"/>
                        </w:rPr>
                        <w:t xml:space="preserve"> </w:t>
                      </w:r>
                      <w:r>
                        <w:rPr>
                          <w:rFonts w:asciiTheme="minorBidi" w:eastAsiaTheme="minorHAnsi" w:hAnsiTheme="minorBidi" w:cstheme="minorBidi"/>
                          <w:b/>
                          <w:bCs/>
                          <w:sz w:val="18"/>
                          <w:szCs w:val="18"/>
                        </w:rPr>
                        <w:t>of</w:t>
                      </w:r>
                      <w:r w:rsidR="00B42C61" w:rsidRPr="00086640">
                        <w:rPr>
                          <w:rFonts w:asciiTheme="minorBidi" w:eastAsiaTheme="minorHAnsi" w:hAnsiTheme="minorBidi" w:cstheme="minorBidi"/>
                          <w:b/>
                          <w:bCs/>
                          <w:sz w:val="18"/>
                          <w:szCs w:val="18"/>
                        </w:rPr>
                        <w:t xml:space="preserve"> initiated marketing of consumer credit</w:t>
                      </w:r>
                    </w:p>
                    <w:p w:rsidR="00931A39" w:rsidRPr="00086640" w:rsidRDefault="00931A39" w:rsidP="00931A39">
                      <w:pPr>
                        <w:rPr>
                          <w:rFonts w:asciiTheme="minorBidi" w:hAnsiTheme="minorBidi" w:cstheme="minorBidi"/>
                          <w:sz w:val="18"/>
                          <w:szCs w:val="18"/>
                        </w:rPr>
                      </w:pPr>
                    </w:p>
                  </w:txbxContent>
                </v:textbox>
                <w10:wrap type="square"/>
              </v:shape>
            </w:pict>
          </mc:Fallback>
        </mc:AlternateContent>
      </w:r>
      <w:r w:rsidR="001C5FB3" w:rsidRPr="001C5FB3">
        <w:rPr>
          <w:rFonts w:hint="cs"/>
          <w:noProof/>
          <w:sz w:val="24"/>
          <w:szCs w:val="24"/>
        </w:rPr>
        <w:drawing>
          <wp:anchor distT="0" distB="0" distL="114300" distR="114300" simplePos="0" relativeHeight="251664384" behindDoc="0" locked="0" layoutInCell="1" allowOverlap="1" wp14:anchorId="556CC2F4" wp14:editId="487FE42E">
            <wp:simplePos x="0" y="0"/>
            <wp:positionH relativeFrom="column">
              <wp:posOffset>-633095</wp:posOffset>
            </wp:positionH>
            <wp:positionV relativeFrom="paragraph">
              <wp:posOffset>868045</wp:posOffset>
            </wp:positionV>
            <wp:extent cx="3810635" cy="2823210"/>
            <wp:effectExtent l="0" t="0" r="56515" b="0"/>
            <wp:wrapSquare wrapText="bothSides"/>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1C5FB3" w:rsidRPr="001C5FB3">
        <w:rPr>
          <w:rFonts w:hint="cs"/>
          <w:noProof/>
          <w:sz w:val="24"/>
          <w:szCs w:val="24"/>
        </w:rPr>
        <w:drawing>
          <wp:anchor distT="0" distB="0" distL="114300" distR="114300" simplePos="0" relativeHeight="251665408" behindDoc="0" locked="0" layoutInCell="1" allowOverlap="1" wp14:anchorId="000AD684" wp14:editId="3AD42D24">
            <wp:simplePos x="0" y="0"/>
            <wp:positionH relativeFrom="column">
              <wp:posOffset>3096895</wp:posOffset>
            </wp:positionH>
            <wp:positionV relativeFrom="paragraph">
              <wp:posOffset>984885</wp:posOffset>
            </wp:positionV>
            <wp:extent cx="3474720" cy="2581910"/>
            <wp:effectExtent l="0" t="0" r="0" b="27940"/>
            <wp:wrapSquare wrapText="bothSides"/>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1C5FB3" w:rsidRPr="001C5FB3">
        <w:rPr>
          <w:noProof/>
          <w:sz w:val="24"/>
          <w:szCs w:val="24"/>
        </w:rPr>
        <mc:AlternateContent>
          <mc:Choice Requires="wps">
            <w:drawing>
              <wp:anchor distT="0" distB="0" distL="114300" distR="114300" simplePos="0" relativeHeight="251666432" behindDoc="0" locked="0" layoutInCell="1" allowOverlap="1" wp14:anchorId="37B65805" wp14:editId="695B7661">
                <wp:simplePos x="0" y="0"/>
                <wp:positionH relativeFrom="column">
                  <wp:posOffset>4475480</wp:posOffset>
                </wp:positionH>
                <wp:positionV relativeFrom="paragraph">
                  <wp:posOffset>417195</wp:posOffset>
                </wp:positionV>
                <wp:extent cx="793750" cy="590550"/>
                <wp:effectExtent l="0" t="0" r="0" b="0"/>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93750" cy="590550"/>
                        </a:xfrm>
                        <a:prstGeom prst="rect">
                          <a:avLst/>
                        </a:prstGeom>
                        <a:noFill/>
                        <a:ln w="9525">
                          <a:noFill/>
                          <a:miter lim="800000"/>
                          <a:headEnd/>
                          <a:tailEnd/>
                        </a:ln>
                      </wps:spPr>
                      <wps:txbx>
                        <w:txbxContent>
                          <w:p w:rsidR="001C5FB3" w:rsidRPr="00B30D44" w:rsidRDefault="001C5FB3" w:rsidP="001C5FB3">
                            <w:pPr>
                              <w:jc w:val="center"/>
                              <w:rPr>
                                <w:sz w:val="96"/>
                                <w:szCs w:val="96"/>
                                <w:rtl/>
                                <w:cs/>
                              </w:rPr>
                            </w:pPr>
                            <w:r w:rsidRPr="00B30D44">
                              <w:rPr>
                                <w:color w:val="FF0000"/>
                                <w:sz w:val="96"/>
                                <w:szCs w:val="96"/>
                              </w:rPr>
                              <w:sym w:font="Wingdings" w:char="F0F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7" type="#_x0000_t202" style="position:absolute;margin-left:352.4pt;margin-top:32.85pt;width:62.5pt;height:4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" filled="f" stroked="f">
                <v:textbox>
                  <w:txbxContent>
                    <w:p w:rsidR="001C5FB3" w:rsidRPr="00B30D44" w:rsidRDefault="001C5FB3" w:rsidP="001C5FB3">
                      <w:pPr>
                        <w:jc w:val="center"/>
                        <w:rPr>
                          <w:sz w:val="96"/>
                          <w:szCs w:val="96"/>
                          <w:rtl/>
                          <w:cs/>
                        </w:rPr>
                      </w:pPr>
                      <w:r w:rsidRPr="00B30D44">
                        <w:rPr>
                          <w:color w:val="FF0000"/>
                          <w:sz w:val="96"/>
                          <w:szCs w:val="96"/>
                        </w:rPr>
                        <w:sym w:font="Wingdings" w:char="F0FB"/>
                      </w:r>
                    </w:p>
                  </w:txbxContent>
                </v:textbox>
                <w10:wrap type="square"/>
              </v:shape>
            </w:pict>
          </mc:Fallback>
        </mc:AlternateContent>
      </w:r>
      <w:r w:rsidR="001C5FB3" w:rsidRPr="001C5FB3">
        <w:rPr>
          <w:noProof/>
          <w:sz w:val="24"/>
          <w:szCs w:val="24"/>
        </w:rPr>
        <mc:AlternateContent>
          <mc:Choice Requires="wps">
            <w:drawing>
              <wp:anchor distT="0" distB="0" distL="114300" distR="114300" simplePos="0" relativeHeight="251667456" behindDoc="0" locked="0" layoutInCell="1" allowOverlap="1" wp14:anchorId="6A2FD9A1" wp14:editId="48BCEF8C">
                <wp:simplePos x="0" y="0"/>
                <wp:positionH relativeFrom="column">
                  <wp:posOffset>949325</wp:posOffset>
                </wp:positionH>
                <wp:positionV relativeFrom="paragraph">
                  <wp:posOffset>464820</wp:posOffset>
                </wp:positionV>
                <wp:extent cx="793750" cy="700405"/>
                <wp:effectExtent l="0" t="0" r="0" b="4445"/>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93750" cy="700405"/>
                        </a:xfrm>
                        <a:prstGeom prst="rect">
                          <a:avLst/>
                        </a:prstGeom>
                        <a:noFill/>
                        <a:ln w="9525">
                          <a:noFill/>
                          <a:miter lim="800000"/>
                          <a:headEnd/>
                          <a:tailEnd/>
                        </a:ln>
                      </wps:spPr>
                      <wps:txbx>
                        <w:txbxContent>
                          <w:p w:rsidR="001C5FB3" w:rsidRPr="0027684E" w:rsidRDefault="001C5FB3" w:rsidP="001C5FB3">
                            <w:pPr>
                              <w:jc w:val="center"/>
                              <w:rPr>
                                <w:color w:val="76923C" w:themeColor="accent3" w:themeShade="BF"/>
                                <w:sz w:val="96"/>
                                <w:szCs w:val="96"/>
                                <w:rtl/>
                                <w:cs/>
                              </w:rPr>
                            </w:pPr>
                            <w:r w:rsidRPr="0027684E">
                              <w:rPr>
                                <w:color w:val="76923C" w:themeColor="accent3" w:themeShade="BF"/>
                                <w:sz w:val="96"/>
                                <w:szCs w:val="96"/>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4.75pt;margin-top:36.6pt;width:62.5pt;height:55.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" filled="f" stroked="f">
                <v:textbox>
                  <w:txbxContent>
                    <w:p w:rsidR="001C5FB3" w:rsidRPr="0027684E" w:rsidRDefault="001C5FB3" w:rsidP="001C5FB3">
                      <w:pPr>
                        <w:jc w:val="center"/>
                        <w:rPr>
                          <w:color w:val="76923C" w:themeColor="accent3" w:themeShade="BF"/>
                          <w:sz w:val="96"/>
                          <w:szCs w:val="96"/>
                          <w:rtl/>
                          <w:cs/>
                        </w:rPr>
                      </w:pPr>
                      <w:r w:rsidRPr="0027684E">
                        <w:rPr>
                          <w:color w:val="76923C" w:themeColor="accent3" w:themeShade="BF"/>
                          <w:sz w:val="96"/>
                          <w:szCs w:val="96"/>
                        </w:rPr>
                        <w:sym w:font="Wingdings" w:char="F0FC"/>
                      </w:r>
                    </w:p>
                  </w:txbxContent>
                </v:textbox>
                <w10:wrap type="square"/>
              </v:shape>
            </w:pict>
          </mc:Fallback>
        </mc:AlternateContent>
      </w:r>
    </w:p>
    <w:sectPr w:rsidR="001C5FB3" w:rsidRPr="004C2CA8" w:rsidSect="00F571FB">
      <w:footerReference w:type="default" r:id="rId21"/>
      <w:pgSz w:w="11906" w:h="16838"/>
      <w:pgMar w:top="1440" w:right="1800" w:bottom="1440" w:left="1800" w:header="397"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0D" w:rsidRDefault="0085690D" w:rsidP="00E64B36">
      <w:r>
        <w:separator/>
      </w:r>
    </w:p>
  </w:endnote>
  <w:endnote w:type="continuationSeparator" w:id="0">
    <w:p w:rsidR="0085690D" w:rsidRDefault="0085690D"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22" w:rsidRPr="00986270" w:rsidRDefault="00B96022" w:rsidP="00EB0782">
    <w:pPr>
      <w:bidi w:val="0"/>
      <w:ind w:right="-52"/>
      <w:rPr>
        <w:b/>
        <w:bCs/>
        <w:sz w:val="26"/>
        <w:szCs w:val="26"/>
        <w:u w:val="single"/>
        <w:rtl/>
        <w: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0D" w:rsidRDefault="0085690D" w:rsidP="00E64B36">
      <w:r>
        <w:separator/>
      </w:r>
    </w:p>
  </w:footnote>
  <w:footnote w:type="continuationSeparator" w:id="0">
    <w:p w:rsidR="0085690D" w:rsidRDefault="0085690D" w:rsidP="00E6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652"/>
    <w:multiLevelType w:val="hybridMultilevel"/>
    <w:tmpl w:val="E88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95663"/>
    <w:multiLevelType w:val="hybridMultilevel"/>
    <w:tmpl w:val="D0422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22071919"/>
    <w:multiLevelType w:val="hybridMultilevel"/>
    <w:tmpl w:val="088E9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25C20"/>
    <w:multiLevelType w:val="hybridMultilevel"/>
    <w:tmpl w:val="0630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C4915"/>
    <w:multiLevelType w:val="hybridMultilevel"/>
    <w:tmpl w:val="E594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91D59"/>
    <w:multiLevelType w:val="hybridMultilevel"/>
    <w:tmpl w:val="3668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E4D30"/>
    <w:multiLevelType w:val="hybridMultilevel"/>
    <w:tmpl w:val="FE5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0"/>
    <w:rsid w:val="00000A06"/>
    <w:rsid w:val="0001385E"/>
    <w:rsid w:val="0001413F"/>
    <w:rsid w:val="00022DA8"/>
    <w:rsid w:val="00027B67"/>
    <w:rsid w:val="00033569"/>
    <w:rsid w:val="000342D8"/>
    <w:rsid w:val="00051247"/>
    <w:rsid w:val="000526A0"/>
    <w:rsid w:val="00054A1E"/>
    <w:rsid w:val="0005726E"/>
    <w:rsid w:val="000739B5"/>
    <w:rsid w:val="00074C35"/>
    <w:rsid w:val="00086640"/>
    <w:rsid w:val="00086EEE"/>
    <w:rsid w:val="00091231"/>
    <w:rsid w:val="000A520E"/>
    <w:rsid w:val="000C710C"/>
    <w:rsid w:val="000D7AAE"/>
    <w:rsid w:val="000F3EBB"/>
    <w:rsid w:val="000F48F6"/>
    <w:rsid w:val="000F4BF2"/>
    <w:rsid w:val="001001A2"/>
    <w:rsid w:val="00101B55"/>
    <w:rsid w:val="00101BEB"/>
    <w:rsid w:val="00127E63"/>
    <w:rsid w:val="00130245"/>
    <w:rsid w:val="001428C4"/>
    <w:rsid w:val="00143F3A"/>
    <w:rsid w:val="00150699"/>
    <w:rsid w:val="00160B25"/>
    <w:rsid w:val="0016578C"/>
    <w:rsid w:val="001815E1"/>
    <w:rsid w:val="00182CF0"/>
    <w:rsid w:val="001B4E73"/>
    <w:rsid w:val="001C1BC1"/>
    <w:rsid w:val="001C388F"/>
    <w:rsid w:val="001C5FB3"/>
    <w:rsid w:val="001C71E8"/>
    <w:rsid w:val="001D381C"/>
    <w:rsid w:val="001F57DE"/>
    <w:rsid w:val="00202E77"/>
    <w:rsid w:val="00206C59"/>
    <w:rsid w:val="002117DC"/>
    <w:rsid w:val="0021327F"/>
    <w:rsid w:val="002349AC"/>
    <w:rsid w:val="00237CE5"/>
    <w:rsid w:val="0024355F"/>
    <w:rsid w:val="00247387"/>
    <w:rsid w:val="00252C62"/>
    <w:rsid w:val="00276CFC"/>
    <w:rsid w:val="00281C70"/>
    <w:rsid w:val="00283FB7"/>
    <w:rsid w:val="00286B17"/>
    <w:rsid w:val="00286E59"/>
    <w:rsid w:val="00297100"/>
    <w:rsid w:val="002A0D2A"/>
    <w:rsid w:val="002A4DC8"/>
    <w:rsid w:val="002B48CC"/>
    <w:rsid w:val="002B6BF1"/>
    <w:rsid w:val="002C0690"/>
    <w:rsid w:val="002F2DC3"/>
    <w:rsid w:val="002F69D1"/>
    <w:rsid w:val="002F7EBA"/>
    <w:rsid w:val="002F7EEF"/>
    <w:rsid w:val="0030279B"/>
    <w:rsid w:val="003129D6"/>
    <w:rsid w:val="003136EE"/>
    <w:rsid w:val="00324C8A"/>
    <w:rsid w:val="00326ECD"/>
    <w:rsid w:val="00344E60"/>
    <w:rsid w:val="00360B5C"/>
    <w:rsid w:val="00364C08"/>
    <w:rsid w:val="0037177F"/>
    <w:rsid w:val="003727EE"/>
    <w:rsid w:val="003772AF"/>
    <w:rsid w:val="00385CB3"/>
    <w:rsid w:val="00387840"/>
    <w:rsid w:val="0039059D"/>
    <w:rsid w:val="00390CA5"/>
    <w:rsid w:val="003A19A9"/>
    <w:rsid w:val="003A335C"/>
    <w:rsid w:val="003A3813"/>
    <w:rsid w:val="003B14CF"/>
    <w:rsid w:val="003B715F"/>
    <w:rsid w:val="003B7DC3"/>
    <w:rsid w:val="003C7815"/>
    <w:rsid w:val="003D28A1"/>
    <w:rsid w:val="003D6F31"/>
    <w:rsid w:val="003D7860"/>
    <w:rsid w:val="003E3F4C"/>
    <w:rsid w:val="003F0871"/>
    <w:rsid w:val="003F615D"/>
    <w:rsid w:val="003F690A"/>
    <w:rsid w:val="00403D99"/>
    <w:rsid w:val="00411BA4"/>
    <w:rsid w:val="00412846"/>
    <w:rsid w:val="004147FC"/>
    <w:rsid w:val="00420F42"/>
    <w:rsid w:val="004213D4"/>
    <w:rsid w:val="00430365"/>
    <w:rsid w:val="00445B15"/>
    <w:rsid w:val="00447E5A"/>
    <w:rsid w:val="00450DB8"/>
    <w:rsid w:val="004628D3"/>
    <w:rsid w:val="0046455D"/>
    <w:rsid w:val="00474107"/>
    <w:rsid w:val="00481799"/>
    <w:rsid w:val="00482E08"/>
    <w:rsid w:val="00492391"/>
    <w:rsid w:val="004A20A5"/>
    <w:rsid w:val="004A4867"/>
    <w:rsid w:val="004B75A7"/>
    <w:rsid w:val="004C2CA8"/>
    <w:rsid w:val="004D32A7"/>
    <w:rsid w:val="004D5D6F"/>
    <w:rsid w:val="004E1B13"/>
    <w:rsid w:val="004E21FB"/>
    <w:rsid w:val="004E25DD"/>
    <w:rsid w:val="004E4AEC"/>
    <w:rsid w:val="0050183E"/>
    <w:rsid w:val="00506AAF"/>
    <w:rsid w:val="005221FC"/>
    <w:rsid w:val="005406F8"/>
    <w:rsid w:val="00540B03"/>
    <w:rsid w:val="005462D0"/>
    <w:rsid w:val="005522D4"/>
    <w:rsid w:val="00555C8A"/>
    <w:rsid w:val="005576E1"/>
    <w:rsid w:val="00567013"/>
    <w:rsid w:val="005713A8"/>
    <w:rsid w:val="00583DAD"/>
    <w:rsid w:val="00585F30"/>
    <w:rsid w:val="0059277F"/>
    <w:rsid w:val="00596FB4"/>
    <w:rsid w:val="00597EED"/>
    <w:rsid w:val="005D0AF8"/>
    <w:rsid w:val="005F3E47"/>
    <w:rsid w:val="0060215A"/>
    <w:rsid w:val="0061226F"/>
    <w:rsid w:val="00612465"/>
    <w:rsid w:val="00616381"/>
    <w:rsid w:val="0061692C"/>
    <w:rsid w:val="006216F9"/>
    <w:rsid w:val="00621BB5"/>
    <w:rsid w:val="0062658F"/>
    <w:rsid w:val="0062799D"/>
    <w:rsid w:val="00640EEA"/>
    <w:rsid w:val="0064318B"/>
    <w:rsid w:val="00652D53"/>
    <w:rsid w:val="00662FB1"/>
    <w:rsid w:val="0067516F"/>
    <w:rsid w:val="006930C7"/>
    <w:rsid w:val="006A66C5"/>
    <w:rsid w:val="006B4683"/>
    <w:rsid w:val="006B679C"/>
    <w:rsid w:val="006D3582"/>
    <w:rsid w:val="006E1B6A"/>
    <w:rsid w:val="0070010B"/>
    <w:rsid w:val="00701734"/>
    <w:rsid w:val="00721560"/>
    <w:rsid w:val="00726036"/>
    <w:rsid w:val="00732EE0"/>
    <w:rsid w:val="00737696"/>
    <w:rsid w:val="0074341E"/>
    <w:rsid w:val="00751F08"/>
    <w:rsid w:val="007568E4"/>
    <w:rsid w:val="007666A8"/>
    <w:rsid w:val="00775E65"/>
    <w:rsid w:val="00785B7F"/>
    <w:rsid w:val="00793399"/>
    <w:rsid w:val="007B2769"/>
    <w:rsid w:val="007B5CA8"/>
    <w:rsid w:val="007C57E4"/>
    <w:rsid w:val="007C6400"/>
    <w:rsid w:val="007D57EE"/>
    <w:rsid w:val="007E1CB3"/>
    <w:rsid w:val="007F7993"/>
    <w:rsid w:val="008022A0"/>
    <w:rsid w:val="00807C6E"/>
    <w:rsid w:val="0081026B"/>
    <w:rsid w:val="0081387D"/>
    <w:rsid w:val="008249F7"/>
    <w:rsid w:val="00825ECA"/>
    <w:rsid w:val="008403F1"/>
    <w:rsid w:val="00842057"/>
    <w:rsid w:val="00842BAF"/>
    <w:rsid w:val="00847C68"/>
    <w:rsid w:val="0085690D"/>
    <w:rsid w:val="0086005B"/>
    <w:rsid w:val="00864C55"/>
    <w:rsid w:val="008753CC"/>
    <w:rsid w:val="00883627"/>
    <w:rsid w:val="00884167"/>
    <w:rsid w:val="00885D3E"/>
    <w:rsid w:val="008A3DAE"/>
    <w:rsid w:val="008A7212"/>
    <w:rsid w:val="008B257A"/>
    <w:rsid w:val="008C366C"/>
    <w:rsid w:val="008D390B"/>
    <w:rsid w:val="008D6FB6"/>
    <w:rsid w:val="008E1E83"/>
    <w:rsid w:val="008E2F2C"/>
    <w:rsid w:val="008E4D8E"/>
    <w:rsid w:val="008F1FCF"/>
    <w:rsid w:val="008F2531"/>
    <w:rsid w:val="00900D7F"/>
    <w:rsid w:val="00903B5D"/>
    <w:rsid w:val="00904EF2"/>
    <w:rsid w:val="00905463"/>
    <w:rsid w:val="009119AD"/>
    <w:rsid w:val="0091307F"/>
    <w:rsid w:val="0091629C"/>
    <w:rsid w:val="00917577"/>
    <w:rsid w:val="00921BD8"/>
    <w:rsid w:val="00931A39"/>
    <w:rsid w:val="00933078"/>
    <w:rsid w:val="00933EF4"/>
    <w:rsid w:val="0093574D"/>
    <w:rsid w:val="0094297B"/>
    <w:rsid w:val="0094439A"/>
    <w:rsid w:val="0094738B"/>
    <w:rsid w:val="00955A7F"/>
    <w:rsid w:val="00961BD6"/>
    <w:rsid w:val="0097278E"/>
    <w:rsid w:val="009744A0"/>
    <w:rsid w:val="00976781"/>
    <w:rsid w:val="00986270"/>
    <w:rsid w:val="00990750"/>
    <w:rsid w:val="009B66C8"/>
    <w:rsid w:val="009C21B3"/>
    <w:rsid w:val="009C2C42"/>
    <w:rsid w:val="009E3D4E"/>
    <w:rsid w:val="009E5783"/>
    <w:rsid w:val="009E6A28"/>
    <w:rsid w:val="00A117D2"/>
    <w:rsid w:val="00A239A7"/>
    <w:rsid w:val="00A36C7F"/>
    <w:rsid w:val="00A37869"/>
    <w:rsid w:val="00A44A88"/>
    <w:rsid w:val="00A72122"/>
    <w:rsid w:val="00A74752"/>
    <w:rsid w:val="00A749E1"/>
    <w:rsid w:val="00A81B6C"/>
    <w:rsid w:val="00A94775"/>
    <w:rsid w:val="00A96F72"/>
    <w:rsid w:val="00AA7ADC"/>
    <w:rsid w:val="00AB75B4"/>
    <w:rsid w:val="00AC0FB3"/>
    <w:rsid w:val="00AD7CC8"/>
    <w:rsid w:val="00AE6E25"/>
    <w:rsid w:val="00AF6B3A"/>
    <w:rsid w:val="00B108AE"/>
    <w:rsid w:val="00B13084"/>
    <w:rsid w:val="00B13C9D"/>
    <w:rsid w:val="00B2426C"/>
    <w:rsid w:val="00B25050"/>
    <w:rsid w:val="00B40E49"/>
    <w:rsid w:val="00B42C61"/>
    <w:rsid w:val="00B84789"/>
    <w:rsid w:val="00B85769"/>
    <w:rsid w:val="00B87F00"/>
    <w:rsid w:val="00B96022"/>
    <w:rsid w:val="00BB5B81"/>
    <w:rsid w:val="00BC2D14"/>
    <w:rsid w:val="00BC71FF"/>
    <w:rsid w:val="00BD0FFD"/>
    <w:rsid w:val="00BD2C63"/>
    <w:rsid w:val="00BE27B4"/>
    <w:rsid w:val="00BE4CAF"/>
    <w:rsid w:val="00BE52BF"/>
    <w:rsid w:val="00C00BB8"/>
    <w:rsid w:val="00C01329"/>
    <w:rsid w:val="00C02233"/>
    <w:rsid w:val="00C03E78"/>
    <w:rsid w:val="00C05BED"/>
    <w:rsid w:val="00C106C2"/>
    <w:rsid w:val="00C15121"/>
    <w:rsid w:val="00C171FF"/>
    <w:rsid w:val="00C21009"/>
    <w:rsid w:val="00C21363"/>
    <w:rsid w:val="00C3467F"/>
    <w:rsid w:val="00C37129"/>
    <w:rsid w:val="00C4612A"/>
    <w:rsid w:val="00C47A56"/>
    <w:rsid w:val="00C52FC2"/>
    <w:rsid w:val="00C67CE0"/>
    <w:rsid w:val="00C74F11"/>
    <w:rsid w:val="00C76E10"/>
    <w:rsid w:val="00C95BB7"/>
    <w:rsid w:val="00CB5D78"/>
    <w:rsid w:val="00CC58F8"/>
    <w:rsid w:val="00CD0A35"/>
    <w:rsid w:val="00CD5F91"/>
    <w:rsid w:val="00CE0B40"/>
    <w:rsid w:val="00D04F5C"/>
    <w:rsid w:val="00D114C9"/>
    <w:rsid w:val="00D21685"/>
    <w:rsid w:val="00D326DC"/>
    <w:rsid w:val="00D354E8"/>
    <w:rsid w:val="00D44122"/>
    <w:rsid w:val="00D554DA"/>
    <w:rsid w:val="00D60BFC"/>
    <w:rsid w:val="00D60FF3"/>
    <w:rsid w:val="00D655F5"/>
    <w:rsid w:val="00D67C46"/>
    <w:rsid w:val="00D70591"/>
    <w:rsid w:val="00D71C05"/>
    <w:rsid w:val="00D74A77"/>
    <w:rsid w:val="00D907A2"/>
    <w:rsid w:val="00DA6116"/>
    <w:rsid w:val="00DC7964"/>
    <w:rsid w:val="00DD4C8E"/>
    <w:rsid w:val="00DE01A0"/>
    <w:rsid w:val="00DE0699"/>
    <w:rsid w:val="00DE1A08"/>
    <w:rsid w:val="00DE450D"/>
    <w:rsid w:val="00DE5ED4"/>
    <w:rsid w:val="00DF4CC2"/>
    <w:rsid w:val="00DF6966"/>
    <w:rsid w:val="00E03626"/>
    <w:rsid w:val="00E04222"/>
    <w:rsid w:val="00E1281F"/>
    <w:rsid w:val="00E2493A"/>
    <w:rsid w:val="00E369B9"/>
    <w:rsid w:val="00E42F1A"/>
    <w:rsid w:val="00E51677"/>
    <w:rsid w:val="00E64B36"/>
    <w:rsid w:val="00E660F1"/>
    <w:rsid w:val="00E7204F"/>
    <w:rsid w:val="00E8008F"/>
    <w:rsid w:val="00E85DB1"/>
    <w:rsid w:val="00E92BC1"/>
    <w:rsid w:val="00EB0782"/>
    <w:rsid w:val="00EB0DEC"/>
    <w:rsid w:val="00EB44F5"/>
    <w:rsid w:val="00EB669A"/>
    <w:rsid w:val="00EC10B8"/>
    <w:rsid w:val="00EC13FB"/>
    <w:rsid w:val="00EC48D4"/>
    <w:rsid w:val="00ED5226"/>
    <w:rsid w:val="00ED7021"/>
    <w:rsid w:val="00EE2AA0"/>
    <w:rsid w:val="00EE3596"/>
    <w:rsid w:val="00EF1554"/>
    <w:rsid w:val="00EF1AC2"/>
    <w:rsid w:val="00EF1DA9"/>
    <w:rsid w:val="00F124F7"/>
    <w:rsid w:val="00F14A71"/>
    <w:rsid w:val="00F15E93"/>
    <w:rsid w:val="00F45972"/>
    <w:rsid w:val="00F53236"/>
    <w:rsid w:val="00F56917"/>
    <w:rsid w:val="00F571FB"/>
    <w:rsid w:val="00F576F6"/>
    <w:rsid w:val="00F613F1"/>
    <w:rsid w:val="00F806F6"/>
    <w:rsid w:val="00F9643A"/>
    <w:rsid w:val="00FA13BA"/>
    <w:rsid w:val="00FA4548"/>
    <w:rsid w:val="00FC0B9F"/>
    <w:rsid w:val="00FC12AC"/>
    <w:rsid w:val="00FC2A67"/>
    <w:rsid w:val="00FE1586"/>
    <w:rsid w:val="00FE6D3F"/>
    <w:rsid w:val="00FF2270"/>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link w:val="regparChar"/>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LetterheadBOI">
    <w:name w:val="Letterhead BOI"/>
    <w:basedOn w:val="regpar"/>
    <w:link w:val="LetterheadBOIChar"/>
    <w:qFormat/>
    <w:rsid w:val="0094738B"/>
    <w:pPr>
      <w:spacing w:line="300" w:lineRule="atLeast"/>
      <w:ind w:firstLine="0"/>
      <w:jc w:val="center"/>
    </w:pPr>
    <w:rPr>
      <w:rFonts w:ascii="Times New Roman" w:hAnsi="Times New Roman" w:cs="David"/>
      <w:b/>
    </w:rPr>
  </w:style>
  <w:style w:type="paragraph" w:customStyle="1" w:styleId="Letterhead2">
    <w:name w:val="Letterhead 2"/>
    <w:basedOn w:val="regpar"/>
    <w:link w:val="Letterhead2Char"/>
    <w:qFormat/>
    <w:rsid w:val="0094738B"/>
    <w:pPr>
      <w:spacing w:line="300" w:lineRule="atLeast"/>
      <w:ind w:firstLine="0"/>
      <w:jc w:val="center"/>
    </w:pPr>
    <w:rPr>
      <w:rFonts w:ascii="Times New Roman" w:hAnsi="Times New Roman" w:cs="Times New Roman"/>
      <w:sz w:val="26"/>
      <w:szCs w:val="26"/>
    </w:rPr>
  </w:style>
  <w:style w:type="character" w:customStyle="1" w:styleId="regparChar">
    <w:name w:val="regpar Char"/>
    <w:basedOn w:val="a0"/>
    <w:link w:val="regpar"/>
    <w:rsid w:val="0094738B"/>
    <w:rPr>
      <w:rFonts w:ascii="Times" w:hAnsi="Times" w:cs="Times"/>
      <w:sz w:val="24"/>
      <w:szCs w:val="24"/>
    </w:rPr>
  </w:style>
  <w:style w:type="character" w:customStyle="1" w:styleId="LetterheadBOIChar">
    <w:name w:val="Letterhead BOI Char"/>
    <w:basedOn w:val="regparChar"/>
    <w:link w:val="LetterheadBOI"/>
    <w:rsid w:val="0094738B"/>
    <w:rPr>
      <w:rFonts w:ascii="Times" w:hAnsi="Times" w:cs="David"/>
      <w:b/>
      <w:sz w:val="24"/>
      <w:szCs w:val="24"/>
    </w:rPr>
  </w:style>
  <w:style w:type="paragraph" w:customStyle="1" w:styleId="PressReleaseTitle">
    <w:name w:val="Press Release Title"/>
    <w:basedOn w:val="a"/>
    <w:link w:val="PressReleaseTitleChar"/>
    <w:qFormat/>
    <w:rsid w:val="0094738B"/>
    <w:pPr>
      <w:tabs>
        <w:tab w:val="center" w:pos="4156"/>
        <w:tab w:val="right" w:pos="8312"/>
      </w:tabs>
      <w:bidi w:val="0"/>
      <w:jc w:val="center"/>
    </w:pPr>
    <w:rPr>
      <w:rFonts w:cs="David"/>
      <w:b/>
      <w:bCs/>
      <w:sz w:val="26"/>
      <w:szCs w:val="26"/>
    </w:rPr>
  </w:style>
  <w:style w:type="character" w:customStyle="1" w:styleId="Letterhead2Char">
    <w:name w:val="Letterhead 2 Char"/>
    <w:basedOn w:val="regparChar"/>
    <w:link w:val="Letterhead2"/>
    <w:rsid w:val="0094738B"/>
    <w:rPr>
      <w:rFonts w:ascii="Times" w:hAnsi="Times" w:cs="Times"/>
      <w:sz w:val="26"/>
      <w:szCs w:val="26"/>
    </w:rPr>
  </w:style>
  <w:style w:type="paragraph" w:customStyle="1" w:styleId="Pressreleaseheading2">
    <w:name w:val="Press release heading 2"/>
    <w:basedOn w:val="PressReleaseTitle"/>
    <w:link w:val="Pressreleaseheading2Char"/>
    <w:qFormat/>
    <w:rsid w:val="0094738B"/>
    <w:rPr>
      <w:b w:val="0"/>
      <w:bCs w:val="0"/>
    </w:rPr>
  </w:style>
  <w:style w:type="character" w:customStyle="1" w:styleId="PressReleaseTitleChar">
    <w:name w:val="Press Release Title Char"/>
    <w:basedOn w:val="a0"/>
    <w:link w:val="PressReleaseTitle"/>
    <w:rsid w:val="0094738B"/>
    <w:rPr>
      <w:rFonts w:cs="David"/>
      <w:b/>
      <w:bCs/>
      <w:sz w:val="26"/>
      <w:szCs w:val="26"/>
    </w:rPr>
  </w:style>
  <w:style w:type="character" w:customStyle="1" w:styleId="Pressreleaseheading2Char">
    <w:name w:val="Press release heading 2 Char"/>
    <w:basedOn w:val="PressReleaseTitleChar"/>
    <w:link w:val="Pressreleaseheading2"/>
    <w:rsid w:val="0094738B"/>
    <w:rPr>
      <w:rFonts w:cs="David"/>
      <w:b w:val="0"/>
      <w:bCs w:val="0"/>
      <w:sz w:val="26"/>
      <w:szCs w:val="26"/>
    </w:rPr>
  </w:style>
  <w:style w:type="paragraph" w:styleId="NormalWeb">
    <w:name w:val="Normal (Web)"/>
    <w:basedOn w:val="a"/>
    <w:uiPriority w:val="99"/>
    <w:unhideWhenUsed/>
    <w:rsid w:val="00FC0B9F"/>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link w:val="regparChar"/>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LetterheadBOI">
    <w:name w:val="Letterhead BOI"/>
    <w:basedOn w:val="regpar"/>
    <w:link w:val="LetterheadBOIChar"/>
    <w:qFormat/>
    <w:rsid w:val="0094738B"/>
    <w:pPr>
      <w:spacing w:line="300" w:lineRule="atLeast"/>
      <w:ind w:firstLine="0"/>
      <w:jc w:val="center"/>
    </w:pPr>
    <w:rPr>
      <w:rFonts w:ascii="Times New Roman" w:hAnsi="Times New Roman" w:cs="David"/>
      <w:b/>
    </w:rPr>
  </w:style>
  <w:style w:type="paragraph" w:customStyle="1" w:styleId="Letterhead2">
    <w:name w:val="Letterhead 2"/>
    <w:basedOn w:val="regpar"/>
    <w:link w:val="Letterhead2Char"/>
    <w:qFormat/>
    <w:rsid w:val="0094738B"/>
    <w:pPr>
      <w:spacing w:line="300" w:lineRule="atLeast"/>
      <w:ind w:firstLine="0"/>
      <w:jc w:val="center"/>
    </w:pPr>
    <w:rPr>
      <w:rFonts w:ascii="Times New Roman" w:hAnsi="Times New Roman" w:cs="Times New Roman"/>
      <w:sz w:val="26"/>
      <w:szCs w:val="26"/>
    </w:rPr>
  </w:style>
  <w:style w:type="character" w:customStyle="1" w:styleId="regparChar">
    <w:name w:val="regpar Char"/>
    <w:basedOn w:val="a0"/>
    <w:link w:val="regpar"/>
    <w:rsid w:val="0094738B"/>
    <w:rPr>
      <w:rFonts w:ascii="Times" w:hAnsi="Times" w:cs="Times"/>
      <w:sz w:val="24"/>
      <w:szCs w:val="24"/>
    </w:rPr>
  </w:style>
  <w:style w:type="character" w:customStyle="1" w:styleId="LetterheadBOIChar">
    <w:name w:val="Letterhead BOI Char"/>
    <w:basedOn w:val="regparChar"/>
    <w:link w:val="LetterheadBOI"/>
    <w:rsid w:val="0094738B"/>
    <w:rPr>
      <w:rFonts w:ascii="Times" w:hAnsi="Times" w:cs="David"/>
      <w:b/>
      <w:sz w:val="24"/>
      <w:szCs w:val="24"/>
    </w:rPr>
  </w:style>
  <w:style w:type="paragraph" w:customStyle="1" w:styleId="PressReleaseTitle">
    <w:name w:val="Press Release Title"/>
    <w:basedOn w:val="a"/>
    <w:link w:val="PressReleaseTitleChar"/>
    <w:qFormat/>
    <w:rsid w:val="0094738B"/>
    <w:pPr>
      <w:tabs>
        <w:tab w:val="center" w:pos="4156"/>
        <w:tab w:val="right" w:pos="8312"/>
      </w:tabs>
      <w:bidi w:val="0"/>
      <w:jc w:val="center"/>
    </w:pPr>
    <w:rPr>
      <w:rFonts w:cs="David"/>
      <w:b/>
      <w:bCs/>
      <w:sz w:val="26"/>
      <w:szCs w:val="26"/>
    </w:rPr>
  </w:style>
  <w:style w:type="character" w:customStyle="1" w:styleId="Letterhead2Char">
    <w:name w:val="Letterhead 2 Char"/>
    <w:basedOn w:val="regparChar"/>
    <w:link w:val="Letterhead2"/>
    <w:rsid w:val="0094738B"/>
    <w:rPr>
      <w:rFonts w:ascii="Times" w:hAnsi="Times" w:cs="Times"/>
      <w:sz w:val="26"/>
      <w:szCs w:val="26"/>
    </w:rPr>
  </w:style>
  <w:style w:type="paragraph" w:customStyle="1" w:styleId="Pressreleaseheading2">
    <w:name w:val="Press release heading 2"/>
    <w:basedOn w:val="PressReleaseTitle"/>
    <w:link w:val="Pressreleaseheading2Char"/>
    <w:qFormat/>
    <w:rsid w:val="0094738B"/>
    <w:rPr>
      <w:b w:val="0"/>
      <w:bCs w:val="0"/>
    </w:rPr>
  </w:style>
  <w:style w:type="character" w:customStyle="1" w:styleId="PressReleaseTitleChar">
    <w:name w:val="Press Release Title Char"/>
    <w:basedOn w:val="a0"/>
    <w:link w:val="PressReleaseTitle"/>
    <w:rsid w:val="0094738B"/>
    <w:rPr>
      <w:rFonts w:cs="David"/>
      <w:b/>
      <w:bCs/>
      <w:sz w:val="26"/>
      <w:szCs w:val="26"/>
    </w:rPr>
  </w:style>
  <w:style w:type="character" w:customStyle="1" w:styleId="Pressreleaseheading2Char">
    <w:name w:val="Press release heading 2 Char"/>
    <w:basedOn w:val="PressReleaseTitleChar"/>
    <w:link w:val="Pressreleaseheading2"/>
    <w:rsid w:val="0094738B"/>
    <w:rPr>
      <w:rFonts w:cs="David"/>
      <w:b w:val="0"/>
      <w:bCs w:val="0"/>
      <w:sz w:val="26"/>
      <w:szCs w:val="26"/>
    </w:rPr>
  </w:style>
  <w:style w:type="paragraph" w:styleId="NormalWeb">
    <w:name w:val="Normal (Web)"/>
    <w:basedOn w:val="a"/>
    <w:uiPriority w:val="99"/>
    <w:unhideWhenUsed/>
    <w:rsid w:val="00FC0B9F"/>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 w:id="19982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ustomXml" Target="../customXml/item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273394109017415E-2"/>
          <c:y val="0.23982648002333043"/>
          <c:w val="0.87899737678673906"/>
          <c:h val="0.55091531426048357"/>
        </c:manualLayout>
      </c:layout>
      <c:barChart>
        <c:barDir val="col"/>
        <c:grouping val="clustered"/>
        <c:varyColors val="0"/>
        <c:ser>
          <c:idx val="1"/>
          <c:order val="0"/>
          <c:tx>
            <c:strRef>
              <c:f>גיליון1!$J$10</c:f>
              <c:strCache>
                <c:ptCount val="1"/>
                <c:pt idx="0">
                  <c:v>אחוזים</c:v>
                </c:pt>
              </c:strCache>
            </c:strRef>
          </c:tx>
          <c:spPr>
            <a:solidFill>
              <a:schemeClr val="accent3">
                <a:lumMod val="60000"/>
                <a:lumOff val="40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גיליון1!$I$11:$I$15</c:f>
              <c:strCache>
                <c:ptCount val="5"/>
                <c:pt idx="0">
                  <c:v>2014</c:v>
                </c:pt>
                <c:pt idx="1">
                  <c:v>2015</c:v>
                </c:pt>
                <c:pt idx="2">
                  <c:v>2016</c:v>
                </c:pt>
                <c:pt idx="3">
                  <c:v>2017</c:v>
                </c:pt>
                <c:pt idx="4">
                  <c:v>09-2018</c:v>
                </c:pt>
              </c:strCache>
            </c:strRef>
          </c:cat>
          <c:val>
            <c:numRef>
              <c:f>גיליון1!$J$11:$J$15</c:f>
              <c:numCache>
                <c:formatCode>0.0</c:formatCode>
                <c:ptCount val="5"/>
                <c:pt idx="0">
                  <c:v>9</c:v>
                </c:pt>
                <c:pt idx="1">
                  <c:v>8.1</c:v>
                </c:pt>
                <c:pt idx="2">
                  <c:v>6.1</c:v>
                </c:pt>
                <c:pt idx="3">
                  <c:v>2.9</c:v>
                </c:pt>
                <c:pt idx="4">
                  <c:v>1.2</c:v>
                </c:pt>
              </c:numCache>
            </c:numRef>
          </c:val>
          <c:extLst xmlns:c16r2="http://schemas.microsoft.com/office/drawing/2015/06/chart">
            <c:ext xmlns:c16="http://schemas.microsoft.com/office/drawing/2014/chart" uri="{C3380CC4-5D6E-409C-BE32-E72D297353CC}">
              <c16:uniqueId val="{00000000-AA7B-48A0-99F9-AE303E09C81D}"/>
            </c:ext>
          </c:extLst>
        </c:ser>
        <c:dLbls>
          <c:dLblPos val="outEnd"/>
          <c:showLegendKey val="0"/>
          <c:showVal val="1"/>
          <c:showCatName val="0"/>
          <c:showSerName val="0"/>
          <c:showPercent val="0"/>
          <c:showBubbleSize val="0"/>
        </c:dLbls>
        <c:gapWidth val="122"/>
        <c:axId val="85782528"/>
        <c:axId val="85785216"/>
      </c:barChart>
      <c:catAx>
        <c:axId val="85782528"/>
        <c:scaling>
          <c:orientation val="minMax"/>
        </c:scaling>
        <c:delete val="0"/>
        <c:axPos val="b"/>
        <c:numFmt formatCode="General" sourceLinked="1"/>
        <c:majorTickMark val="out"/>
        <c:minorTickMark val="none"/>
        <c:tickLblPos val="nextTo"/>
        <c:txPr>
          <a:bodyPr/>
          <a:lstStyle/>
          <a:p>
            <a:pPr>
              <a:defRPr sz="900"/>
            </a:pPr>
            <a:endParaRPr lang="he-IL"/>
          </a:p>
        </c:txPr>
        <c:crossAx val="85785216"/>
        <c:crossesAt val="0"/>
        <c:auto val="1"/>
        <c:lblAlgn val="ctr"/>
        <c:lblOffset val="100"/>
        <c:noMultiLvlLbl val="0"/>
      </c:catAx>
      <c:valAx>
        <c:axId val="85785216"/>
        <c:scaling>
          <c:orientation val="minMax"/>
        </c:scaling>
        <c:delete val="0"/>
        <c:axPos val="l"/>
        <c:majorGridlines>
          <c:spPr>
            <a:ln>
              <a:noFill/>
            </a:ln>
          </c:spPr>
        </c:majorGridlines>
        <c:numFmt formatCode="General" sourceLinked="0"/>
        <c:majorTickMark val="out"/>
        <c:minorTickMark val="none"/>
        <c:tickLblPos val="nextTo"/>
        <c:txPr>
          <a:bodyPr/>
          <a:lstStyle/>
          <a:p>
            <a:pPr>
              <a:defRPr sz="900"/>
            </a:pPr>
            <a:endParaRPr lang="he-IL"/>
          </a:p>
        </c:txPr>
        <c:crossAx val="85782528"/>
        <c:crosses val="autoZero"/>
        <c:crossBetween val="between"/>
      </c:valAx>
      <c:spPr>
        <a:noFill/>
      </c:spPr>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he-IL"/>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9184F-F162-4E09-B548-CDA4BC19FB3D}" type="doc">
      <dgm:prSet loTypeId="urn:microsoft.com/office/officeart/2005/8/layout/default" loCatId="list" qsTypeId="urn:microsoft.com/office/officeart/2005/8/quickstyle/simple1" qsCatId="simple" csTypeId="urn:microsoft.com/office/officeart/2005/8/colors/accent3_1" csCatId="accent3" phldr="1"/>
      <dgm:spPr/>
      <dgm:t>
        <a:bodyPr/>
        <a:lstStyle/>
        <a:p>
          <a:pPr rtl="1"/>
          <a:endParaRPr lang="he-IL"/>
        </a:p>
      </dgm:t>
    </dgm:pt>
    <dgm:pt modelId="{4721EF26-1039-40CB-B677-00A0440FE19D}">
      <dgm:prSet custT="1"/>
      <dgm:spPr/>
      <dgm:t>
        <a:bodyPr/>
        <a:lstStyle/>
        <a:p>
          <a:pPr rtl="0"/>
          <a:r>
            <a:rPr lang="en-US" sz="900">
              <a:latin typeface="Times New Roman" panose="02020603050405020304" pitchFamily="18" charset="0"/>
              <a:cs typeface="Times New Roman" panose="02020603050405020304" pitchFamily="18" charset="0"/>
            </a:rPr>
            <a:t>Adapting the credit solution to the customer's needs</a:t>
          </a:r>
          <a:endParaRPr lang="he-IL" sz="900">
            <a:latin typeface="Times New Roman" panose="02020603050405020304" pitchFamily="18" charset="0"/>
            <a:cs typeface="Times New Roman" panose="02020603050405020304" pitchFamily="18" charset="0"/>
          </a:endParaRPr>
        </a:p>
      </dgm:t>
    </dgm:pt>
    <dgm:pt modelId="{E56E0C83-86FF-47E7-9900-E297AC9491B9}" type="parTrans" cxnId="{8A0715B7-7531-45EC-8365-B02A83F8F3EC}">
      <dgm:prSet/>
      <dgm:spPr/>
      <dgm:t>
        <a:bodyPr/>
        <a:lstStyle/>
        <a:p>
          <a:pPr rtl="0"/>
          <a:endParaRPr lang="he-IL" sz="900">
            <a:cs typeface="+mj-cs"/>
          </a:endParaRPr>
        </a:p>
      </dgm:t>
    </dgm:pt>
    <dgm:pt modelId="{ABA2B634-D993-4797-A153-D2EF423B4EDA}" type="sibTrans" cxnId="{8A0715B7-7531-45EC-8365-B02A83F8F3EC}">
      <dgm:prSet/>
      <dgm:spPr/>
      <dgm:t>
        <a:bodyPr/>
        <a:lstStyle/>
        <a:p>
          <a:pPr rtl="0"/>
          <a:endParaRPr lang="he-IL" sz="900">
            <a:cs typeface="+mj-cs"/>
          </a:endParaRPr>
        </a:p>
      </dgm:t>
    </dgm:pt>
    <dgm:pt modelId="{39A0EC89-50C2-40BB-8410-8F3C6B50F425}">
      <dgm:prSet custT="1"/>
      <dgm:spPr/>
      <dgm:t>
        <a:bodyPr/>
        <a:lstStyle/>
        <a:p>
          <a:pPr rtl="0"/>
          <a:r>
            <a:rPr lang="en-US" sz="900">
              <a:latin typeface="Times New Roman" panose="02020603050405020304" pitchFamily="18" charset="0"/>
              <a:cs typeface="Times New Roman" panose="02020603050405020304" pitchFamily="18" charset="0"/>
            </a:rPr>
            <a:t>Drawing the customer's attention to the benefits for which he is eligible</a:t>
          </a:r>
          <a:endParaRPr lang="he-IL" sz="900">
            <a:latin typeface="Times New Roman" panose="02020603050405020304" pitchFamily="18" charset="0"/>
            <a:cs typeface="Times New Roman" panose="02020603050405020304" pitchFamily="18" charset="0"/>
          </a:endParaRPr>
        </a:p>
      </dgm:t>
    </dgm:pt>
    <dgm:pt modelId="{9863E8EB-93DE-4E1B-9A57-60926F4C8B10}" type="parTrans" cxnId="{458919AF-4AB7-45E7-BE86-9494130E318E}">
      <dgm:prSet/>
      <dgm:spPr/>
      <dgm:t>
        <a:bodyPr/>
        <a:lstStyle/>
        <a:p>
          <a:pPr rtl="0"/>
          <a:endParaRPr lang="he-IL" sz="900">
            <a:cs typeface="+mj-cs"/>
          </a:endParaRPr>
        </a:p>
      </dgm:t>
    </dgm:pt>
    <dgm:pt modelId="{3E67A19C-EAE9-4E06-B66C-31F1FA658E95}" type="sibTrans" cxnId="{458919AF-4AB7-45E7-BE86-9494130E318E}">
      <dgm:prSet/>
      <dgm:spPr/>
      <dgm:t>
        <a:bodyPr/>
        <a:lstStyle/>
        <a:p>
          <a:pPr rtl="0"/>
          <a:endParaRPr lang="he-IL" sz="900">
            <a:cs typeface="+mj-cs"/>
          </a:endParaRPr>
        </a:p>
      </dgm:t>
    </dgm:pt>
    <dgm:pt modelId="{B7AB6A6B-BB31-43E3-B3DE-B9D8055A3BD2}">
      <dgm:prSet custT="1"/>
      <dgm:spPr/>
      <dgm:t>
        <a:bodyPr/>
        <a:lstStyle/>
        <a:p>
          <a:pPr rtl="0"/>
          <a:r>
            <a:rPr lang="en-US" sz="850">
              <a:latin typeface="David" panose="020E0502060401010101" pitchFamily="34" charset="-79"/>
              <a:cs typeface="+mj-cs"/>
            </a:rPr>
            <a:t>Drawing the </a:t>
          </a:r>
          <a:r>
            <a:rPr lang="en-US" sz="850">
              <a:latin typeface="Times New Roman" panose="02020603050405020304" pitchFamily="18" charset="0"/>
              <a:cs typeface="Times New Roman" panose="02020603050405020304" pitchFamily="18" charset="0"/>
            </a:rPr>
            <a:t>customer's</a:t>
          </a:r>
          <a:r>
            <a:rPr lang="en-US" sz="850">
              <a:latin typeface="David" panose="020E0502060401010101" pitchFamily="34" charset="-79"/>
              <a:cs typeface="+mj-cs"/>
            </a:rPr>
            <a:t> attention to positive balances and deposits, and to the differences between the return on them and the interest on credit</a:t>
          </a:r>
          <a:endParaRPr lang="he-IL" sz="850">
            <a:latin typeface="David" panose="020E0502060401010101" pitchFamily="34" charset="-79"/>
            <a:cs typeface="+mj-cs"/>
          </a:endParaRPr>
        </a:p>
      </dgm:t>
    </dgm:pt>
    <dgm:pt modelId="{462602A6-1F74-498D-8647-31A640B0ADCF}" type="parTrans" cxnId="{624C20EF-1589-4997-8A21-3EEA471B32B1}">
      <dgm:prSet/>
      <dgm:spPr/>
      <dgm:t>
        <a:bodyPr/>
        <a:lstStyle/>
        <a:p>
          <a:pPr rtl="0"/>
          <a:endParaRPr lang="he-IL" sz="900">
            <a:cs typeface="+mj-cs"/>
          </a:endParaRPr>
        </a:p>
      </dgm:t>
    </dgm:pt>
    <dgm:pt modelId="{E8222E04-7C71-4578-8E62-5368697C33C1}" type="sibTrans" cxnId="{624C20EF-1589-4997-8A21-3EEA471B32B1}">
      <dgm:prSet/>
      <dgm:spPr/>
      <dgm:t>
        <a:bodyPr/>
        <a:lstStyle/>
        <a:p>
          <a:pPr rtl="0"/>
          <a:endParaRPr lang="he-IL" sz="900">
            <a:cs typeface="+mj-cs"/>
          </a:endParaRPr>
        </a:p>
      </dgm:t>
    </dgm:pt>
    <dgm:pt modelId="{F70F7735-E966-4A2F-9238-3DB96A3D5455}">
      <dgm:prSet custT="1"/>
      <dgm:spPr/>
      <dgm:t>
        <a:bodyPr/>
        <a:lstStyle/>
        <a:p>
          <a:pPr rtl="0"/>
          <a:r>
            <a:rPr lang="en-US" sz="850">
              <a:latin typeface="Times New Roman" panose="02020603050405020304" pitchFamily="18" charset="0"/>
              <a:cs typeface="Times New Roman" panose="02020603050405020304" pitchFamily="18" charset="0"/>
            </a:rPr>
            <a:t>An offer to spread out credit in order to minimize monthly payments (even if the interest is higher) to help with repayment of debt</a:t>
          </a:r>
          <a:endParaRPr lang="he-IL" sz="850">
            <a:latin typeface="Times New Roman" panose="02020603050405020304" pitchFamily="18" charset="0"/>
            <a:cs typeface="Times New Roman" panose="02020603050405020304" pitchFamily="18" charset="0"/>
          </a:endParaRPr>
        </a:p>
      </dgm:t>
    </dgm:pt>
    <dgm:pt modelId="{1AC5FC40-37D0-471A-A000-35FFE8983864}" type="parTrans" cxnId="{D4A42CB7-0A34-4CBF-9D16-A47D553D19D7}">
      <dgm:prSet/>
      <dgm:spPr/>
      <dgm:t>
        <a:bodyPr/>
        <a:lstStyle/>
        <a:p>
          <a:pPr rtl="0"/>
          <a:endParaRPr lang="he-IL" sz="900">
            <a:cs typeface="+mj-cs"/>
          </a:endParaRPr>
        </a:p>
      </dgm:t>
    </dgm:pt>
    <dgm:pt modelId="{7CA8D2B0-5221-4DB4-97FF-A1FEC8399FF3}" type="sibTrans" cxnId="{D4A42CB7-0A34-4CBF-9D16-A47D553D19D7}">
      <dgm:prSet/>
      <dgm:spPr/>
      <dgm:t>
        <a:bodyPr/>
        <a:lstStyle/>
        <a:p>
          <a:pPr rtl="0"/>
          <a:endParaRPr lang="he-IL" sz="900">
            <a:cs typeface="+mj-cs"/>
          </a:endParaRPr>
        </a:p>
      </dgm:t>
    </dgm:pt>
    <dgm:pt modelId="{F8787A5E-A35E-40A1-8360-5C963FB80F1C}">
      <dgm:prSet custT="1"/>
      <dgm:spPr/>
      <dgm:t>
        <a:bodyPr/>
        <a:lstStyle/>
        <a:p>
          <a:pPr rtl="0"/>
          <a:r>
            <a:rPr lang="en-US" sz="900">
              <a:latin typeface="Times New Roman" panose="02020603050405020304" pitchFamily="18" charset="0"/>
              <a:cs typeface="Times New Roman" panose="02020603050405020304" pitchFamily="18" charset="0"/>
            </a:rPr>
            <a:t>Providing full information on the customer's assets and liabilities at the beginning of the conversation</a:t>
          </a:r>
          <a:endParaRPr lang="he-IL" sz="900">
            <a:latin typeface="Times New Roman" panose="02020603050405020304" pitchFamily="18" charset="0"/>
            <a:cs typeface="Times New Roman" panose="02020603050405020304" pitchFamily="18" charset="0"/>
          </a:endParaRPr>
        </a:p>
      </dgm:t>
    </dgm:pt>
    <dgm:pt modelId="{742D955D-4771-48C5-BF78-8EBADBE30009}" type="parTrans" cxnId="{343350B8-5C56-4D0C-A0A0-136B3D59BF17}">
      <dgm:prSet/>
      <dgm:spPr/>
      <dgm:t>
        <a:bodyPr/>
        <a:lstStyle/>
        <a:p>
          <a:pPr rtl="0"/>
          <a:endParaRPr lang="he-IL" sz="900">
            <a:cs typeface="+mj-cs"/>
          </a:endParaRPr>
        </a:p>
      </dgm:t>
    </dgm:pt>
    <dgm:pt modelId="{51D16239-A568-45DD-A9DF-27F9E5665F18}" type="sibTrans" cxnId="{343350B8-5C56-4D0C-A0A0-136B3D59BF17}">
      <dgm:prSet/>
      <dgm:spPr/>
      <dgm:t>
        <a:bodyPr/>
        <a:lstStyle/>
        <a:p>
          <a:pPr rtl="0"/>
          <a:endParaRPr lang="he-IL" sz="900">
            <a:cs typeface="+mj-cs"/>
          </a:endParaRPr>
        </a:p>
      </dgm:t>
    </dgm:pt>
    <dgm:pt modelId="{E1946312-6886-4484-AFD0-FE00AC81157E}">
      <dgm:prSet custT="1"/>
      <dgm:spPr/>
      <dgm:t>
        <a:bodyPr/>
        <a:lstStyle/>
        <a:p>
          <a:pPr rtl="0"/>
          <a:r>
            <a:rPr lang="en-US" sz="900">
              <a:latin typeface="Times New Roman" panose="02020603050405020304" pitchFamily="18" charset="0"/>
              <a:cs typeface="Times New Roman" panose="02020603050405020304" pitchFamily="18" charset="0"/>
            </a:rPr>
            <a:t>Providing full information on the terms of the loan (such as interest rate, loan period) early in the conversation</a:t>
          </a:r>
          <a:endParaRPr lang="he-IL" sz="900">
            <a:latin typeface="Times New Roman" panose="02020603050405020304" pitchFamily="18" charset="0"/>
            <a:cs typeface="Times New Roman" panose="02020603050405020304" pitchFamily="18" charset="0"/>
          </a:endParaRPr>
        </a:p>
      </dgm:t>
    </dgm:pt>
    <dgm:pt modelId="{A1ECAE9F-431F-40FD-BB31-3F074F38ACD1}" type="parTrans" cxnId="{177F13EC-CE72-4A9A-921E-8648A84BF633}">
      <dgm:prSet/>
      <dgm:spPr/>
      <dgm:t>
        <a:bodyPr/>
        <a:lstStyle/>
        <a:p>
          <a:pPr rtl="0"/>
          <a:endParaRPr lang="he-IL" sz="900">
            <a:cs typeface="+mj-cs"/>
          </a:endParaRPr>
        </a:p>
      </dgm:t>
    </dgm:pt>
    <dgm:pt modelId="{E27F7955-F93B-4001-9DB6-302C91D49075}" type="sibTrans" cxnId="{177F13EC-CE72-4A9A-921E-8648A84BF633}">
      <dgm:prSet/>
      <dgm:spPr/>
      <dgm:t>
        <a:bodyPr/>
        <a:lstStyle/>
        <a:p>
          <a:pPr rtl="0"/>
          <a:endParaRPr lang="he-IL" sz="900">
            <a:cs typeface="+mj-cs"/>
          </a:endParaRPr>
        </a:p>
      </dgm:t>
    </dgm:pt>
    <dgm:pt modelId="{8C0A8455-D622-4F03-A65B-75CC9AC309BB}">
      <dgm:prSet custT="1"/>
      <dgm:spPr/>
      <dgm:t>
        <a:bodyPr/>
        <a:lstStyle/>
        <a:p>
          <a:pPr rtl="0"/>
          <a:r>
            <a:rPr lang="en-US" sz="900">
              <a:latin typeface="Times New Roman" panose="02020603050405020304" pitchFamily="18" charset="0"/>
              <a:cs typeface="Times New Roman" panose="02020603050405020304" pitchFamily="18" charset="0"/>
            </a:rPr>
            <a:t>Documenting the initiated call to the customer with a credit offer</a:t>
          </a:r>
          <a:endParaRPr lang="he-IL" sz="900">
            <a:latin typeface="Times New Roman" panose="02020603050405020304" pitchFamily="18" charset="0"/>
            <a:cs typeface="Times New Roman" panose="02020603050405020304" pitchFamily="18" charset="0"/>
          </a:endParaRPr>
        </a:p>
      </dgm:t>
    </dgm:pt>
    <dgm:pt modelId="{E607932E-B575-42B8-A8F4-F60B2CE14C61}" type="parTrans" cxnId="{6473DA1A-9600-4B8D-B9F3-765DBA4E0E8A}">
      <dgm:prSet/>
      <dgm:spPr/>
      <dgm:t>
        <a:bodyPr/>
        <a:lstStyle/>
        <a:p>
          <a:pPr rtl="0"/>
          <a:endParaRPr lang="he-IL" sz="900">
            <a:cs typeface="+mj-cs"/>
          </a:endParaRPr>
        </a:p>
      </dgm:t>
    </dgm:pt>
    <dgm:pt modelId="{59A00641-F0C1-4A44-AF0C-DC309702E3E3}" type="sibTrans" cxnId="{6473DA1A-9600-4B8D-B9F3-765DBA4E0E8A}">
      <dgm:prSet/>
      <dgm:spPr/>
      <dgm:t>
        <a:bodyPr/>
        <a:lstStyle/>
        <a:p>
          <a:pPr rtl="0"/>
          <a:endParaRPr lang="he-IL" sz="900">
            <a:cs typeface="+mj-cs"/>
          </a:endParaRPr>
        </a:p>
      </dgm:t>
    </dgm:pt>
    <dgm:pt modelId="{20A1D0AD-B0F4-4657-85BF-26125B00358D}" type="pres">
      <dgm:prSet presAssocID="{6909184F-F162-4E09-B548-CDA4BC19FB3D}" presName="diagram" presStyleCnt="0">
        <dgm:presLayoutVars>
          <dgm:dir/>
          <dgm:resizeHandles val="exact"/>
        </dgm:presLayoutVars>
      </dgm:prSet>
      <dgm:spPr/>
      <dgm:t>
        <a:bodyPr/>
        <a:lstStyle/>
        <a:p>
          <a:pPr rtl="1"/>
          <a:endParaRPr lang="he-IL"/>
        </a:p>
      </dgm:t>
    </dgm:pt>
    <dgm:pt modelId="{C62A0031-E225-4147-9658-D93E18F3D577}" type="pres">
      <dgm:prSet presAssocID="{4721EF26-1039-40CB-B677-00A0440FE19D}" presName="node" presStyleLbl="node1" presStyleIdx="0" presStyleCnt="7">
        <dgm:presLayoutVars>
          <dgm:bulletEnabled val="1"/>
        </dgm:presLayoutVars>
      </dgm:prSet>
      <dgm:spPr/>
      <dgm:t>
        <a:bodyPr/>
        <a:lstStyle/>
        <a:p>
          <a:pPr rtl="1"/>
          <a:endParaRPr lang="he-IL"/>
        </a:p>
      </dgm:t>
    </dgm:pt>
    <dgm:pt modelId="{3A0FD3F3-F5FA-4FB1-A888-74E7C90F608C}" type="pres">
      <dgm:prSet presAssocID="{ABA2B634-D993-4797-A153-D2EF423B4EDA}" presName="sibTrans" presStyleCnt="0"/>
      <dgm:spPr/>
    </dgm:pt>
    <dgm:pt modelId="{188A39AA-56B5-4C5A-A30B-F30C48C756D6}" type="pres">
      <dgm:prSet presAssocID="{8C0A8455-D622-4F03-A65B-75CC9AC309BB}" presName="node" presStyleLbl="node1" presStyleIdx="1" presStyleCnt="7">
        <dgm:presLayoutVars>
          <dgm:bulletEnabled val="1"/>
        </dgm:presLayoutVars>
      </dgm:prSet>
      <dgm:spPr/>
      <dgm:t>
        <a:bodyPr/>
        <a:lstStyle/>
        <a:p>
          <a:pPr rtl="1"/>
          <a:endParaRPr lang="he-IL"/>
        </a:p>
      </dgm:t>
    </dgm:pt>
    <dgm:pt modelId="{0BD719F1-5C8C-468D-A2F4-65515CA67123}" type="pres">
      <dgm:prSet presAssocID="{59A00641-F0C1-4A44-AF0C-DC309702E3E3}" presName="sibTrans" presStyleCnt="0"/>
      <dgm:spPr/>
    </dgm:pt>
    <dgm:pt modelId="{6BB9B1A5-DEEE-48B3-9696-A52A8F20D8BC}" type="pres">
      <dgm:prSet presAssocID="{39A0EC89-50C2-40BB-8410-8F3C6B50F425}" presName="node" presStyleLbl="node1" presStyleIdx="2" presStyleCnt="7">
        <dgm:presLayoutVars>
          <dgm:bulletEnabled val="1"/>
        </dgm:presLayoutVars>
      </dgm:prSet>
      <dgm:spPr/>
      <dgm:t>
        <a:bodyPr/>
        <a:lstStyle/>
        <a:p>
          <a:pPr rtl="1"/>
          <a:endParaRPr lang="he-IL"/>
        </a:p>
      </dgm:t>
    </dgm:pt>
    <dgm:pt modelId="{27045C0F-0872-4C87-9493-49D98BE86245}" type="pres">
      <dgm:prSet presAssocID="{3E67A19C-EAE9-4E06-B66C-31F1FA658E95}" presName="sibTrans" presStyleCnt="0"/>
      <dgm:spPr/>
    </dgm:pt>
    <dgm:pt modelId="{73755F92-ECB4-4455-A091-5992C18AF086}" type="pres">
      <dgm:prSet presAssocID="{B7AB6A6B-BB31-43E3-B3DE-B9D8055A3BD2}" presName="node" presStyleLbl="node1" presStyleIdx="3" presStyleCnt="7">
        <dgm:presLayoutVars>
          <dgm:bulletEnabled val="1"/>
        </dgm:presLayoutVars>
      </dgm:prSet>
      <dgm:spPr/>
      <dgm:t>
        <a:bodyPr/>
        <a:lstStyle/>
        <a:p>
          <a:pPr rtl="1"/>
          <a:endParaRPr lang="he-IL"/>
        </a:p>
      </dgm:t>
    </dgm:pt>
    <dgm:pt modelId="{081DA0C9-F8FD-491D-912F-6629A75AF9D0}" type="pres">
      <dgm:prSet presAssocID="{E8222E04-7C71-4578-8E62-5368697C33C1}" presName="sibTrans" presStyleCnt="0"/>
      <dgm:spPr/>
    </dgm:pt>
    <dgm:pt modelId="{B10CF356-EB3A-4ED5-AF6C-8A5EFE0F79B4}" type="pres">
      <dgm:prSet presAssocID="{F70F7735-E966-4A2F-9238-3DB96A3D5455}" presName="node" presStyleLbl="node1" presStyleIdx="4" presStyleCnt="7">
        <dgm:presLayoutVars>
          <dgm:bulletEnabled val="1"/>
        </dgm:presLayoutVars>
      </dgm:prSet>
      <dgm:spPr/>
      <dgm:t>
        <a:bodyPr/>
        <a:lstStyle/>
        <a:p>
          <a:pPr rtl="1"/>
          <a:endParaRPr lang="he-IL"/>
        </a:p>
      </dgm:t>
    </dgm:pt>
    <dgm:pt modelId="{3DB440A4-253C-4B4D-AC49-063B2BBDC52D}" type="pres">
      <dgm:prSet presAssocID="{7CA8D2B0-5221-4DB4-97FF-A1FEC8399FF3}" presName="sibTrans" presStyleCnt="0"/>
      <dgm:spPr/>
    </dgm:pt>
    <dgm:pt modelId="{D6167195-6997-4D2D-B0E6-602DF40415AF}" type="pres">
      <dgm:prSet presAssocID="{F8787A5E-A35E-40A1-8360-5C963FB80F1C}" presName="node" presStyleLbl="node1" presStyleIdx="5" presStyleCnt="7">
        <dgm:presLayoutVars>
          <dgm:bulletEnabled val="1"/>
        </dgm:presLayoutVars>
      </dgm:prSet>
      <dgm:spPr/>
      <dgm:t>
        <a:bodyPr/>
        <a:lstStyle/>
        <a:p>
          <a:pPr rtl="1"/>
          <a:endParaRPr lang="he-IL"/>
        </a:p>
      </dgm:t>
    </dgm:pt>
    <dgm:pt modelId="{F748808A-40B3-4DB1-A6CE-B3208EECEA48}" type="pres">
      <dgm:prSet presAssocID="{51D16239-A568-45DD-A9DF-27F9E5665F18}" presName="sibTrans" presStyleCnt="0"/>
      <dgm:spPr/>
    </dgm:pt>
    <dgm:pt modelId="{80F60C59-80BB-4C9F-AC16-DC01E360AAF3}" type="pres">
      <dgm:prSet presAssocID="{E1946312-6886-4484-AFD0-FE00AC81157E}" presName="node" presStyleLbl="node1" presStyleIdx="6" presStyleCnt="7">
        <dgm:presLayoutVars>
          <dgm:bulletEnabled val="1"/>
        </dgm:presLayoutVars>
      </dgm:prSet>
      <dgm:spPr/>
      <dgm:t>
        <a:bodyPr/>
        <a:lstStyle/>
        <a:p>
          <a:pPr rtl="1"/>
          <a:endParaRPr lang="he-IL"/>
        </a:p>
      </dgm:t>
    </dgm:pt>
  </dgm:ptLst>
  <dgm:cxnLst>
    <dgm:cxn modelId="{D4A42CB7-0A34-4CBF-9D16-A47D553D19D7}" srcId="{6909184F-F162-4E09-B548-CDA4BC19FB3D}" destId="{F70F7735-E966-4A2F-9238-3DB96A3D5455}" srcOrd="4" destOrd="0" parTransId="{1AC5FC40-37D0-471A-A000-35FFE8983864}" sibTransId="{7CA8D2B0-5221-4DB4-97FF-A1FEC8399FF3}"/>
    <dgm:cxn modelId="{5453B9EE-9B72-453F-9578-7B76CE2D70F2}" type="presOf" srcId="{B7AB6A6B-BB31-43E3-B3DE-B9D8055A3BD2}" destId="{73755F92-ECB4-4455-A091-5992C18AF086}" srcOrd="0" destOrd="0" presId="urn:microsoft.com/office/officeart/2005/8/layout/default"/>
    <dgm:cxn modelId="{177F13EC-CE72-4A9A-921E-8648A84BF633}" srcId="{6909184F-F162-4E09-B548-CDA4BC19FB3D}" destId="{E1946312-6886-4484-AFD0-FE00AC81157E}" srcOrd="6" destOrd="0" parTransId="{A1ECAE9F-431F-40FD-BB31-3F074F38ACD1}" sibTransId="{E27F7955-F93B-4001-9DB6-302C91D49075}"/>
    <dgm:cxn modelId="{8A0715B7-7531-45EC-8365-B02A83F8F3EC}" srcId="{6909184F-F162-4E09-B548-CDA4BC19FB3D}" destId="{4721EF26-1039-40CB-B677-00A0440FE19D}" srcOrd="0" destOrd="0" parTransId="{E56E0C83-86FF-47E7-9900-E297AC9491B9}" sibTransId="{ABA2B634-D993-4797-A153-D2EF423B4EDA}"/>
    <dgm:cxn modelId="{C8FB5DC7-10E8-47D3-8094-44EA18B2152F}" type="presOf" srcId="{E1946312-6886-4484-AFD0-FE00AC81157E}" destId="{80F60C59-80BB-4C9F-AC16-DC01E360AAF3}" srcOrd="0" destOrd="0" presId="urn:microsoft.com/office/officeart/2005/8/layout/default"/>
    <dgm:cxn modelId="{6E426494-E0A9-4940-929D-34698A9E28DA}" type="presOf" srcId="{8C0A8455-D622-4F03-A65B-75CC9AC309BB}" destId="{188A39AA-56B5-4C5A-A30B-F30C48C756D6}" srcOrd="0" destOrd="0" presId="urn:microsoft.com/office/officeart/2005/8/layout/default"/>
    <dgm:cxn modelId="{6473DA1A-9600-4B8D-B9F3-765DBA4E0E8A}" srcId="{6909184F-F162-4E09-B548-CDA4BC19FB3D}" destId="{8C0A8455-D622-4F03-A65B-75CC9AC309BB}" srcOrd="1" destOrd="0" parTransId="{E607932E-B575-42B8-A8F4-F60B2CE14C61}" sibTransId="{59A00641-F0C1-4A44-AF0C-DC309702E3E3}"/>
    <dgm:cxn modelId="{70FAF849-8757-474C-9DAF-B298D092E550}" type="presOf" srcId="{4721EF26-1039-40CB-B677-00A0440FE19D}" destId="{C62A0031-E225-4147-9658-D93E18F3D577}" srcOrd="0" destOrd="0" presId="urn:microsoft.com/office/officeart/2005/8/layout/default"/>
    <dgm:cxn modelId="{343350B8-5C56-4D0C-A0A0-136B3D59BF17}" srcId="{6909184F-F162-4E09-B548-CDA4BC19FB3D}" destId="{F8787A5E-A35E-40A1-8360-5C963FB80F1C}" srcOrd="5" destOrd="0" parTransId="{742D955D-4771-48C5-BF78-8EBADBE30009}" sibTransId="{51D16239-A568-45DD-A9DF-27F9E5665F18}"/>
    <dgm:cxn modelId="{2AE1C87B-CC8D-4D76-8AB9-90793C7CCCCE}" type="presOf" srcId="{6909184F-F162-4E09-B548-CDA4BC19FB3D}" destId="{20A1D0AD-B0F4-4657-85BF-26125B00358D}" srcOrd="0" destOrd="0" presId="urn:microsoft.com/office/officeart/2005/8/layout/default"/>
    <dgm:cxn modelId="{6EC97987-7B4D-45C3-9129-2FD8A7F1B23F}" type="presOf" srcId="{F8787A5E-A35E-40A1-8360-5C963FB80F1C}" destId="{D6167195-6997-4D2D-B0E6-602DF40415AF}" srcOrd="0" destOrd="0" presId="urn:microsoft.com/office/officeart/2005/8/layout/default"/>
    <dgm:cxn modelId="{458919AF-4AB7-45E7-BE86-9494130E318E}" srcId="{6909184F-F162-4E09-B548-CDA4BC19FB3D}" destId="{39A0EC89-50C2-40BB-8410-8F3C6B50F425}" srcOrd="2" destOrd="0" parTransId="{9863E8EB-93DE-4E1B-9A57-60926F4C8B10}" sibTransId="{3E67A19C-EAE9-4E06-B66C-31F1FA658E95}"/>
    <dgm:cxn modelId="{35743B48-17B8-41B5-B1F1-AB0ECA27EFDF}" type="presOf" srcId="{39A0EC89-50C2-40BB-8410-8F3C6B50F425}" destId="{6BB9B1A5-DEEE-48B3-9696-A52A8F20D8BC}" srcOrd="0" destOrd="0" presId="urn:microsoft.com/office/officeart/2005/8/layout/default"/>
    <dgm:cxn modelId="{624C20EF-1589-4997-8A21-3EEA471B32B1}" srcId="{6909184F-F162-4E09-B548-CDA4BC19FB3D}" destId="{B7AB6A6B-BB31-43E3-B3DE-B9D8055A3BD2}" srcOrd="3" destOrd="0" parTransId="{462602A6-1F74-498D-8647-31A640B0ADCF}" sibTransId="{E8222E04-7C71-4578-8E62-5368697C33C1}"/>
    <dgm:cxn modelId="{BE7A226C-A702-4B51-AF8E-D4890E835A23}" type="presOf" srcId="{F70F7735-E966-4A2F-9238-3DB96A3D5455}" destId="{B10CF356-EB3A-4ED5-AF6C-8A5EFE0F79B4}" srcOrd="0" destOrd="0" presId="urn:microsoft.com/office/officeart/2005/8/layout/default"/>
    <dgm:cxn modelId="{1DA61ABC-00EF-4B22-878C-0149F1CC7944}" type="presParOf" srcId="{20A1D0AD-B0F4-4657-85BF-26125B00358D}" destId="{C62A0031-E225-4147-9658-D93E18F3D577}" srcOrd="0" destOrd="0" presId="urn:microsoft.com/office/officeart/2005/8/layout/default"/>
    <dgm:cxn modelId="{07F400CF-9544-4ADB-92D5-35F7612B8788}" type="presParOf" srcId="{20A1D0AD-B0F4-4657-85BF-26125B00358D}" destId="{3A0FD3F3-F5FA-4FB1-A888-74E7C90F608C}" srcOrd="1" destOrd="0" presId="urn:microsoft.com/office/officeart/2005/8/layout/default"/>
    <dgm:cxn modelId="{B89B12F6-868D-4D4C-86CF-A56568505769}" type="presParOf" srcId="{20A1D0AD-B0F4-4657-85BF-26125B00358D}" destId="{188A39AA-56B5-4C5A-A30B-F30C48C756D6}" srcOrd="2" destOrd="0" presId="urn:microsoft.com/office/officeart/2005/8/layout/default"/>
    <dgm:cxn modelId="{DA45CC07-C981-43F8-969E-9CCDF577644F}" type="presParOf" srcId="{20A1D0AD-B0F4-4657-85BF-26125B00358D}" destId="{0BD719F1-5C8C-468D-A2F4-65515CA67123}" srcOrd="3" destOrd="0" presId="urn:microsoft.com/office/officeart/2005/8/layout/default"/>
    <dgm:cxn modelId="{9495AF9E-AC01-4848-9FB7-54A8FDDEB54C}" type="presParOf" srcId="{20A1D0AD-B0F4-4657-85BF-26125B00358D}" destId="{6BB9B1A5-DEEE-48B3-9696-A52A8F20D8BC}" srcOrd="4" destOrd="0" presId="urn:microsoft.com/office/officeart/2005/8/layout/default"/>
    <dgm:cxn modelId="{0E05EF41-2EB4-42EB-993E-AB7B8E6BE7AC}" type="presParOf" srcId="{20A1D0AD-B0F4-4657-85BF-26125B00358D}" destId="{27045C0F-0872-4C87-9493-49D98BE86245}" srcOrd="5" destOrd="0" presId="urn:microsoft.com/office/officeart/2005/8/layout/default"/>
    <dgm:cxn modelId="{C90BB8EA-33B7-413D-99D7-AD35DAACB3D6}" type="presParOf" srcId="{20A1D0AD-B0F4-4657-85BF-26125B00358D}" destId="{73755F92-ECB4-4455-A091-5992C18AF086}" srcOrd="6" destOrd="0" presId="urn:microsoft.com/office/officeart/2005/8/layout/default"/>
    <dgm:cxn modelId="{A77632AC-9CE4-46A9-A6E7-1E3C0FA81229}" type="presParOf" srcId="{20A1D0AD-B0F4-4657-85BF-26125B00358D}" destId="{081DA0C9-F8FD-491D-912F-6629A75AF9D0}" srcOrd="7" destOrd="0" presId="urn:microsoft.com/office/officeart/2005/8/layout/default"/>
    <dgm:cxn modelId="{DFB406E9-F580-455C-9C99-0F525AE7F1CB}" type="presParOf" srcId="{20A1D0AD-B0F4-4657-85BF-26125B00358D}" destId="{B10CF356-EB3A-4ED5-AF6C-8A5EFE0F79B4}" srcOrd="8" destOrd="0" presId="urn:microsoft.com/office/officeart/2005/8/layout/default"/>
    <dgm:cxn modelId="{BA2D4E12-1E41-42CA-9714-D5749307CCD7}" type="presParOf" srcId="{20A1D0AD-B0F4-4657-85BF-26125B00358D}" destId="{3DB440A4-253C-4B4D-AC49-063B2BBDC52D}" srcOrd="9" destOrd="0" presId="urn:microsoft.com/office/officeart/2005/8/layout/default"/>
    <dgm:cxn modelId="{7E79F434-1FDB-4363-B604-D70D835F5F65}" type="presParOf" srcId="{20A1D0AD-B0F4-4657-85BF-26125B00358D}" destId="{D6167195-6997-4D2D-B0E6-602DF40415AF}" srcOrd="10" destOrd="0" presId="urn:microsoft.com/office/officeart/2005/8/layout/default"/>
    <dgm:cxn modelId="{2205F4C6-9D15-4196-9BAC-56BAA52DC4A9}" type="presParOf" srcId="{20A1D0AD-B0F4-4657-85BF-26125B00358D}" destId="{F748808A-40B3-4DB1-A6CE-B3208EECEA48}" srcOrd="11" destOrd="0" presId="urn:microsoft.com/office/officeart/2005/8/layout/default"/>
    <dgm:cxn modelId="{257A896B-DA3E-47FF-ADF3-8976974E5727}" type="presParOf" srcId="{20A1D0AD-B0F4-4657-85BF-26125B00358D}" destId="{80F60C59-80BB-4C9F-AC16-DC01E360AAF3}" srcOrd="12" destOrd="0" presId="urn:microsoft.com/office/officeart/2005/8/layout/defaul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09184F-F162-4E09-B548-CDA4BC19FB3D}" type="doc">
      <dgm:prSet loTypeId="urn:microsoft.com/office/officeart/2005/8/layout/default" loCatId="list" qsTypeId="urn:microsoft.com/office/officeart/2005/8/quickstyle/simple1" qsCatId="simple" csTypeId="urn:microsoft.com/office/officeart/2005/8/colors/accent2_1" csCatId="accent2" phldr="1"/>
      <dgm:spPr/>
      <dgm:t>
        <a:bodyPr/>
        <a:lstStyle/>
        <a:p>
          <a:pPr rtl="1"/>
          <a:endParaRPr lang="he-IL"/>
        </a:p>
      </dgm:t>
    </dgm:pt>
    <dgm:pt modelId="{FC807F34-5B3C-4D88-A302-AA132D887B1C}">
      <dgm:prSet custT="1"/>
      <dgm:spPr/>
      <dgm:t>
        <a:bodyPr/>
        <a:lstStyle/>
        <a:p>
          <a:pPr rtl="0"/>
          <a:r>
            <a:rPr lang="en-US" sz="900">
              <a:latin typeface="Times New Roman" panose="02020603050405020304" pitchFamily="18" charset="0"/>
              <a:cs typeface="Times New Roman" panose="02020603050405020304" pitchFamily="18" charset="0"/>
            </a:rPr>
            <a:t>Initiated marketing to very young or very old customers</a:t>
          </a:r>
          <a:endParaRPr lang="he-IL" sz="900">
            <a:latin typeface="Times New Roman" panose="02020603050405020304" pitchFamily="18" charset="0"/>
            <a:cs typeface="Times New Roman" panose="02020603050405020304" pitchFamily="18" charset="0"/>
          </a:endParaRPr>
        </a:p>
      </dgm:t>
    </dgm:pt>
    <dgm:pt modelId="{E634B681-094A-4B33-A939-1FC9C520FF28}" type="parTrans" cxnId="{50971A0F-A198-4009-BC07-397C582B67F6}">
      <dgm:prSet/>
      <dgm:spPr/>
      <dgm:t>
        <a:bodyPr/>
        <a:lstStyle/>
        <a:p>
          <a:pPr rtl="1"/>
          <a:endParaRPr lang="he-IL" sz="900">
            <a:latin typeface="David" panose="020E0502060401010101" pitchFamily="34" charset="-79"/>
            <a:cs typeface="+mj-cs"/>
          </a:endParaRPr>
        </a:p>
      </dgm:t>
    </dgm:pt>
    <dgm:pt modelId="{E294DAF3-3E32-47EC-ABCF-D18F3DF08D4D}" type="sibTrans" cxnId="{50971A0F-A198-4009-BC07-397C582B67F6}">
      <dgm:prSet/>
      <dgm:spPr/>
      <dgm:t>
        <a:bodyPr/>
        <a:lstStyle/>
        <a:p>
          <a:pPr rtl="1"/>
          <a:endParaRPr lang="he-IL" sz="900">
            <a:latin typeface="David" panose="020E0502060401010101" pitchFamily="34" charset="-79"/>
            <a:cs typeface="+mj-cs"/>
          </a:endParaRPr>
        </a:p>
      </dgm:t>
    </dgm:pt>
    <dgm:pt modelId="{2140CDAB-1CAD-429E-9E1D-8F136A3E35CB}">
      <dgm:prSet custT="1"/>
      <dgm:spPr/>
      <dgm:t>
        <a:bodyPr/>
        <a:lstStyle/>
        <a:p>
          <a:pPr rtl="0"/>
          <a:r>
            <a:rPr lang="en-US" sz="900">
              <a:latin typeface="Times New Roman" panose="02020603050405020304" pitchFamily="18" charset="0"/>
              <a:cs typeface="Times New Roman" panose="02020603050405020304" pitchFamily="18" charset="0"/>
            </a:rPr>
            <a:t>Harassing a customer to take out credit.  This refers to attempts to convince and pressuring</a:t>
          </a:r>
        </a:p>
      </dgm:t>
    </dgm:pt>
    <dgm:pt modelId="{E6970FBC-9060-4207-90AE-BBE38E8D2E69}" type="parTrans" cxnId="{A686C311-8FEF-4907-996A-2FB0BA7CBC04}">
      <dgm:prSet/>
      <dgm:spPr/>
      <dgm:t>
        <a:bodyPr/>
        <a:lstStyle/>
        <a:p>
          <a:pPr rtl="1"/>
          <a:endParaRPr lang="he-IL" sz="900">
            <a:latin typeface="David" panose="020E0502060401010101" pitchFamily="34" charset="-79"/>
            <a:cs typeface="+mj-cs"/>
          </a:endParaRPr>
        </a:p>
      </dgm:t>
    </dgm:pt>
    <dgm:pt modelId="{517392D4-A230-47F9-A631-B29534FCE983}" type="sibTrans" cxnId="{A686C311-8FEF-4907-996A-2FB0BA7CBC04}">
      <dgm:prSet/>
      <dgm:spPr/>
      <dgm:t>
        <a:bodyPr/>
        <a:lstStyle/>
        <a:p>
          <a:pPr rtl="1"/>
          <a:endParaRPr lang="he-IL" sz="900">
            <a:latin typeface="David" panose="020E0502060401010101" pitchFamily="34" charset="-79"/>
            <a:cs typeface="+mj-cs"/>
          </a:endParaRPr>
        </a:p>
      </dgm:t>
    </dgm:pt>
    <dgm:pt modelId="{7B188D3E-51D9-4C5D-9DB5-BC923BE1CAEF}">
      <dgm:prSet custT="1"/>
      <dgm:spPr/>
      <dgm:t>
        <a:bodyPr/>
        <a:lstStyle/>
        <a:p>
          <a:pPr rtl="0"/>
          <a:r>
            <a:rPr lang="en-US" sz="900">
              <a:latin typeface="Times New Roman" panose="02020603050405020304" pitchFamily="18" charset="0"/>
              <a:cs typeface="Times New Roman" panose="02020603050405020304" pitchFamily="18" charset="0"/>
            </a:rPr>
            <a:t>Frequent repeated calls to a customer that has said he is not interested</a:t>
          </a:r>
          <a:endParaRPr lang="he-IL" sz="900">
            <a:latin typeface="Times New Roman" panose="02020603050405020304" pitchFamily="18" charset="0"/>
            <a:cs typeface="Times New Roman" panose="02020603050405020304" pitchFamily="18" charset="0"/>
          </a:endParaRPr>
        </a:p>
      </dgm:t>
    </dgm:pt>
    <dgm:pt modelId="{5FCB99C0-151B-4DAF-B40E-39C30F1AAECF}" type="parTrans" cxnId="{78FF7F2A-8787-40A0-B1D8-B398CCDC5AF1}">
      <dgm:prSet/>
      <dgm:spPr/>
      <dgm:t>
        <a:bodyPr/>
        <a:lstStyle/>
        <a:p>
          <a:pPr rtl="1"/>
          <a:endParaRPr lang="he-IL" sz="900">
            <a:latin typeface="David" panose="020E0502060401010101" pitchFamily="34" charset="-79"/>
            <a:cs typeface="+mj-cs"/>
          </a:endParaRPr>
        </a:p>
      </dgm:t>
    </dgm:pt>
    <dgm:pt modelId="{CF09205A-BC6B-4732-877C-E31B040827D8}" type="sibTrans" cxnId="{78FF7F2A-8787-40A0-B1D8-B398CCDC5AF1}">
      <dgm:prSet/>
      <dgm:spPr/>
      <dgm:t>
        <a:bodyPr/>
        <a:lstStyle/>
        <a:p>
          <a:pPr rtl="1"/>
          <a:endParaRPr lang="he-IL" sz="900">
            <a:latin typeface="David" panose="020E0502060401010101" pitchFamily="34" charset="-79"/>
            <a:cs typeface="+mj-cs"/>
          </a:endParaRPr>
        </a:p>
      </dgm:t>
    </dgm:pt>
    <dgm:pt modelId="{1E372ACB-E036-429E-8AA5-F1D332048CB0}">
      <dgm:prSet custT="1"/>
      <dgm:spPr/>
      <dgm:t>
        <a:bodyPr/>
        <a:lstStyle/>
        <a:p>
          <a:pPr rtl="0"/>
          <a:r>
            <a:rPr lang="en-US" sz="900">
              <a:latin typeface="Times New Roman" panose="02020603050405020304" pitchFamily="18" charset="0"/>
              <a:cs typeface="Times New Roman" panose="02020603050405020304" pitchFamily="18" charset="0"/>
            </a:rPr>
            <a:t>Offering an expensive loan in order to repay cheaper loans, to a customer that does not need a repayment arrangement</a:t>
          </a:r>
          <a:endParaRPr lang="he-IL" sz="900">
            <a:latin typeface="Times New Roman" panose="02020603050405020304" pitchFamily="18" charset="0"/>
            <a:cs typeface="Times New Roman" panose="02020603050405020304" pitchFamily="18" charset="0"/>
          </a:endParaRPr>
        </a:p>
      </dgm:t>
    </dgm:pt>
    <dgm:pt modelId="{4BB948E8-1440-4F3B-867D-C435D84641B5}" type="parTrans" cxnId="{8D0E7DD9-EDC4-4DB4-8328-B8D559C5C043}">
      <dgm:prSet/>
      <dgm:spPr/>
      <dgm:t>
        <a:bodyPr/>
        <a:lstStyle/>
        <a:p>
          <a:pPr rtl="1"/>
          <a:endParaRPr lang="he-IL" sz="900">
            <a:latin typeface="David" panose="020E0502060401010101" pitchFamily="34" charset="-79"/>
            <a:cs typeface="+mj-cs"/>
          </a:endParaRPr>
        </a:p>
      </dgm:t>
    </dgm:pt>
    <dgm:pt modelId="{85533B02-8C1F-40AE-9409-BC511983C79D}" type="sibTrans" cxnId="{8D0E7DD9-EDC4-4DB4-8328-B8D559C5C043}">
      <dgm:prSet/>
      <dgm:spPr/>
      <dgm:t>
        <a:bodyPr/>
        <a:lstStyle/>
        <a:p>
          <a:pPr rtl="1"/>
          <a:endParaRPr lang="he-IL" sz="900">
            <a:latin typeface="David" panose="020E0502060401010101" pitchFamily="34" charset="-79"/>
            <a:cs typeface="+mj-cs"/>
          </a:endParaRPr>
        </a:p>
      </dgm:t>
    </dgm:pt>
    <dgm:pt modelId="{5DC01D90-D170-4036-8213-7B601DC78987}">
      <dgm:prSet custT="1"/>
      <dgm:spPr/>
      <dgm:t>
        <a:bodyPr/>
        <a:lstStyle/>
        <a:p>
          <a:pPr rtl="0"/>
          <a:r>
            <a:rPr lang="en-US" sz="900">
              <a:latin typeface="Times New Roman" panose="02020603050405020304" pitchFamily="18" charset="0"/>
              <a:cs typeface="Times New Roman" panose="02020603050405020304" pitchFamily="18" charset="0"/>
            </a:rPr>
            <a:t>Initiated offers to customers who have indicated in advance that they are not interested in initiated contact from the bank</a:t>
          </a:r>
          <a:endParaRPr lang="he-IL" sz="900">
            <a:latin typeface="Times New Roman" panose="02020603050405020304" pitchFamily="18" charset="0"/>
            <a:cs typeface="Times New Roman" panose="02020603050405020304" pitchFamily="18" charset="0"/>
          </a:endParaRPr>
        </a:p>
      </dgm:t>
    </dgm:pt>
    <dgm:pt modelId="{F960FC4B-4579-4BBB-9692-D2B75BD1835C}" type="parTrans" cxnId="{9DD8C283-346A-4230-852A-7A7183E484C2}">
      <dgm:prSet/>
      <dgm:spPr/>
      <dgm:t>
        <a:bodyPr/>
        <a:lstStyle/>
        <a:p>
          <a:pPr rtl="1"/>
          <a:endParaRPr lang="he-IL" sz="900">
            <a:latin typeface="David" panose="020E0502060401010101" pitchFamily="34" charset="-79"/>
            <a:cs typeface="+mj-cs"/>
          </a:endParaRPr>
        </a:p>
      </dgm:t>
    </dgm:pt>
    <dgm:pt modelId="{240F3C85-839C-4710-8E2A-73C04BD5F5BD}" type="sibTrans" cxnId="{9DD8C283-346A-4230-852A-7A7183E484C2}">
      <dgm:prSet/>
      <dgm:spPr/>
      <dgm:t>
        <a:bodyPr/>
        <a:lstStyle/>
        <a:p>
          <a:pPr rtl="1"/>
          <a:endParaRPr lang="he-IL" sz="900">
            <a:latin typeface="David" panose="020E0502060401010101" pitchFamily="34" charset="-79"/>
            <a:cs typeface="+mj-cs"/>
          </a:endParaRPr>
        </a:p>
      </dgm:t>
    </dgm:pt>
    <dgm:pt modelId="{F5C6032B-FFB1-472B-9332-4AC272628BA0}">
      <dgm:prSet custT="1"/>
      <dgm:spPr/>
      <dgm:t>
        <a:bodyPr/>
        <a:lstStyle/>
        <a:p>
          <a:pPr rtl="0"/>
          <a:r>
            <a:rPr lang="en-US" sz="900">
              <a:latin typeface="Times New Roman" panose="02020603050405020304" pitchFamily="18" charset="0"/>
              <a:cs typeface="Times New Roman" panose="02020603050405020304" pitchFamily="18" charset="0"/>
            </a:rPr>
            <a:t>Initiated marketing to customers who will have difficulty repaying the loan without substantial hardship</a:t>
          </a:r>
        </a:p>
      </dgm:t>
    </dgm:pt>
    <dgm:pt modelId="{F72C39B9-526E-4616-AC1B-7753477F6136}" type="sibTrans" cxnId="{6F92B588-D908-4BE0-ADDF-6B9B2BF11406}">
      <dgm:prSet/>
      <dgm:spPr/>
      <dgm:t>
        <a:bodyPr/>
        <a:lstStyle/>
        <a:p>
          <a:pPr rtl="1"/>
          <a:endParaRPr lang="he-IL" sz="900">
            <a:latin typeface="David" panose="020E0502060401010101" pitchFamily="34" charset="-79"/>
            <a:cs typeface="+mj-cs"/>
          </a:endParaRPr>
        </a:p>
      </dgm:t>
    </dgm:pt>
    <dgm:pt modelId="{E7EBD0B6-465D-4176-AB88-B7A8FE13219C}" type="parTrans" cxnId="{6F92B588-D908-4BE0-ADDF-6B9B2BF11406}">
      <dgm:prSet/>
      <dgm:spPr/>
      <dgm:t>
        <a:bodyPr/>
        <a:lstStyle/>
        <a:p>
          <a:pPr rtl="1"/>
          <a:endParaRPr lang="he-IL" sz="900">
            <a:latin typeface="David" panose="020E0502060401010101" pitchFamily="34" charset="-79"/>
            <a:cs typeface="+mj-cs"/>
          </a:endParaRPr>
        </a:p>
      </dgm:t>
    </dgm:pt>
    <dgm:pt modelId="{20A1D0AD-B0F4-4657-85BF-26125B00358D}" type="pres">
      <dgm:prSet presAssocID="{6909184F-F162-4E09-B548-CDA4BC19FB3D}" presName="diagram" presStyleCnt="0">
        <dgm:presLayoutVars>
          <dgm:dir/>
          <dgm:resizeHandles val="exact"/>
        </dgm:presLayoutVars>
      </dgm:prSet>
      <dgm:spPr/>
      <dgm:t>
        <a:bodyPr/>
        <a:lstStyle/>
        <a:p>
          <a:pPr rtl="1"/>
          <a:endParaRPr lang="he-IL"/>
        </a:p>
      </dgm:t>
    </dgm:pt>
    <dgm:pt modelId="{B71A9754-E46A-4B3C-B58B-1F1F6162827B}" type="pres">
      <dgm:prSet presAssocID="{7B188D3E-51D9-4C5D-9DB5-BC923BE1CAEF}" presName="node" presStyleLbl="node1" presStyleIdx="0" presStyleCnt="6">
        <dgm:presLayoutVars>
          <dgm:bulletEnabled val="1"/>
        </dgm:presLayoutVars>
      </dgm:prSet>
      <dgm:spPr/>
      <dgm:t>
        <a:bodyPr/>
        <a:lstStyle/>
        <a:p>
          <a:pPr rtl="1"/>
          <a:endParaRPr lang="he-IL"/>
        </a:p>
      </dgm:t>
    </dgm:pt>
    <dgm:pt modelId="{F3AABF9E-F5FC-42C6-A276-86AF1D5CEBA3}" type="pres">
      <dgm:prSet presAssocID="{CF09205A-BC6B-4732-877C-E31B040827D8}" presName="sibTrans" presStyleCnt="0"/>
      <dgm:spPr/>
      <dgm:t>
        <a:bodyPr/>
        <a:lstStyle/>
        <a:p>
          <a:pPr rtl="1"/>
          <a:endParaRPr lang="he-IL"/>
        </a:p>
      </dgm:t>
    </dgm:pt>
    <dgm:pt modelId="{E1BA10E8-7FC9-4428-ABCC-D410C1EC5366}" type="pres">
      <dgm:prSet presAssocID="{F5C6032B-FFB1-472B-9332-4AC272628BA0}" presName="node" presStyleLbl="node1" presStyleIdx="1" presStyleCnt="6" custLinFactNeighborX="1091" custLinFactNeighborY="-971">
        <dgm:presLayoutVars>
          <dgm:bulletEnabled val="1"/>
        </dgm:presLayoutVars>
      </dgm:prSet>
      <dgm:spPr/>
      <dgm:t>
        <a:bodyPr/>
        <a:lstStyle/>
        <a:p>
          <a:pPr rtl="1"/>
          <a:endParaRPr lang="he-IL"/>
        </a:p>
      </dgm:t>
    </dgm:pt>
    <dgm:pt modelId="{BC350CC1-BE72-477A-98C9-142F09B504CF}" type="pres">
      <dgm:prSet presAssocID="{F72C39B9-526E-4616-AC1B-7753477F6136}" presName="sibTrans" presStyleCnt="0"/>
      <dgm:spPr/>
      <dgm:t>
        <a:bodyPr/>
        <a:lstStyle/>
        <a:p>
          <a:pPr rtl="1"/>
          <a:endParaRPr lang="he-IL"/>
        </a:p>
      </dgm:t>
    </dgm:pt>
    <dgm:pt modelId="{69E84373-D043-4692-B662-2DC7176DC528}" type="pres">
      <dgm:prSet presAssocID="{FC807F34-5B3C-4D88-A302-AA132D887B1C}" presName="node" presStyleLbl="node1" presStyleIdx="2" presStyleCnt="6">
        <dgm:presLayoutVars>
          <dgm:bulletEnabled val="1"/>
        </dgm:presLayoutVars>
      </dgm:prSet>
      <dgm:spPr/>
      <dgm:t>
        <a:bodyPr/>
        <a:lstStyle/>
        <a:p>
          <a:pPr rtl="1"/>
          <a:endParaRPr lang="he-IL"/>
        </a:p>
      </dgm:t>
    </dgm:pt>
    <dgm:pt modelId="{F69E4009-4D5A-430C-A81D-28D901CEE21F}" type="pres">
      <dgm:prSet presAssocID="{E294DAF3-3E32-47EC-ABCF-D18F3DF08D4D}" presName="sibTrans" presStyleCnt="0"/>
      <dgm:spPr/>
      <dgm:t>
        <a:bodyPr/>
        <a:lstStyle/>
        <a:p>
          <a:pPr rtl="1"/>
          <a:endParaRPr lang="he-IL"/>
        </a:p>
      </dgm:t>
    </dgm:pt>
    <dgm:pt modelId="{193E8E8B-4921-42BE-8170-388DBB2F3B56}" type="pres">
      <dgm:prSet presAssocID="{5DC01D90-D170-4036-8213-7B601DC78987}" presName="node" presStyleLbl="node1" presStyleIdx="3" presStyleCnt="6">
        <dgm:presLayoutVars>
          <dgm:bulletEnabled val="1"/>
        </dgm:presLayoutVars>
      </dgm:prSet>
      <dgm:spPr/>
      <dgm:t>
        <a:bodyPr/>
        <a:lstStyle/>
        <a:p>
          <a:pPr rtl="1"/>
          <a:endParaRPr lang="he-IL"/>
        </a:p>
      </dgm:t>
    </dgm:pt>
    <dgm:pt modelId="{A7DF97C2-B6A2-4A2F-A67E-6688A1493514}" type="pres">
      <dgm:prSet presAssocID="{240F3C85-839C-4710-8E2A-73C04BD5F5BD}" presName="sibTrans" presStyleCnt="0"/>
      <dgm:spPr/>
      <dgm:t>
        <a:bodyPr/>
        <a:lstStyle/>
        <a:p>
          <a:pPr rtl="1"/>
          <a:endParaRPr lang="he-IL"/>
        </a:p>
      </dgm:t>
    </dgm:pt>
    <dgm:pt modelId="{5FFF8306-B9C9-4681-B651-4A5D937A496F}" type="pres">
      <dgm:prSet presAssocID="{1E372ACB-E036-429E-8AA5-F1D332048CB0}" presName="node" presStyleLbl="node1" presStyleIdx="4" presStyleCnt="6">
        <dgm:presLayoutVars>
          <dgm:bulletEnabled val="1"/>
        </dgm:presLayoutVars>
      </dgm:prSet>
      <dgm:spPr/>
      <dgm:t>
        <a:bodyPr/>
        <a:lstStyle/>
        <a:p>
          <a:pPr rtl="1"/>
          <a:endParaRPr lang="he-IL"/>
        </a:p>
      </dgm:t>
    </dgm:pt>
    <dgm:pt modelId="{FF9C6D14-6D8F-4BFF-9E3E-00C27692CAAE}" type="pres">
      <dgm:prSet presAssocID="{85533B02-8C1F-40AE-9409-BC511983C79D}" presName="sibTrans" presStyleCnt="0"/>
      <dgm:spPr/>
      <dgm:t>
        <a:bodyPr/>
        <a:lstStyle/>
        <a:p>
          <a:pPr rtl="1"/>
          <a:endParaRPr lang="he-IL"/>
        </a:p>
      </dgm:t>
    </dgm:pt>
    <dgm:pt modelId="{F3846728-3275-4A62-885F-B033A2F8B6B7}" type="pres">
      <dgm:prSet presAssocID="{2140CDAB-1CAD-429E-9E1D-8F136A3E35CB}" presName="node" presStyleLbl="node1" presStyleIdx="5" presStyleCnt="6">
        <dgm:presLayoutVars>
          <dgm:bulletEnabled val="1"/>
        </dgm:presLayoutVars>
      </dgm:prSet>
      <dgm:spPr/>
      <dgm:t>
        <a:bodyPr/>
        <a:lstStyle/>
        <a:p>
          <a:pPr rtl="1"/>
          <a:endParaRPr lang="he-IL"/>
        </a:p>
      </dgm:t>
    </dgm:pt>
  </dgm:ptLst>
  <dgm:cxnLst>
    <dgm:cxn modelId="{78FF7F2A-8787-40A0-B1D8-B398CCDC5AF1}" srcId="{6909184F-F162-4E09-B548-CDA4BC19FB3D}" destId="{7B188D3E-51D9-4C5D-9DB5-BC923BE1CAEF}" srcOrd="0" destOrd="0" parTransId="{5FCB99C0-151B-4DAF-B40E-39C30F1AAECF}" sibTransId="{CF09205A-BC6B-4732-877C-E31B040827D8}"/>
    <dgm:cxn modelId="{285EFA6A-0DC3-460F-810D-66246178F40C}" type="presOf" srcId="{F5C6032B-FFB1-472B-9332-4AC272628BA0}" destId="{E1BA10E8-7FC9-4428-ABCC-D410C1EC5366}" srcOrd="0" destOrd="0" presId="urn:microsoft.com/office/officeart/2005/8/layout/default"/>
    <dgm:cxn modelId="{8D0E7DD9-EDC4-4DB4-8328-B8D559C5C043}" srcId="{6909184F-F162-4E09-B548-CDA4BC19FB3D}" destId="{1E372ACB-E036-429E-8AA5-F1D332048CB0}" srcOrd="4" destOrd="0" parTransId="{4BB948E8-1440-4F3B-867D-C435D84641B5}" sibTransId="{85533B02-8C1F-40AE-9409-BC511983C79D}"/>
    <dgm:cxn modelId="{A5BFE993-0769-451B-B965-883655036A1E}" type="presOf" srcId="{5DC01D90-D170-4036-8213-7B601DC78987}" destId="{193E8E8B-4921-42BE-8170-388DBB2F3B56}" srcOrd="0" destOrd="0" presId="urn:microsoft.com/office/officeart/2005/8/layout/default"/>
    <dgm:cxn modelId="{5CEC7CE4-7125-42D2-BBEC-EA8D355E32B8}" type="presOf" srcId="{7B188D3E-51D9-4C5D-9DB5-BC923BE1CAEF}" destId="{B71A9754-E46A-4B3C-B58B-1F1F6162827B}" srcOrd="0" destOrd="0" presId="urn:microsoft.com/office/officeart/2005/8/layout/default"/>
    <dgm:cxn modelId="{50971A0F-A198-4009-BC07-397C582B67F6}" srcId="{6909184F-F162-4E09-B548-CDA4BC19FB3D}" destId="{FC807F34-5B3C-4D88-A302-AA132D887B1C}" srcOrd="2" destOrd="0" parTransId="{E634B681-094A-4B33-A939-1FC9C520FF28}" sibTransId="{E294DAF3-3E32-47EC-ABCF-D18F3DF08D4D}"/>
    <dgm:cxn modelId="{9DD8C283-346A-4230-852A-7A7183E484C2}" srcId="{6909184F-F162-4E09-B548-CDA4BC19FB3D}" destId="{5DC01D90-D170-4036-8213-7B601DC78987}" srcOrd="3" destOrd="0" parTransId="{F960FC4B-4579-4BBB-9692-D2B75BD1835C}" sibTransId="{240F3C85-839C-4710-8E2A-73C04BD5F5BD}"/>
    <dgm:cxn modelId="{BD17D814-CBC5-44F0-862E-E4A5468A05E4}" type="presOf" srcId="{FC807F34-5B3C-4D88-A302-AA132D887B1C}" destId="{69E84373-D043-4692-B662-2DC7176DC528}" srcOrd="0" destOrd="0" presId="urn:microsoft.com/office/officeart/2005/8/layout/default"/>
    <dgm:cxn modelId="{223F252A-0740-4085-AA12-E31503F4AD2C}" type="presOf" srcId="{2140CDAB-1CAD-429E-9E1D-8F136A3E35CB}" destId="{F3846728-3275-4A62-885F-B033A2F8B6B7}" srcOrd="0" destOrd="0" presId="urn:microsoft.com/office/officeart/2005/8/layout/default"/>
    <dgm:cxn modelId="{B87DDF86-215E-426B-9C51-A96A876436EA}" type="presOf" srcId="{1E372ACB-E036-429E-8AA5-F1D332048CB0}" destId="{5FFF8306-B9C9-4681-B651-4A5D937A496F}" srcOrd="0" destOrd="0" presId="urn:microsoft.com/office/officeart/2005/8/layout/default"/>
    <dgm:cxn modelId="{270F25D7-697D-4423-9012-EC91EBBD42B8}" type="presOf" srcId="{6909184F-F162-4E09-B548-CDA4BC19FB3D}" destId="{20A1D0AD-B0F4-4657-85BF-26125B00358D}" srcOrd="0" destOrd="0" presId="urn:microsoft.com/office/officeart/2005/8/layout/default"/>
    <dgm:cxn modelId="{6F92B588-D908-4BE0-ADDF-6B9B2BF11406}" srcId="{6909184F-F162-4E09-B548-CDA4BC19FB3D}" destId="{F5C6032B-FFB1-472B-9332-4AC272628BA0}" srcOrd="1" destOrd="0" parTransId="{E7EBD0B6-465D-4176-AB88-B7A8FE13219C}" sibTransId="{F72C39B9-526E-4616-AC1B-7753477F6136}"/>
    <dgm:cxn modelId="{A686C311-8FEF-4907-996A-2FB0BA7CBC04}" srcId="{6909184F-F162-4E09-B548-CDA4BC19FB3D}" destId="{2140CDAB-1CAD-429E-9E1D-8F136A3E35CB}" srcOrd="5" destOrd="0" parTransId="{E6970FBC-9060-4207-90AE-BBE38E8D2E69}" sibTransId="{517392D4-A230-47F9-A631-B29534FCE983}"/>
    <dgm:cxn modelId="{D2FD9E94-46B5-4447-9A4B-CEE3EAA6B69B}" type="presParOf" srcId="{20A1D0AD-B0F4-4657-85BF-26125B00358D}" destId="{B71A9754-E46A-4B3C-B58B-1F1F6162827B}" srcOrd="0" destOrd="0" presId="urn:microsoft.com/office/officeart/2005/8/layout/default"/>
    <dgm:cxn modelId="{6D2ADDD6-183B-49C9-B9D4-41EB1F4521CE}" type="presParOf" srcId="{20A1D0AD-B0F4-4657-85BF-26125B00358D}" destId="{F3AABF9E-F5FC-42C6-A276-86AF1D5CEBA3}" srcOrd="1" destOrd="0" presId="urn:microsoft.com/office/officeart/2005/8/layout/default"/>
    <dgm:cxn modelId="{B096C69E-86BA-4880-ACE3-8287CD6BD843}" type="presParOf" srcId="{20A1D0AD-B0F4-4657-85BF-26125B00358D}" destId="{E1BA10E8-7FC9-4428-ABCC-D410C1EC5366}" srcOrd="2" destOrd="0" presId="urn:microsoft.com/office/officeart/2005/8/layout/default"/>
    <dgm:cxn modelId="{8F210DA1-FD6E-488D-812A-9628ACB74F36}" type="presParOf" srcId="{20A1D0AD-B0F4-4657-85BF-26125B00358D}" destId="{BC350CC1-BE72-477A-98C9-142F09B504CF}" srcOrd="3" destOrd="0" presId="urn:microsoft.com/office/officeart/2005/8/layout/default"/>
    <dgm:cxn modelId="{299DB0AE-0C24-4E68-ABC8-1248473EFCDE}" type="presParOf" srcId="{20A1D0AD-B0F4-4657-85BF-26125B00358D}" destId="{69E84373-D043-4692-B662-2DC7176DC528}" srcOrd="4" destOrd="0" presId="urn:microsoft.com/office/officeart/2005/8/layout/default"/>
    <dgm:cxn modelId="{BDEA659D-08C8-4AC5-B7C5-4157804C0BDB}" type="presParOf" srcId="{20A1D0AD-B0F4-4657-85BF-26125B00358D}" destId="{F69E4009-4D5A-430C-A81D-28D901CEE21F}" srcOrd="5" destOrd="0" presId="urn:microsoft.com/office/officeart/2005/8/layout/default"/>
    <dgm:cxn modelId="{8314195C-62FE-45B0-BD32-0B25A17C8264}" type="presParOf" srcId="{20A1D0AD-B0F4-4657-85BF-26125B00358D}" destId="{193E8E8B-4921-42BE-8170-388DBB2F3B56}" srcOrd="6" destOrd="0" presId="urn:microsoft.com/office/officeart/2005/8/layout/default"/>
    <dgm:cxn modelId="{ED8EB5B0-123E-477C-B67D-ACCEE57134FA}" type="presParOf" srcId="{20A1D0AD-B0F4-4657-85BF-26125B00358D}" destId="{A7DF97C2-B6A2-4A2F-A67E-6688A1493514}" srcOrd="7" destOrd="0" presId="urn:microsoft.com/office/officeart/2005/8/layout/default"/>
    <dgm:cxn modelId="{4E29BE6C-7D95-4022-8416-F4C0DB0F4869}" type="presParOf" srcId="{20A1D0AD-B0F4-4657-85BF-26125B00358D}" destId="{5FFF8306-B9C9-4681-B651-4A5D937A496F}" srcOrd="8" destOrd="0" presId="urn:microsoft.com/office/officeart/2005/8/layout/default"/>
    <dgm:cxn modelId="{27D7491B-895A-4640-8133-CB43A764DAE3}" type="presParOf" srcId="{20A1D0AD-B0F4-4657-85BF-26125B00358D}" destId="{FF9C6D14-6D8F-4BFF-9E3E-00C27692CAAE}" srcOrd="9" destOrd="0" presId="urn:microsoft.com/office/officeart/2005/8/layout/default"/>
    <dgm:cxn modelId="{A5D33FF6-793F-4F0A-8B7F-D7BE03604515}" type="presParOf" srcId="{20A1D0AD-B0F4-4657-85BF-26125B00358D}" destId="{F3846728-3275-4A62-885F-B033A2F8B6B7}" srcOrd="10" destOrd="0" presId="urn:microsoft.com/office/officeart/2005/8/layout/defaul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2A0031-E225-4147-9658-D93E18F3D577}">
      <dsp:nvSpPr>
        <dsp:cNvPr id="0" name=""/>
        <dsp:cNvSpPr/>
      </dsp:nvSpPr>
      <dsp:spPr>
        <a:xfrm>
          <a:off x="0" y="220781"/>
          <a:ext cx="1190823" cy="71449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Adapting the credit solution to the customer's needs</a:t>
          </a:r>
          <a:endParaRPr lang="he-IL" sz="900" kern="1200">
            <a:latin typeface="Times New Roman" panose="02020603050405020304" pitchFamily="18" charset="0"/>
            <a:cs typeface="Times New Roman" panose="02020603050405020304" pitchFamily="18" charset="0"/>
          </a:endParaRPr>
        </a:p>
      </dsp:txBody>
      <dsp:txXfrm>
        <a:off x="0" y="220781"/>
        <a:ext cx="1190823" cy="714494"/>
      </dsp:txXfrm>
    </dsp:sp>
    <dsp:sp modelId="{188A39AA-56B5-4C5A-A30B-F30C48C756D6}">
      <dsp:nvSpPr>
        <dsp:cNvPr id="0" name=""/>
        <dsp:cNvSpPr/>
      </dsp:nvSpPr>
      <dsp:spPr>
        <a:xfrm>
          <a:off x="1309905" y="220781"/>
          <a:ext cx="1190823" cy="71449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Documenting the initiated call to the customer with a credit offer</a:t>
          </a:r>
          <a:endParaRPr lang="he-IL" sz="900" kern="1200">
            <a:latin typeface="Times New Roman" panose="02020603050405020304" pitchFamily="18" charset="0"/>
            <a:cs typeface="Times New Roman" panose="02020603050405020304" pitchFamily="18" charset="0"/>
          </a:endParaRPr>
        </a:p>
      </dsp:txBody>
      <dsp:txXfrm>
        <a:off x="1309905" y="220781"/>
        <a:ext cx="1190823" cy="714494"/>
      </dsp:txXfrm>
    </dsp:sp>
    <dsp:sp modelId="{6BB9B1A5-DEEE-48B3-9696-A52A8F20D8BC}">
      <dsp:nvSpPr>
        <dsp:cNvPr id="0" name=""/>
        <dsp:cNvSpPr/>
      </dsp:nvSpPr>
      <dsp:spPr>
        <a:xfrm>
          <a:off x="2619811" y="220781"/>
          <a:ext cx="1190823" cy="71449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Drawing the customer's attention to the benefits for which he is eligible</a:t>
          </a:r>
          <a:endParaRPr lang="he-IL" sz="900" kern="1200">
            <a:latin typeface="Times New Roman" panose="02020603050405020304" pitchFamily="18" charset="0"/>
            <a:cs typeface="Times New Roman" panose="02020603050405020304" pitchFamily="18" charset="0"/>
          </a:endParaRPr>
        </a:p>
      </dsp:txBody>
      <dsp:txXfrm>
        <a:off x="2619811" y="220781"/>
        <a:ext cx="1190823" cy="714494"/>
      </dsp:txXfrm>
    </dsp:sp>
    <dsp:sp modelId="{73755F92-ECB4-4455-A091-5992C18AF086}">
      <dsp:nvSpPr>
        <dsp:cNvPr id="0" name=""/>
        <dsp:cNvSpPr/>
      </dsp:nvSpPr>
      <dsp:spPr>
        <a:xfrm>
          <a:off x="0" y="1054357"/>
          <a:ext cx="1190823" cy="71449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rtl="0">
            <a:lnSpc>
              <a:spcPct val="90000"/>
            </a:lnSpc>
            <a:spcBef>
              <a:spcPct val="0"/>
            </a:spcBef>
            <a:spcAft>
              <a:spcPct val="35000"/>
            </a:spcAft>
          </a:pPr>
          <a:r>
            <a:rPr lang="en-US" sz="850" kern="1200">
              <a:latin typeface="David" panose="020E0502060401010101" pitchFamily="34" charset="-79"/>
              <a:cs typeface="+mj-cs"/>
            </a:rPr>
            <a:t>Drawing the </a:t>
          </a:r>
          <a:r>
            <a:rPr lang="en-US" sz="850" kern="1200">
              <a:latin typeface="Times New Roman" panose="02020603050405020304" pitchFamily="18" charset="0"/>
              <a:cs typeface="Times New Roman" panose="02020603050405020304" pitchFamily="18" charset="0"/>
            </a:rPr>
            <a:t>customer's</a:t>
          </a:r>
          <a:r>
            <a:rPr lang="en-US" sz="850" kern="1200">
              <a:latin typeface="David" panose="020E0502060401010101" pitchFamily="34" charset="-79"/>
              <a:cs typeface="+mj-cs"/>
            </a:rPr>
            <a:t> attention to positive balances and deposits, and to the differences between the return on them and the interest on credit</a:t>
          </a:r>
          <a:endParaRPr lang="he-IL" sz="850" kern="1200">
            <a:latin typeface="David" panose="020E0502060401010101" pitchFamily="34" charset="-79"/>
            <a:cs typeface="+mj-cs"/>
          </a:endParaRPr>
        </a:p>
      </dsp:txBody>
      <dsp:txXfrm>
        <a:off x="0" y="1054357"/>
        <a:ext cx="1190823" cy="714494"/>
      </dsp:txXfrm>
    </dsp:sp>
    <dsp:sp modelId="{B10CF356-EB3A-4ED5-AF6C-8A5EFE0F79B4}">
      <dsp:nvSpPr>
        <dsp:cNvPr id="0" name=""/>
        <dsp:cNvSpPr/>
      </dsp:nvSpPr>
      <dsp:spPr>
        <a:xfrm>
          <a:off x="1309905" y="1054357"/>
          <a:ext cx="1190823" cy="71449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rtl="0">
            <a:lnSpc>
              <a:spcPct val="90000"/>
            </a:lnSpc>
            <a:spcBef>
              <a:spcPct val="0"/>
            </a:spcBef>
            <a:spcAft>
              <a:spcPct val="35000"/>
            </a:spcAft>
          </a:pPr>
          <a:r>
            <a:rPr lang="en-US" sz="850" kern="1200">
              <a:latin typeface="Times New Roman" panose="02020603050405020304" pitchFamily="18" charset="0"/>
              <a:cs typeface="Times New Roman" panose="02020603050405020304" pitchFamily="18" charset="0"/>
            </a:rPr>
            <a:t>An offer to spread out credit in order to minimize monthly payments (even if the interest is higher) to help with repayment of debt</a:t>
          </a:r>
          <a:endParaRPr lang="he-IL" sz="850" kern="1200">
            <a:latin typeface="Times New Roman" panose="02020603050405020304" pitchFamily="18" charset="0"/>
            <a:cs typeface="Times New Roman" panose="02020603050405020304" pitchFamily="18" charset="0"/>
          </a:endParaRPr>
        </a:p>
      </dsp:txBody>
      <dsp:txXfrm>
        <a:off x="1309905" y="1054357"/>
        <a:ext cx="1190823" cy="714494"/>
      </dsp:txXfrm>
    </dsp:sp>
    <dsp:sp modelId="{D6167195-6997-4D2D-B0E6-602DF40415AF}">
      <dsp:nvSpPr>
        <dsp:cNvPr id="0" name=""/>
        <dsp:cNvSpPr/>
      </dsp:nvSpPr>
      <dsp:spPr>
        <a:xfrm>
          <a:off x="2619811" y="1054357"/>
          <a:ext cx="1190823" cy="71449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Providing full information on the customer's assets and liabilities at the beginning of the conversation</a:t>
          </a:r>
          <a:endParaRPr lang="he-IL" sz="900" kern="1200">
            <a:latin typeface="Times New Roman" panose="02020603050405020304" pitchFamily="18" charset="0"/>
            <a:cs typeface="Times New Roman" panose="02020603050405020304" pitchFamily="18" charset="0"/>
          </a:endParaRPr>
        </a:p>
      </dsp:txBody>
      <dsp:txXfrm>
        <a:off x="2619811" y="1054357"/>
        <a:ext cx="1190823" cy="714494"/>
      </dsp:txXfrm>
    </dsp:sp>
    <dsp:sp modelId="{80F60C59-80BB-4C9F-AC16-DC01E360AAF3}">
      <dsp:nvSpPr>
        <dsp:cNvPr id="0" name=""/>
        <dsp:cNvSpPr/>
      </dsp:nvSpPr>
      <dsp:spPr>
        <a:xfrm>
          <a:off x="1309905" y="1887934"/>
          <a:ext cx="1190823" cy="714494"/>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Providing full information on the terms of the loan (such as interest rate, loan period) early in the conversation</a:t>
          </a:r>
          <a:endParaRPr lang="he-IL" sz="900" kern="1200">
            <a:latin typeface="Times New Roman" panose="02020603050405020304" pitchFamily="18" charset="0"/>
            <a:cs typeface="Times New Roman" panose="02020603050405020304" pitchFamily="18" charset="0"/>
          </a:endParaRPr>
        </a:p>
      </dsp:txBody>
      <dsp:txXfrm>
        <a:off x="1309905" y="1887934"/>
        <a:ext cx="1190823" cy="7144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A9754-E46A-4B3C-B58B-1F1F6162827B}">
      <dsp:nvSpPr>
        <dsp:cNvPr id="0" name=""/>
        <dsp:cNvSpPr/>
      </dsp:nvSpPr>
      <dsp:spPr>
        <a:xfrm>
          <a:off x="383440" y="1508"/>
          <a:ext cx="1289446" cy="77366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Frequent repeated calls to a customer that has said he is not interested</a:t>
          </a:r>
          <a:endParaRPr lang="he-IL" sz="900" kern="1200">
            <a:latin typeface="Times New Roman" panose="02020603050405020304" pitchFamily="18" charset="0"/>
            <a:cs typeface="Times New Roman" panose="02020603050405020304" pitchFamily="18" charset="0"/>
          </a:endParaRPr>
        </a:p>
      </dsp:txBody>
      <dsp:txXfrm>
        <a:off x="383440" y="1508"/>
        <a:ext cx="1289446" cy="773668"/>
      </dsp:txXfrm>
    </dsp:sp>
    <dsp:sp modelId="{E1BA10E8-7FC9-4428-ABCC-D410C1EC5366}">
      <dsp:nvSpPr>
        <dsp:cNvPr id="0" name=""/>
        <dsp:cNvSpPr/>
      </dsp:nvSpPr>
      <dsp:spPr>
        <a:xfrm>
          <a:off x="1815900" y="0"/>
          <a:ext cx="1289446" cy="77366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Initiated marketing to customers who will have difficulty repaying the loan without substantial hardship</a:t>
          </a:r>
        </a:p>
      </dsp:txBody>
      <dsp:txXfrm>
        <a:off x="1815900" y="0"/>
        <a:ext cx="1289446" cy="773668"/>
      </dsp:txXfrm>
    </dsp:sp>
    <dsp:sp modelId="{69E84373-D043-4692-B662-2DC7176DC528}">
      <dsp:nvSpPr>
        <dsp:cNvPr id="0" name=""/>
        <dsp:cNvSpPr/>
      </dsp:nvSpPr>
      <dsp:spPr>
        <a:xfrm>
          <a:off x="383440" y="904120"/>
          <a:ext cx="1289446" cy="77366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Initiated marketing to very young or very old customers</a:t>
          </a:r>
          <a:endParaRPr lang="he-IL" sz="900" kern="1200">
            <a:latin typeface="Times New Roman" panose="02020603050405020304" pitchFamily="18" charset="0"/>
            <a:cs typeface="Times New Roman" panose="02020603050405020304" pitchFamily="18" charset="0"/>
          </a:endParaRPr>
        </a:p>
      </dsp:txBody>
      <dsp:txXfrm>
        <a:off x="383440" y="904120"/>
        <a:ext cx="1289446" cy="773668"/>
      </dsp:txXfrm>
    </dsp:sp>
    <dsp:sp modelId="{193E8E8B-4921-42BE-8170-388DBB2F3B56}">
      <dsp:nvSpPr>
        <dsp:cNvPr id="0" name=""/>
        <dsp:cNvSpPr/>
      </dsp:nvSpPr>
      <dsp:spPr>
        <a:xfrm>
          <a:off x="1801832" y="904120"/>
          <a:ext cx="1289446" cy="77366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Initiated offers to customers who have indicated in advance that they are not interested in initiated contact from the bank</a:t>
          </a:r>
          <a:endParaRPr lang="he-IL" sz="900" kern="1200">
            <a:latin typeface="Times New Roman" panose="02020603050405020304" pitchFamily="18" charset="0"/>
            <a:cs typeface="Times New Roman" panose="02020603050405020304" pitchFamily="18" charset="0"/>
          </a:endParaRPr>
        </a:p>
      </dsp:txBody>
      <dsp:txXfrm>
        <a:off x="1801832" y="904120"/>
        <a:ext cx="1289446" cy="773668"/>
      </dsp:txXfrm>
    </dsp:sp>
    <dsp:sp modelId="{5FFF8306-B9C9-4681-B651-4A5D937A496F}">
      <dsp:nvSpPr>
        <dsp:cNvPr id="0" name=""/>
        <dsp:cNvSpPr/>
      </dsp:nvSpPr>
      <dsp:spPr>
        <a:xfrm>
          <a:off x="383440" y="1806733"/>
          <a:ext cx="1289446" cy="77366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Offering an expensive loan in order to repay cheaper loans, to a customer that does not need a repayment arrangement</a:t>
          </a:r>
          <a:endParaRPr lang="he-IL" sz="900" kern="1200">
            <a:latin typeface="Times New Roman" panose="02020603050405020304" pitchFamily="18" charset="0"/>
            <a:cs typeface="Times New Roman" panose="02020603050405020304" pitchFamily="18" charset="0"/>
          </a:endParaRPr>
        </a:p>
      </dsp:txBody>
      <dsp:txXfrm>
        <a:off x="383440" y="1806733"/>
        <a:ext cx="1289446" cy="773668"/>
      </dsp:txXfrm>
    </dsp:sp>
    <dsp:sp modelId="{F3846728-3275-4A62-885F-B033A2F8B6B7}">
      <dsp:nvSpPr>
        <dsp:cNvPr id="0" name=""/>
        <dsp:cNvSpPr/>
      </dsp:nvSpPr>
      <dsp:spPr>
        <a:xfrm>
          <a:off x="1801832" y="1806733"/>
          <a:ext cx="1289446" cy="77366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Harassing a customer to take out credit.  This refers to attempts to convince and pressuring</a:t>
          </a:r>
        </a:p>
      </dsp:txBody>
      <dsp:txXfrm>
        <a:off x="1801832" y="1806733"/>
        <a:ext cx="1289446" cy="77366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0.03946</cdr:x>
      <cdr:y>0.03181</cdr:y>
    </cdr:from>
    <cdr:to>
      <cdr:x>0.92427</cdr:x>
      <cdr:y>0.21094</cdr:y>
    </cdr:to>
    <cdr:sp macro="" textlink="">
      <cdr:nvSpPr>
        <cdr:cNvPr id="2" name="Text Box 2"/>
        <cdr:cNvSpPr txBox="1">
          <a:spLocks xmlns:a="http://schemas.openxmlformats.org/drawingml/2006/main" noChangeArrowheads="1"/>
        </cdr:cNvSpPr>
      </cdr:nvSpPr>
      <cdr:spPr bwMode="auto">
        <a:xfrm xmlns:a="http://schemas.openxmlformats.org/drawingml/2006/main">
          <a:off x="167717" y="73990"/>
          <a:ext cx="3760470" cy="4166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b="1">
              <a:latin typeface="Times New Roman" panose="02020603050405020304" pitchFamily="18" charset="0"/>
              <a:cs typeface="Times New Roman" panose="02020603050405020304" pitchFamily="18" charset="0"/>
            </a:rPr>
            <a:t>Rate of change in outstanding</a:t>
          </a:r>
          <a:r>
            <a:rPr lang="en-US" b="1" baseline="0">
              <a:latin typeface="Times New Roman" panose="02020603050405020304" pitchFamily="18" charset="0"/>
              <a:cs typeface="Times New Roman" panose="02020603050405020304" pitchFamily="18" charset="0"/>
            </a:rPr>
            <a:t> consumer credit, 2014</a:t>
          </a:r>
          <a:r>
            <a:rPr lang="en-US" sz="1100" b="1">
              <a:effectLst/>
              <a:latin typeface="Times New Roman" panose="02020603050405020304" pitchFamily="18" charset="0"/>
              <a:ea typeface="+mn-ea"/>
              <a:cs typeface="Times New Roman" panose="02020603050405020304" pitchFamily="18" charset="0"/>
            </a:rPr>
            <a:t>–</a:t>
          </a:r>
          <a:r>
            <a:rPr lang="en-US" b="1" baseline="0">
              <a:latin typeface="Times New Roman" panose="02020603050405020304" pitchFamily="18" charset="0"/>
              <a:cs typeface="Times New Roman" panose="02020603050405020304" pitchFamily="18" charset="0"/>
            </a:rPr>
            <a:t>2018 </a:t>
          </a:r>
          <a:r>
            <a:rPr lang="en-US" sz="1000" b="0" baseline="0">
              <a:latin typeface="Times New Roman" panose="02020603050405020304" pitchFamily="18" charset="0"/>
              <a:cs typeface="Times New Roman" panose="02020603050405020304" pitchFamily="18" charset="0"/>
            </a:rPr>
            <a:t>(percent)</a:t>
          </a:r>
          <a:endParaRPr lang="en-US" sz="10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0.00861</cdr:x>
      <cdr:y>0.87571</cdr:y>
    </cdr:from>
    <cdr:to>
      <cdr:x>1</cdr:x>
      <cdr:y>1</cdr:y>
    </cdr:to>
    <cdr:sp macro="" textlink="">
      <cdr:nvSpPr>
        <cdr:cNvPr id="3" name="Text Box 2"/>
        <cdr:cNvSpPr txBox="1">
          <a:spLocks xmlns:a="http://schemas.openxmlformats.org/drawingml/2006/main" noChangeArrowheads="1"/>
        </cdr:cNvSpPr>
      </cdr:nvSpPr>
      <cdr:spPr bwMode="auto">
        <a:xfrm xmlns:a="http://schemas.openxmlformats.org/drawingml/2006/main">
          <a:off x="36576" y="2312163"/>
          <a:ext cx="4213479" cy="32816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sz="800">
              <a:latin typeface="Arial" panose="020B0604020202020204" pitchFamily="34" charset="0"/>
              <a:cs typeface="Arial" panose="020B0604020202020204" pitchFamily="34" charset="0"/>
            </a:rPr>
            <a:t>SOURCE:  Based on published financial statements</a:t>
          </a:r>
          <a:r>
            <a:rPr lang="en-US" sz="800" baseline="0">
              <a:latin typeface="Arial" panose="020B0604020202020204" pitchFamily="34" charset="0"/>
              <a:cs typeface="Arial" panose="020B0604020202020204" pitchFamily="34" charset="0"/>
            </a:rPr>
            <a:t> and reports to the Banking Supervision Department.</a:t>
          </a:r>
          <a:endParaRPr lang="en-US"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59B75C4D-E004-4135-B244-AE6296ABE19D}"/>
</file>

<file path=customXml/itemProps2.xml><?xml version="1.0" encoding="utf-8"?>
<ds:datastoreItem xmlns:ds="http://schemas.openxmlformats.org/officeDocument/2006/customXml" ds:itemID="{7F4D33E5-723B-4A63-80BB-BB0ABEE6F634}"/>
</file>

<file path=customXml/itemProps3.xml><?xml version="1.0" encoding="utf-8"?>
<ds:datastoreItem xmlns:ds="http://schemas.openxmlformats.org/officeDocument/2006/customXml" ds:itemID="{B95A4001-989D-4C75-947C-F7CC784A25AE}"/>
</file>

<file path=customXml/itemProps4.xml><?xml version="1.0" encoding="utf-8"?>
<ds:datastoreItem xmlns:ds="http://schemas.openxmlformats.org/officeDocument/2006/customXml" ds:itemID="{F8E67C20-2969-4EB8-890A-EBCCD4F09DD7}"/>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9362</Characters>
  <Application>Microsoft Office Word</Application>
  <DocSecurity>4</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11091</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2018-12-12T13:29:00Z</dcterms:created>
  <dcterms:modified xsi:type="dcterms:W3CDTF">2018-12-12T13:29:00Z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