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DD0C4" w14:textId="77777777" w:rsidR="00A5544A" w:rsidRPr="00A40F24" w:rsidRDefault="00A5544A" w:rsidP="00A5544A">
      <w:pPr>
        <w:jc w:val="center"/>
        <w:rPr>
          <w:rFonts w:cstheme="majorBidi"/>
          <w:rtl/>
        </w:rPr>
      </w:pPr>
      <w:r w:rsidRPr="00A40F24">
        <w:rPr>
          <w:rFonts w:cstheme="majorBidi"/>
          <w:noProof/>
        </w:rPr>
        <w:drawing>
          <wp:anchor distT="0" distB="0" distL="114300" distR="114300" simplePos="0" relativeHeight="251658240" behindDoc="1" locked="0" layoutInCell="1" allowOverlap="1" wp14:anchorId="59CD49EB" wp14:editId="498C3D57">
            <wp:simplePos x="0" y="0"/>
            <wp:positionH relativeFrom="margin">
              <wp:align>center</wp:align>
            </wp:positionH>
            <wp:positionV relativeFrom="paragraph">
              <wp:posOffset>-845260</wp:posOffset>
            </wp:positionV>
            <wp:extent cx="975360" cy="975360"/>
            <wp:effectExtent l="0" t="0" r="0" b="0"/>
            <wp:wrapNone/>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EB304" w14:textId="77777777" w:rsidR="00A5544A" w:rsidRPr="00A40F24" w:rsidRDefault="00A5544A" w:rsidP="00A5544A">
      <w:pPr>
        <w:pStyle w:val="regpar"/>
        <w:spacing w:line="300" w:lineRule="atLeast"/>
        <w:ind w:firstLine="0"/>
        <w:jc w:val="center"/>
        <w:rPr>
          <w:rFonts w:asciiTheme="majorBidi" w:hAnsiTheme="majorBidi" w:cstheme="majorBidi"/>
          <w:b/>
          <w:bCs/>
        </w:rPr>
      </w:pPr>
      <w:r w:rsidRPr="00A40F24">
        <w:rPr>
          <w:rFonts w:asciiTheme="majorBidi" w:hAnsiTheme="majorBidi" w:cstheme="majorBidi"/>
          <w:b/>
          <w:bCs/>
        </w:rPr>
        <w:t>BANK OF ISRAEL</w:t>
      </w:r>
    </w:p>
    <w:p w14:paraId="760662B0" w14:textId="77777777" w:rsidR="00A5544A" w:rsidRPr="00A40F24" w:rsidRDefault="00A5544A" w:rsidP="00A5544A">
      <w:pPr>
        <w:pStyle w:val="regpar"/>
        <w:spacing w:line="300" w:lineRule="atLeast"/>
        <w:ind w:firstLine="0"/>
        <w:jc w:val="center"/>
        <w:rPr>
          <w:rFonts w:asciiTheme="majorBidi" w:hAnsiTheme="majorBidi" w:cstheme="majorBidi"/>
        </w:rPr>
      </w:pPr>
      <w:r w:rsidRPr="00A40F24">
        <w:rPr>
          <w:rFonts w:asciiTheme="majorBidi" w:hAnsiTheme="majorBidi" w:cstheme="majorBidi"/>
        </w:rPr>
        <w:t>Office of the Spokesperson and Economic Information</w:t>
      </w:r>
    </w:p>
    <w:p w14:paraId="196FDFA7" w14:textId="77777777" w:rsidR="00A5544A" w:rsidRPr="006F18D3" w:rsidRDefault="00A5544A" w:rsidP="00A5544A">
      <w:pPr>
        <w:pStyle w:val="1"/>
        <w:numPr>
          <w:ilvl w:val="0"/>
          <w:numId w:val="0"/>
        </w:numPr>
        <w:tabs>
          <w:tab w:val="left" w:pos="180"/>
        </w:tabs>
        <w:bidi w:val="0"/>
        <w:spacing w:line="240" w:lineRule="auto"/>
        <w:ind w:right="32"/>
        <w:rPr>
          <w:rFonts w:hint="cs"/>
          <w:rtl/>
          <w:lang w:eastAsia="en-US"/>
        </w:rPr>
      </w:pPr>
    </w:p>
    <w:p w14:paraId="64AAE77F" w14:textId="4DCA40F4" w:rsidR="006A415B" w:rsidRPr="006F18D3" w:rsidRDefault="00DE5970" w:rsidP="00C2592B">
      <w:pPr>
        <w:pStyle w:val="1"/>
        <w:numPr>
          <w:ilvl w:val="0"/>
          <w:numId w:val="0"/>
        </w:numPr>
        <w:tabs>
          <w:tab w:val="left" w:pos="180"/>
        </w:tabs>
        <w:bidi w:val="0"/>
        <w:spacing w:line="240" w:lineRule="auto"/>
        <w:ind w:right="32"/>
        <w:jc w:val="right"/>
        <w:rPr>
          <w:rtl/>
          <w:lang w:eastAsia="en-US"/>
        </w:rPr>
      </w:pPr>
      <w:r>
        <w:rPr>
          <w:lang w:eastAsia="en-US"/>
        </w:rPr>
        <w:t>September 4</w:t>
      </w:r>
      <w:r w:rsidR="00D22CE3">
        <w:rPr>
          <w:lang w:eastAsia="en-US"/>
        </w:rPr>
        <w:t>, 2023</w:t>
      </w:r>
    </w:p>
    <w:p w14:paraId="0B7FE089" w14:textId="77777777" w:rsidR="006A415B" w:rsidRPr="006F18D3" w:rsidRDefault="006A415B" w:rsidP="00C2592B">
      <w:pPr>
        <w:pStyle w:val="aa"/>
        <w:bidi w:val="0"/>
        <w:spacing w:line="240" w:lineRule="auto"/>
      </w:pPr>
    </w:p>
    <w:p w14:paraId="43D5A2BD" w14:textId="73E3D26C" w:rsidR="006A415B" w:rsidRPr="00A5544A" w:rsidRDefault="006A415B" w:rsidP="00A5544A">
      <w:pPr>
        <w:pStyle w:val="aa"/>
        <w:bidi w:val="0"/>
        <w:spacing w:line="240" w:lineRule="auto"/>
        <w:jc w:val="left"/>
      </w:pPr>
      <w:r w:rsidRPr="00A5544A">
        <w:t>Press Release</w:t>
      </w:r>
      <w:r w:rsidR="00A5544A">
        <w:t>:</w:t>
      </w:r>
    </w:p>
    <w:p w14:paraId="75D1049F" w14:textId="77777777" w:rsidR="006A415B" w:rsidRPr="006F18D3" w:rsidRDefault="006A415B" w:rsidP="00C2592B">
      <w:pPr>
        <w:jc w:val="center"/>
        <w:rPr>
          <w:b/>
          <w:bCs/>
        </w:rPr>
      </w:pPr>
    </w:p>
    <w:p w14:paraId="6EAB5167" w14:textId="5C525B83" w:rsidR="006A415B" w:rsidRPr="00A5544A" w:rsidRDefault="006A415B" w:rsidP="00DE5970">
      <w:pPr>
        <w:jc w:val="center"/>
        <w:rPr>
          <w:b/>
          <w:bCs/>
          <w:sz w:val="28"/>
          <w:szCs w:val="28"/>
        </w:rPr>
      </w:pPr>
      <w:r w:rsidRPr="00A5544A">
        <w:rPr>
          <w:b/>
          <w:bCs/>
          <w:sz w:val="28"/>
          <w:szCs w:val="28"/>
        </w:rPr>
        <w:t xml:space="preserve">The Monetary Committee decides on </w:t>
      </w:r>
      <w:r w:rsidR="00DE5970" w:rsidRPr="00A5544A">
        <w:rPr>
          <w:b/>
          <w:bCs/>
          <w:sz w:val="28"/>
          <w:szCs w:val="28"/>
        </w:rPr>
        <w:t>September 4</w:t>
      </w:r>
      <w:r w:rsidR="00D22CE3" w:rsidRPr="00A5544A">
        <w:rPr>
          <w:b/>
          <w:bCs/>
          <w:sz w:val="28"/>
          <w:szCs w:val="28"/>
        </w:rPr>
        <w:t>, 2023</w:t>
      </w:r>
      <w:r w:rsidRPr="00A5544A">
        <w:rPr>
          <w:b/>
          <w:bCs/>
          <w:sz w:val="28"/>
          <w:szCs w:val="28"/>
        </w:rPr>
        <w:t xml:space="preserve"> </w:t>
      </w:r>
    </w:p>
    <w:p w14:paraId="3D5ED02F" w14:textId="26CE9599" w:rsidR="006A415B" w:rsidRPr="00A5544A" w:rsidRDefault="006A415B" w:rsidP="000A7BAF">
      <w:pPr>
        <w:jc w:val="center"/>
        <w:rPr>
          <w:b/>
          <w:bCs/>
          <w:sz w:val="28"/>
          <w:szCs w:val="28"/>
        </w:rPr>
      </w:pPr>
      <w:proofErr w:type="gramStart"/>
      <w:r w:rsidRPr="00A5544A">
        <w:rPr>
          <w:b/>
          <w:bCs/>
          <w:sz w:val="28"/>
          <w:szCs w:val="28"/>
        </w:rPr>
        <w:t>to</w:t>
      </w:r>
      <w:proofErr w:type="gramEnd"/>
      <w:r w:rsidRPr="00A5544A">
        <w:rPr>
          <w:b/>
          <w:bCs/>
          <w:sz w:val="28"/>
          <w:szCs w:val="28"/>
        </w:rPr>
        <w:t xml:space="preserve"> </w:t>
      </w:r>
      <w:r w:rsidR="000A7BAF" w:rsidRPr="00A5544A">
        <w:rPr>
          <w:b/>
          <w:bCs/>
          <w:sz w:val="28"/>
          <w:szCs w:val="28"/>
        </w:rPr>
        <w:t>leave</w:t>
      </w:r>
      <w:r w:rsidR="00CB5669" w:rsidRPr="00A5544A">
        <w:rPr>
          <w:b/>
          <w:bCs/>
          <w:sz w:val="28"/>
          <w:szCs w:val="28"/>
        </w:rPr>
        <w:t xml:space="preserve"> </w:t>
      </w:r>
      <w:r w:rsidR="00773125" w:rsidRPr="00A5544A">
        <w:rPr>
          <w:b/>
          <w:bCs/>
          <w:sz w:val="28"/>
          <w:szCs w:val="28"/>
        </w:rPr>
        <w:t>the intere</w:t>
      </w:r>
      <w:bookmarkStart w:id="0" w:name="_GoBack"/>
      <w:bookmarkEnd w:id="0"/>
      <w:r w:rsidR="00773125" w:rsidRPr="00A5544A">
        <w:rPr>
          <w:b/>
          <w:bCs/>
          <w:sz w:val="28"/>
          <w:szCs w:val="28"/>
        </w:rPr>
        <w:t>st rate</w:t>
      </w:r>
      <w:r w:rsidR="00B14C6C" w:rsidRPr="00A5544A">
        <w:rPr>
          <w:b/>
          <w:bCs/>
          <w:sz w:val="28"/>
          <w:szCs w:val="28"/>
        </w:rPr>
        <w:t xml:space="preserve"> </w:t>
      </w:r>
      <w:r w:rsidR="000A7BAF" w:rsidRPr="00A5544A">
        <w:rPr>
          <w:b/>
          <w:bCs/>
          <w:sz w:val="28"/>
          <w:szCs w:val="28"/>
        </w:rPr>
        <w:t>unchanged at</w:t>
      </w:r>
      <w:r w:rsidR="00CB5669" w:rsidRPr="00A5544A">
        <w:rPr>
          <w:b/>
          <w:bCs/>
          <w:sz w:val="28"/>
          <w:szCs w:val="28"/>
        </w:rPr>
        <w:t xml:space="preserve"> </w:t>
      </w:r>
      <w:r w:rsidR="00FF505B" w:rsidRPr="00A5544A">
        <w:rPr>
          <w:b/>
          <w:bCs/>
          <w:sz w:val="28"/>
          <w:szCs w:val="28"/>
        </w:rPr>
        <w:t>4.</w:t>
      </w:r>
      <w:r w:rsidR="00FE52C4" w:rsidRPr="00A5544A">
        <w:rPr>
          <w:b/>
          <w:bCs/>
          <w:sz w:val="28"/>
          <w:szCs w:val="28"/>
        </w:rPr>
        <w:t>7</w:t>
      </w:r>
      <w:r w:rsidR="00FF505B" w:rsidRPr="00A5544A">
        <w:rPr>
          <w:b/>
          <w:bCs/>
          <w:sz w:val="28"/>
          <w:szCs w:val="28"/>
        </w:rPr>
        <w:t>5</w:t>
      </w:r>
      <w:r w:rsidR="00773125" w:rsidRPr="00A5544A">
        <w:rPr>
          <w:b/>
          <w:bCs/>
          <w:sz w:val="28"/>
          <w:szCs w:val="28"/>
        </w:rPr>
        <w:t xml:space="preserve"> percent</w:t>
      </w:r>
    </w:p>
    <w:p w14:paraId="796566F9" w14:textId="77777777" w:rsidR="003768D8" w:rsidRPr="00A5544A" w:rsidRDefault="003768D8" w:rsidP="00C2592B">
      <w:pPr>
        <w:rPr>
          <w:b/>
          <w:bCs/>
          <w:sz w:val="28"/>
          <w:szCs w:val="28"/>
        </w:rPr>
      </w:pPr>
    </w:p>
    <w:p w14:paraId="422C5EBC" w14:textId="77777777" w:rsidR="000512B0" w:rsidRPr="006F18D3" w:rsidRDefault="000512B0" w:rsidP="00C2592B">
      <w:pPr>
        <w:jc w:val="both"/>
      </w:pPr>
    </w:p>
    <w:p w14:paraId="3B3B2AF0" w14:textId="374453DB" w:rsidR="001E34CC" w:rsidRPr="00A5544A" w:rsidRDefault="001E34CC" w:rsidP="005B4911">
      <w:pPr>
        <w:pStyle w:val="ac"/>
        <w:numPr>
          <w:ilvl w:val="0"/>
          <w:numId w:val="8"/>
        </w:numPr>
        <w:bidi w:val="0"/>
        <w:spacing w:line="240" w:lineRule="auto"/>
      </w:pPr>
      <w:proofErr w:type="gramStart"/>
      <w:r w:rsidRPr="00A5544A">
        <w:t>Inflation</w:t>
      </w:r>
      <w:r w:rsidR="007F290D" w:rsidRPr="00A5544A">
        <w:rPr>
          <w:rFonts w:hint="cs"/>
          <w:rtl/>
        </w:rPr>
        <w:t xml:space="preserve"> </w:t>
      </w:r>
      <w:r w:rsidR="007F290D" w:rsidRPr="00A5544A">
        <w:t xml:space="preserve">is moderating, but </w:t>
      </w:r>
      <w:r w:rsidR="001D1BFB" w:rsidRPr="00A5544A">
        <w:t>is</w:t>
      </w:r>
      <w:r w:rsidR="005D3898" w:rsidRPr="00A5544A">
        <w:t xml:space="preserve"> still</w:t>
      </w:r>
      <w:r w:rsidR="001D1BFB" w:rsidRPr="00A5544A">
        <w:t xml:space="preserve"> </w:t>
      </w:r>
      <w:r w:rsidR="00DE5970" w:rsidRPr="00A5544A">
        <w:t>above the target range</w:t>
      </w:r>
      <w:r w:rsidR="00D22CE3" w:rsidRPr="00A5544A">
        <w:t>.</w:t>
      </w:r>
      <w:proofErr w:type="gramEnd"/>
      <w:r w:rsidR="00CA3997" w:rsidRPr="00A5544A">
        <w:t xml:space="preserve"> </w:t>
      </w:r>
      <w:r w:rsidR="005D3898" w:rsidRPr="00A5544A">
        <w:t>One-year i</w:t>
      </w:r>
      <w:r w:rsidR="008D78E5" w:rsidRPr="00A5544A">
        <w:t xml:space="preserve">nflation expectations and forecasts </w:t>
      </w:r>
      <w:r w:rsidR="007F290D" w:rsidRPr="00A5544A">
        <w:t>are within</w:t>
      </w:r>
      <w:r w:rsidR="008D78E5" w:rsidRPr="00A5544A">
        <w:t xml:space="preserve"> the target range</w:t>
      </w:r>
      <w:r w:rsidR="007F290D" w:rsidRPr="00A5544A">
        <w:t>, near the upper bound</w:t>
      </w:r>
      <w:r w:rsidR="008D78E5" w:rsidRPr="00A5544A">
        <w:t>.</w:t>
      </w:r>
      <w:r w:rsidR="0041770E" w:rsidRPr="00A5544A">
        <w:t xml:space="preserve"> </w:t>
      </w:r>
      <w:r w:rsidR="008D78E5" w:rsidRPr="00A5544A">
        <w:t>Expectations derived from the capital market for the second year onward are within the target range.</w:t>
      </w:r>
      <w:r w:rsidR="00441BDC" w:rsidRPr="00A5544A">
        <w:t xml:space="preserve"> </w:t>
      </w:r>
    </w:p>
    <w:p w14:paraId="4F011D40" w14:textId="2E855211" w:rsidR="0066010C" w:rsidRPr="00A5544A" w:rsidRDefault="00DE5970" w:rsidP="00DE5970">
      <w:pPr>
        <w:pStyle w:val="ac"/>
        <w:numPr>
          <w:ilvl w:val="0"/>
          <w:numId w:val="8"/>
        </w:numPr>
        <w:bidi w:val="0"/>
        <w:spacing w:line="240" w:lineRule="auto"/>
      </w:pPr>
      <w:r w:rsidRPr="00A5544A">
        <w:t>National Accounts data show that the level of GDP reflects a level of activity that is above the pre-COVID-19 trend line.</w:t>
      </w:r>
      <w:r w:rsidR="00CA3997" w:rsidRPr="00A5544A">
        <w:t xml:space="preserve"> </w:t>
      </w:r>
      <w:r w:rsidRPr="00A5544A">
        <w:t>However, the pace of growth is below potential economic growth, total uses in the economy declined, and a number of indicators point to some moderation in growth.</w:t>
      </w:r>
      <w:r w:rsidR="00CA3997" w:rsidRPr="00A5544A">
        <w:t xml:space="preserve"> </w:t>
      </w:r>
    </w:p>
    <w:p w14:paraId="67EB0E74" w14:textId="5B8FCF47" w:rsidR="00D22CE3" w:rsidRPr="00A5544A" w:rsidRDefault="00DE5970" w:rsidP="005D1D68">
      <w:pPr>
        <w:pStyle w:val="ac"/>
        <w:numPr>
          <w:ilvl w:val="0"/>
          <w:numId w:val="8"/>
        </w:numPr>
        <w:bidi w:val="0"/>
        <w:spacing w:line="240" w:lineRule="auto"/>
      </w:pPr>
      <w:r w:rsidRPr="00A5544A">
        <w:t xml:space="preserve">The </w:t>
      </w:r>
      <w:r w:rsidR="005D1D68" w:rsidRPr="00A5544A">
        <w:t>l</w:t>
      </w:r>
      <w:r w:rsidRPr="00A5544A">
        <w:t>abor market remains tight and in a full employment environment, but the downward trend in the job vacancy rate continues.</w:t>
      </w:r>
      <w:r w:rsidR="00D22CE3" w:rsidRPr="00A5544A">
        <w:t xml:space="preserve"> </w:t>
      </w:r>
    </w:p>
    <w:p w14:paraId="08E46D0B" w14:textId="19556C04" w:rsidR="00D25B59" w:rsidRPr="00A5544A" w:rsidRDefault="007F290D" w:rsidP="00AF7DC8">
      <w:pPr>
        <w:pStyle w:val="ac"/>
        <w:numPr>
          <w:ilvl w:val="0"/>
          <w:numId w:val="8"/>
        </w:numPr>
        <w:bidi w:val="0"/>
        <w:spacing w:line="240" w:lineRule="auto"/>
      </w:pPr>
      <w:r w:rsidRPr="00A5544A">
        <w:t>The volume of activity i</w:t>
      </w:r>
      <w:r w:rsidR="008D78E5" w:rsidRPr="00A5544A">
        <w:t>n the housing market</w:t>
      </w:r>
      <w:r w:rsidRPr="00A5544A">
        <w:t xml:space="preserve"> continues to moderate. </w:t>
      </w:r>
      <w:r w:rsidR="00DE5970" w:rsidRPr="00A5544A">
        <w:t>Home prices have declined in recent months, and the annual pace of home price increases moderated to 5.2 percent.</w:t>
      </w:r>
      <w:r w:rsidR="008D78E5" w:rsidRPr="00A5544A">
        <w:t xml:space="preserve"> </w:t>
      </w:r>
      <w:r w:rsidRPr="00A5544A">
        <w:t>T</w:t>
      </w:r>
      <w:r w:rsidR="008D78E5" w:rsidRPr="00A5544A">
        <w:t xml:space="preserve">he </w:t>
      </w:r>
      <w:r w:rsidR="00DE5970" w:rsidRPr="00A5544A">
        <w:t>moderating</w:t>
      </w:r>
      <w:r w:rsidRPr="00A5544A">
        <w:t xml:space="preserve"> trend in the </w:t>
      </w:r>
      <w:r w:rsidR="008D78E5" w:rsidRPr="00A5544A">
        <w:t>number of purchases and</w:t>
      </w:r>
      <w:r w:rsidR="00AF7DC8" w:rsidRPr="00A5544A">
        <w:t xml:space="preserve"> in the volume </w:t>
      </w:r>
      <w:proofErr w:type="gramStart"/>
      <w:r w:rsidR="00AF7DC8" w:rsidRPr="00A5544A">
        <w:t xml:space="preserve">of </w:t>
      </w:r>
      <w:r w:rsidR="008D78E5" w:rsidRPr="00A5544A">
        <w:t xml:space="preserve"> new</w:t>
      </w:r>
      <w:proofErr w:type="gramEnd"/>
      <w:r w:rsidR="008D78E5" w:rsidRPr="00A5544A">
        <w:t xml:space="preserve"> mortgage</w:t>
      </w:r>
      <w:r w:rsidR="00AF7DC8" w:rsidRPr="00A5544A">
        <w:t>s</w:t>
      </w:r>
      <w:r w:rsidR="008D78E5" w:rsidRPr="00A5544A">
        <w:t xml:space="preserve"> continue</w:t>
      </w:r>
      <w:r w:rsidRPr="00A5544A">
        <w:t>s</w:t>
      </w:r>
      <w:r w:rsidR="008D78E5" w:rsidRPr="00A5544A">
        <w:t>.</w:t>
      </w:r>
      <w:r w:rsidR="000C5C39" w:rsidRPr="00A5544A">
        <w:t xml:space="preserve"> </w:t>
      </w:r>
    </w:p>
    <w:p w14:paraId="3E37F65E" w14:textId="7D1D8E05" w:rsidR="00FE22B6" w:rsidRPr="00A5544A" w:rsidRDefault="00FE22B6" w:rsidP="00AF7DC8">
      <w:pPr>
        <w:pStyle w:val="ac"/>
        <w:numPr>
          <w:ilvl w:val="0"/>
          <w:numId w:val="8"/>
        </w:numPr>
        <w:bidi w:val="0"/>
        <w:spacing w:line="240" w:lineRule="auto"/>
      </w:pPr>
      <w:r w:rsidRPr="00A5544A">
        <w:t xml:space="preserve">Since the previous monetary policy decision, the shekel </w:t>
      </w:r>
      <w:r w:rsidR="00D22CE3" w:rsidRPr="00A5544A">
        <w:t>weakened</w:t>
      </w:r>
      <w:r w:rsidRPr="00A5544A">
        <w:t xml:space="preserve"> by </w:t>
      </w:r>
      <w:r w:rsidR="00DE5970" w:rsidRPr="00A5544A">
        <w:t>2.3</w:t>
      </w:r>
      <w:r w:rsidRPr="00A5544A">
        <w:t xml:space="preserve"> percent against the US dollar,</w:t>
      </w:r>
      <w:r w:rsidR="00D22CE3" w:rsidRPr="00A5544A">
        <w:t xml:space="preserve"> by </w:t>
      </w:r>
      <w:r w:rsidR="00DE5970" w:rsidRPr="00A5544A">
        <w:t>1</w:t>
      </w:r>
      <w:r w:rsidR="007F290D" w:rsidRPr="00A5544A">
        <w:t>.3</w:t>
      </w:r>
      <w:r w:rsidR="00D22CE3" w:rsidRPr="00A5544A">
        <w:t xml:space="preserve"> percent against the euro,</w:t>
      </w:r>
      <w:r w:rsidRPr="00A5544A">
        <w:t xml:space="preserve"> and by </w:t>
      </w:r>
      <w:r w:rsidR="00DE5970" w:rsidRPr="00A5544A">
        <w:t>1.5</w:t>
      </w:r>
      <w:r w:rsidRPr="00A5544A">
        <w:t xml:space="preserve"> percent in terms of the nominal effective exchange rate.</w:t>
      </w:r>
      <w:r w:rsidR="00CA3997" w:rsidRPr="00A5544A">
        <w:t xml:space="preserve"> </w:t>
      </w:r>
      <w:r w:rsidR="0066010C" w:rsidRPr="00A5544A">
        <w:t xml:space="preserve">The shekel’s depreciation in recent months is contributing to the increase in the inflation rate and </w:t>
      </w:r>
      <w:r w:rsidR="00AF7DC8" w:rsidRPr="00A5544A">
        <w:t xml:space="preserve">the path of the exchange </w:t>
      </w:r>
      <w:proofErr w:type="spellStart"/>
      <w:r w:rsidR="00AF7DC8" w:rsidRPr="00A5544A">
        <w:t>ratge</w:t>
      </w:r>
      <w:proofErr w:type="spellEnd"/>
      <w:r w:rsidR="0066010C" w:rsidRPr="00A5544A">
        <w:t xml:space="preserve"> in the coming months will have an impact on the dynamics of inflation.</w:t>
      </w:r>
    </w:p>
    <w:p w14:paraId="03F356E8" w14:textId="71DE5B56" w:rsidR="00BA018E" w:rsidRPr="00A5544A" w:rsidRDefault="000C5C39" w:rsidP="00AF7DC8">
      <w:pPr>
        <w:pStyle w:val="ac"/>
        <w:numPr>
          <w:ilvl w:val="0"/>
          <w:numId w:val="8"/>
        </w:numPr>
        <w:bidi w:val="0"/>
        <w:spacing w:line="240" w:lineRule="auto"/>
      </w:pPr>
      <w:r w:rsidRPr="00A5544A">
        <w:t xml:space="preserve">Globally, </w:t>
      </w:r>
      <w:r w:rsidR="00004259" w:rsidRPr="00A5544A">
        <w:t xml:space="preserve">the pace of economic activity </w:t>
      </w:r>
      <w:r w:rsidR="00DE5970" w:rsidRPr="00A5544A">
        <w:t>is</w:t>
      </w:r>
      <w:r w:rsidR="00004259" w:rsidRPr="00A5544A">
        <w:t xml:space="preserve"> moderate, </w:t>
      </w:r>
      <w:r w:rsidR="00DE5970" w:rsidRPr="00A5544A">
        <w:t xml:space="preserve">but the most recent growth figures surprised to the upside, mainly in the US. The </w:t>
      </w:r>
      <w:r w:rsidR="008D78E5" w:rsidRPr="00A5544A">
        <w:t xml:space="preserve">inflation environment </w:t>
      </w:r>
      <w:r w:rsidR="00004259" w:rsidRPr="00A5544A">
        <w:t xml:space="preserve">is moderating in many countries, but remains above central bank targets, while core inflation </w:t>
      </w:r>
      <w:r w:rsidR="00DE5970" w:rsidRPr="00A5544A">
        <w:t xml:space="preserve">remains </w:t>
      </w:r>
      <w:r w:rsidR="00004259" w:rsidRPr="00A5544A">
        <w:t>stick</w:t>
      </w:r>
      <w:r w:rsidR="00AF7DC8" w:rsidRPr="00A5544A">
        <w:t>y</w:t>
      </w:r>
      <w:r w:rsidR="00004259" w:rsidRPr="00A5544A">
        <w:t>. With that, monetary tightening around the world continues.</w:t>
      </w:r>
      <w:r w:rsidR="000B7A80" w:rsidRPr="00A5544A">
        <w:t xml:space="preserve"> </w:t>
      </w:r>
    </w:p>
    <w:p w14:paraId="2959C532" w14:textId="77777777" w:rsidR="00BA018E" w:rsidRPr="00A5544A" w:rsidRDefault="00BA018E" w:rsidP="00C2592B"/>
    <w:p w14:paraId="73F8BC61" w14:textId="66241C73" w:rsidR="002919ED" w:rsidRPr="00A5544A" w:rsidRDefault="000B7A80" w:rsidP="005D3898">
      <w:pPr>
        <w:jc w:val="both"/>
        <w:rPr>
          <w:b/>
          <w:bCs/>
        </w:rPr>
      </w:pPr>
      <w:r w:rsidRPr="00A5544A">
        <w:rPr>
          <w:b/>
          <w:bCs/>
        </w:rPr>
        <w:t xml:space="preserve">Economic activity in Israel is at a high level, and </w:t>
      </w:r>
      <w:proofErr w:type="gramStart"/>
      <w:r w:rsidRPr="00A5544A">
        <w:rPr>
          <w:b/>
          <w:bCs/>
        </w:rPr>
        <w:t>is accompanied</w:t>
      </w:r>
      <w:proofErr w:type="gramEnd"/>
      <w:r w:rsidRPr="00A5544A">
        <w:rPr>
          <w:b/>
          <w:bCs/>
        </w:rPr>
        <w:t xml:space="preserve"> by </w:t>
      </w:r>
      <w:r w:rsidR="005529B6" w:rsidRPr="00A5544A">
        <w:rPr>
          <w:b/>
          <w:bCs/>
        </w:rPr>
        <w:t>a tight labor market</w:t>
      </w:r>
      <w:r w:rsidRPr="00A5544A">
        <w:rPr>
          <w:b/>
          <w:bCs/>
        </w:rPr>
        <w:t xml:space="preserve">, although there is some moderation in a number of indicators. Inflation is broad and remains high. </w:t>
      </w:r>
      <w:r w:rsidR="00004259" w:rsidRPr="00A5544A">
        <w:rPr>
          <w:b/>
          <w:bCs/>
        </w:rPr>
        <w:t xml:space="preserve">With that, in recent months inflation appears to be slowing. </w:t>
      </w:r>
      <w:proofErr w:type="gramStart"/>
      <w:r w:rsidR="002919ED" w:rsidRPr="00A5544A">
        <w:rPr>
          <w:b/>
          <w:bCs/>
        </w:rPr>
        <w:t xml:space="preserve">Therefore, the Monetary Committee decided to </w:t>
      </w:r>
      <w:r w:rsidR="00004259" w:rsidRPr="00A5544A">
        <w:rPr>
          <w:b/>
          <w:bCs/>
        </w:rPr>
        <w:t>leave</w:t>
      </w:r>
      <w:r w:rsidR="002919ED" w:rsidRPr="00A5544A">
        <w:rPr>
          <w:b/>
          <w:bCs/>
        </w:rPr>
        <w:t xml:space="preserve"> the interest rate</w:t>
      </w:r>
      <w:r w:rsidR="00004259" w:rsidRPr="00A5544A">
        <w:rPr>
          <w:b/>
          <w:bCs/>
        </w:rPr>
        <w:t xml:space="preserve"> unchanged, but sees a real possibility of </w:t>
      </w:r>
      <w:r w:rsidR="005D3898" w:rsidRPr="00A5544A">
        <w:rPr>
          <w:b/>
          <w:bCs/>
        </w:rPr>
        <w:t>having</w:t>
      </w:r>
      <w:r w:rsidR="00004259" w:rsidRPr="00A5544A">
        <w:rPr>
          <w:b/>
          <w:bCs/>
        </w:rPr>
        <w:t xml:space="preserve"> to raise the interest rate in future decisions, if the inflation environment does not continue to moderate as expected</w:t>
      </w:r>
      <w:r w:rsidR="002919ED" w:rsidRPr="00A5544A">
        <w:rPr>
          <w:b/>
          <w:bCs/>
        </w:rPr>
        <w:t>.</w:t>
      </w:r>
      <w:proofErr w:type="gramEnd"/>
      <w:r w:rsidRPr="00A5544A">
        <w:rPr>
          <w:b/>
          <w:bCs/>
        </w:rPr>
        <w:t xml:space="preserve"> The interest rate path</w:t>
      </w:r>
      <w:r w:rsidR="002919ED" w:rsidRPr="00A5544A">
        <w:rPr>
          <w:b/>
          <w:bCs/>
        </w:rPr>
        <w:t xml:space="preserve"> will be determined in accordance with activity data and the development of inflation, in order to continue supporting the attainment of the policy goals.</w:t>
      </w:r>
    </w:p>
    <w:p w14:paraId="58249C36" w14:textId="0F89AB65" w:rsidR="000B7A80" w:rsidRPr="00A5544A" w:rsidRDefault="000B7A80" w:rsidP="00C2592B">
      <w:pPr>
        <w:jc w:val="both"/>
        <w:rPr>
          <w:b/>
          <w:bCs/>
        </w:rPr>
      </w:pPr>
    </w:p>
    <w:p w14:paraId="2ADBB1AC" w14:textId="77777777" w:rsidR="00514240" w:rsidRPr="00A5544A" w:rsidRDefault="00514240" w:rsidP="00C2592B">
      <w:pPr>
        <w:jc w:val="both"/>
        <w:rPr>
          <w:b/>
          <w:bCs/>
        </w:rPr>
      </w:pPr>
    </w:p>
    <w:p w14:paraId="493BE23C" w14:textId="77777777" w:rsidR="007B5771" w:rsidRPr="00A5544A" w:rsidRDefault="007B5771" w:rsidP="00C2592B">
      <w:pPr>
        <w:rPr>
          <w:b/>
          <w:bCs/>
        </w:rPr>
      </w:pPr>
      <w:r w:rsidRPr="00A5544A">
        <w:rPr>
          <w:b/>
          <w:bCs/>
        </w:rPr>
        <w:t>For the file of figures accompanying this notice, click here.</w:t>
      </w:r>
    </w:p>
    <w:p w14:paraId="1962EDF8" w14:textId="77777777" w:rsidR="002E392D" w:rsidRPr="00A5544A" w:rsidRDefault="002E392D" w:rsidP="00C2592B">
      <w:pPr>
        <w:jc w:val="both"/>
      </w:pPr>
    </w:p>
    <w:p w14:paraId="0F14221D" w14:textId="223D8DA9" w:rsidR="00C2592B" w:rsidRPr="00A5544A" w:rsidRDefault="0044265F" w:rsidP="00DE5970">
      <w:pPr>
        <w:jc w:val="both"/>
      </w:pPr>
      <w:r w:rsidRPr="00A5544A">
        <w:t>E</w:t>
      </w:r>
      <w:r w:rsidR="00D12BFC" w:rsidRPr="00A5544A">
        <w:t xml:space="preserve">conomic activity in Israel </w:t>
      </w:r>
      <w:r w:rsidR="00B0166C" w:rsidRPr="00A5544A">
        <w:t xml:space="preserve">remains </w:t>
      </w:r>
      <w:r w:rsidR="00DE5970" w:rsidRPr="00A5544A">
        <w:t>at a high level</w:t>
      </w:r>
      <w:r w:rsidRPr="00A5544A">
        <w:t>,</w:t>
      </w:r>
      <w:r w:rsidR="000B7A80" w:rsidRPr="00A5544A">
        <w:t xml:space="preserve"> although there is some </w:t>
      </w:r>
      <w:r w:rsidR="00194663" w:rsidRPr="00A5544A">
        <w:t xml:space="preserve">continued </w:t>
      </w:r>
      <w:r w:rsidR="000B7A80" w:rsidRPr="00A5544A">
        <w:t>moderation in a number of indicators.</w:t>
      </w:r>
      <w:r w:rsidR="00C03B5E" w:rsidRPr="00A5544A">
        <w:t xml:space="preserve"> </w:t>
      </w:r>
      <w:r w:rsidR="000B7A80" w:rsidRPr="00A5544A">
        <w:t>T</w:t>
      </w:r>
      <w:r w:rsidR="00C03B5E" w:rsidRPr="00A5544A">
        <w:t>he labor market remai</w:t>
      </w:r>
      <w:r w:rsidR="002E392D" w:rsidRPr="00A5544A">
        <w:t xml:space="preserve">ns tight and </w:t>
      </w:r>
      <w:r w:rsidR="00C1469C" w:rsidRPr="00A5544A">
        <w:t>in a</w:t>
      </w:r>
      <w:r w:rsidR="002E392D" w:rsidRPr="00A5544A">
        <w:t xml:space="preserve"> full employment </w:t>
      </w:r>
      <w:r w:rsidR="00C1469C" w:rsidRPr="00A5544A">
        <w:t>environment</w:t>
      </w:r>
      <w:r w:rsidR="002E392D" w:rsidRPr="00A5544A">
        <w:t xml:space="preserve">. </w:t>
      </w:r>
      <w:r w:rsidR="00FF3644" w:rsidRPr="00A5544A">
        <w:lastRenderedPageBreak/>
        <w:t>Inflation is</w:t>
      </w:r>
      <w:r w:rsidR="00194663" w:rsidRPr="00A5544A">
        <w:t xml:space="preserve"> moderating, but remains</w:t>
      </w:r>
      <w:r w:rsidR="00FF3644" w:rsidRPr="00A5544A">
        <w:t xml:space="preserve"> above the target range.</w:t>
      </w:r>
      <w:r w:rsidR="0041770E" w:rsidRPr="00A5544A">
        <w:t xml:space="preserve"> </w:t>
      </w:r>
      <w:r w:rsidR="00C13566" w:rsidRPr="00A5544A">
        <w:t xml:space="preserve">The </w:t>
      </w:r>
      <w:r w:rsidR="00194663" w:rsidRPr="00A5544A">
        <w:t xml:space="preserve">continued </w:t>
      </w:r>
      <w:r w:rsidR="00C13566" w:rsidRPr="00A5544A">
        <w:t>tight</w:t>
      </w:r>
      <w:r w:rsidR="008F265F" w:rsidRPr="00A5544A">
        <w:t xml:space="preserve"> m</w:t>
      </w:r>
      <w:r w:rsidR="00B13CF3" w:rsidRPr="00A5544A">
        <w:t xml:space="preserve">onetary policy and moderation </w:t>
      </w:r>
      <w:r w:rsidR="00661521" w:rsidRPr="00A5544A">
        <w:t>of</w:t>
      </w:r>
      <w:r w:rsidR="00B13CF3" w:rsidRPr="00A5544A">
        <w:t xml:space="preserve"> activity </w:t>
      </w:r>
      <w:r w:rsidR="00661521" w:rsidRPr="00A5544A">
        <w:t xml:space="preserve">abroad </w:t>
      </w:r>
      <w:proofErr w:type="gramStart"/>
      <w:r w:rsidR="00B13CF3" w:rsidRPr="00A5544A">
        <w:t>are expected</w:t>
      </w:r>
      <w:proofErr w:type="gramEnd"/>
      <w:r w:rsidR="00B13CF3" w:rsidRPr="00A5544A">
        <w:t xml:space="preserve"> to lead to </w:t>
      </w:r>
      <w:r w:rsidR="004941E7" w:rsidRPr="00A5544A">
        <w:t>a</w:t>
      </w:r>
      <w:r w:rsidR="00B13CF3" w:rsidRPr="00A5544A">
        <w:t xml:space="preserve"> slow</w:t>
      </w:r>
      <w:r w:rsidR="004941E7" w:rsidRPr="00A5544A">
        <w:t>ing</w:t>
      </w:r>
      <w:r w:rsidR="00B13CF3" w:rsidRPr="00A5544A">
        <w:t xml:space="preserve"> in</w:t>
      </w:r>
      <w:r w:rsidR="004941E7" w:rsidRPr="00A5544A">
        <w:t xml:space="preserve"> the pace of inflation alongside some slowdown</w:t>
      </w:r>
      <w:r w:rsidR="00B0166C" w:rsidRPr="00A5544A">
        <w:t xml:space="preserve"> of</w:t>
      </w:r>
      <w:r w:rsidR="00B13CF3" w:rsidRPr="00A5544A">
        <w:t xml:space="preserve"> economic activity in Israel</w:t>
      </w:r>
      <w:r w:rsidR="00FF3644" w:rsidRPr="00A5544A">
        <w:t>.</w:t>
      </w:r>
    </w:p>
    <w:p w14:paraId="034FF23A" w14:textId="37BAA9E2" w:rsidR="0044265F" w:rsidRPr="00A5544A" w:rsidRDefault="002E392D" w:rsidP="00C2592B">
      <w:pPr>
        <w:jc w:val="both"/>
      </w:pPr>
      <w:r w:rsidRPr="00A5544A">
        <w:t xml:space="preserve"> </w:t>
      </w:r>
    </w:p>
    <w:p w14:paraId="4DA0F1DA" w14:textId="682EB007" w:rsidR="00AD1B36" w:rsidRPr="00A5544A" w:rsidRDefault="00822F9B" w:rsidP="003F30E7">
      <w:pPr>
        <w:jc w:val="both"/>
        <w:rPr>
          <w:rtl/>
        </w:rPr>
      </w:pPr>
      <w:r w:rsidRPr="00A5544A">
        <w:t xml:space="preserve">Since the previous </w:t>
      </w:r>
      <w:r w:rsidR="000F5F46" w:rsidRPr="00A5544A">
        <w:t>policy</w:t>
      </w:r>
      <w:r w:rsidRPr="00A5544A">
        <w:t xml:space="preserve"> decision, the CPI </w:t>
      </w:r>
      <w:r w:rsidR="00B13CF3" w:rsidRPr="00A5544A">
        <w:t>increased</w:t>
      </w:r>
      <w:r w:rsidRPr="00A5544A">
        <w:t xml:space="preserve"> by 0.</w:t>
      </w:r>
      <w:r w:rsidR="00220741" w:rsidRPr="00A5544A">
        <w:t>3</w:t>
      </w:r>
      <w:r w:rsidRPr="00A5544A">
        <w:t xml:space="preserve"> percent in</w:t>
      </w:r>
      <w:r w:rsidR="004941E7" w:rsidRPr="00A5544A">
        <w:t xml:space="preserve"> </w:t>
      </w:r>
      <w:r w:rsidR="00220741" w:rsidRPr="00A5544A">
        <w:t>July, after remaining unchanged in June</w:t>
      </w:r>
      <w:r w:rsidR="00B13CF3" w:rsidRPr="00A5544A">
        <w:t>.</w:t>
      </w:r>
      <w:r w:rsidR="0041770E" w:rsidRPr="00A5544A">
        <w:t xml:space="preserve"> </w:t>
      </w:r>
      <w:r w:rsidR="004941E7" w:rsidRPr="00A5544A">
        <w:t xml:space="preserve">The </w:t>
      </w:r>
      <w:r w:rsidR="00220741" w:rsidRPr="00A5544A">
        <w:t>index</w:t>
      </w:r>
      <w:r w:rsidR="004941E7" w:rsidRPr="00A5544A">
        <w:t xml:space="preserve"> </w:t>
      </w:r>
      <w:r w:rsidR="00220741" w:rsidRPr="00A5544A">
        <w:t xml:space="preserve">for those two months </w:t>
      </w:r>
      <w:r w:rsidR="004941E7" w:rsidRPr="00A5544A">
        <w:t xml:space="preserve">was </w:t>
      </w:r>
      <w:r w:rsidR="00194663" w:rsidRPr="00A5544A">
        <w:t>lower</w:t>
      </w:r>
      <w:r w:rsidR="004941E7" w:rsidRPr="00A5544A">
        <w:t xml:space="preserve"> than </w:t>
      </w:r>
      <w:r w:rsidR="00AF7DC8" w:rsidRPr="00A5544A">
        <w:t xml:space="preserve">market </w:t>
      </w:r>
      <w:r w:rsidR="004941E7" w:rsidRPr="00A5544A">
        <w:t>forecasts</w:t>
      </w:r>
      <w:r w:rsidR="00194663" w:rsidRPr="00A5544A">
        <w:t>.</w:t>
      </w:r>
      <w:r w:rsidR="004941E7" w:rsidRPr="00A5544A">
        <w:t xml:space="preserve"> </w:t>
      </w:r>
      <w:r w:rsidR="00194663" w:rsidRPr="00A5544A">
        <w:t>Inflation in the past 12 months declined, b</w:t>
      </w:r>
      <w:r w:rsidR="00004259" w:rsidRPr="00A5544A">
        <w:t>u</w:t>
      </w:r>
      <w:r w:rsidR="00194663" w:rsidRPr="00A5544A">
        <w:t xml:space="preserve">t remained above the upper bound of the target range, at </w:t>
      </w:r>
      <w:r w:rsidR="00220741" w:rsidRPr="00A5544A">
        <w:t>3.3</w:t>
      </w:r>
      <w:r w:rsidR="00194663" w:rsidRPr="00A5544A">
        <w:t xml:space="preserve"> percent</w:t>
      </w:r>
      <w:r w:rsidR="006900D5" w:rsidRPr="00A5544A">
        <w:t xml:space="preserve"> </w:t>
      </w:r>
      <w:r w:rsidRPr="00A5544A">
        <w:t>(</w:t>
      </w:r>
      <w:r w:rsidRPr="00A5544A">
        <w:rPr>
          <w:b/>
          <w:bCs/>
        </w:rPr>
        <w:t>Figure 1</w:t>
      </w:r>
      <w:r w:rsidRPr="00A5544A">
        <w:t>).</w:t>
      </w:r>
      <w:r w:rsidR="00441BDC" w:rsidRPr="00A5544A">
        <w:t xml:space="preserve"> </w:t>
      </w:r>
      <w:r w:rsidR="00220741" w:rsidRPr="00A5544A">
        <w:t>The sharp decline in the annual i</w:t>
      </w:r>
      <w:r w:rsidR="00C1469C" w:rsidRPr="00A5544A">
        <w:rPr>
          <w:rFonts w:cstheme="majorBidi"/>
        </w:rPr>
        <w:t>nflation</w:t>
      </w:r>
      <w:r w:rsidR="00220741" w:rsidRPr="00A5544A">
        <w:rPr>
          <w:rFonts w:cstheme="majorBidi"/>
        </w:rPr>
        <w:t xml:space="preserve"> rate also reflects the effect of </w:t>
      </w:r>
      <w:r w:rsidR="00AF7DC8" w:rsidRPr="00A5544A">
        <w:rPr>
          <w:rFonts w:cstheme="majorBidi"/>
        </w:rPr>
        <w:t xml:space="preserve">the removal of </w:t>
      </w:r>
      <w:r w:rsidR="00220741" w:rsidRPr="00A5544A">
        <w:rPr>
          <w:rFonts w:cstheme="majorBidi"/>
        </w:rPr>
        <w:t>the July 2022 index, which was particularly high</w:t>
      </w:r>
      <w:r w:rsidR="003F30E7" w:rsidRPr="00A5544A">
        <w:rPr>
          <w:rFonts w:cstheme="majorBidi"/>
        </w:rPr>
        <w:t>.</w:t>
      </w:r>
      <w:r w:rsidR="00220741" w:rsidRPr="00A5544A">
        <w:rPr>
          <w:rFonts w:cstheme="majorBidi"/>
        </w:rPr>
        <w:t xml:space="preserve">  </w:t>
      </w:r>
      <w:r w:rsidR="003F30E7" w:rsidRPr="00A5544A">
        <w:rPr>
          <w:rFonts w:cstheme="majorBidi"/>
        </w:rPr>
        <w:t>I</w:t>
      </w:r>
      <w:r w:rsidR="00220741" w:rsidRPr="00A5544A">
        <w:rPr>
          <w:rFonts w:cstheme="majorBidi"/>
        </w:rPr>
        <w:t xml:space="preserve">n view of the </w:t>
      </w:r>
      <w:r w:rsidR="00AF7DC8" w:rsidRPr="00A5544A">
        <w:rPr>
          <w:rFonts w:cstheme="majorBidi"/>
        </w:rPr>
        <w:t xml:space="preserve">negative </w:t>
      </w:r>
      <w:r w:rsidR="00220741" w:rsidRPr="00A5544A">
        <w:rPr>
          <w:rFonts w:cstheme="majorBidi"/>
        </w:rPr>
        <w:t xml:space="preserve">August 2022 index, our assessment is that following the next publication of the CPI, the inflation rate in the coming months </w:t>
      </w:r>
      <w:proofErr w:type="gramStart"/>
      <w:r w:rsidR="00220741" w:rsidRPr="00A5544A">
        <w:rPr>
          <w:rFonts w:cstheme="majorBidi"/>
        </w:rPr>
        <w:t>is expected</w:t>
      </w:r>
      <w:proofErr w:type="gramEnd"/>
      <w:r w:rsidR="00220741" w:rsidRPr="00A5544A">
        <w:rPr>
          <w:rFonts w:cstheme="majorBidi"/>
        </w:rPr>
        <w:t xml:space="preserve"> to be higher (</w:t>
      </w:r>
      <w:r w:rsidR="00220741" w:rsidRPr="00A5544A">
        <w:rPr>
          <w:rFonts w:cstheme="majorBidi"/>
          <w:b/>
          <w:bCs/>
        </w:rPr>
        <w:t xml:space="preserve">Figure </w:t>
      </w:r>
      <w:r w:rsidR="00AF7DC8" w:rsidRPr="00A5544A">
        <w:rPr>
          <w:rFonts w:cstheme="majorBidi"/>
          <w:b/>
          <w:bCs/>
        </w:rPr>
        <w:t>5</w:t>
      </w:r>
      <w:r w:rsidR="00220741" w:rsidRPr="00A5544A">
        <w:rPr>
          <w:rFonts w:cstheme="majorBidi"/>
        </w:rPr>
        <w:t>).</w:t>
      </w:r>
      <w:r w:rsidR="00CA3997" w:rsidRPr="00A5544A">
        <w:rPr>
          <w:rFonts w:cstheme="majorBidi"/>
        </w:rPr>
        <w:t xml:space="preserve"> </w:t>
      </w:r>
      <w:r w:rsidR="00220741" w:rsidRPr="00A5544A">
        <w:rPr>
          <w:rFonts w:cstheme="majorBidi"/>
        </w:rPr>
        <w:t>Inflation</w:t>
      </w:r>
      <w:r w:rsidR="00C1469C" w:rsidRPr="00A5544A">
        <w:rPr>
          <w:rFonts w:cstheme="majorBidi"/>
        </w:rPr>
        <w:t xml:space="preserve"> </w:t>
      </w:r>
      <w:r w:rsidR="00FF3644" w:rsidRPr="00A5544A">
        <w:rPr>
          <w:rFonts w:cstheme="majorBidi"/>
        </w:rPr>
        <w:t>remains</w:t>
      </w:r>
      <w:r w:rsidR="00C1469C" w:rsidRPr="00A5544A">
        <w:rPr>
          <w:rFonts w:cstheme="majorBidi"/>
        </w:rPr>
        <w:t xml:space="preserve"> lower </w:t>
      </w:r>
      <w:r w:rsidR="00220741" w:rsidRPr="00A5544A">
        <w:rPr>
          <w:rFonts w:cstheme="majorBidi"/>
        </w:rPr>
        <w:t xml:space="preserve">in Israel </w:t>
      </w:r>
      <w:r w:rsidR="00C1469C" w:rsidRPr="00A5544A">
        <w:rPr>
          <w:rFonts w:cstheme="majorBidi"/>
        </w:rPr>
        <w:t xml:space="preserve">than in most of the </w:t>
      </w:r>
      <w:r w:rsidR="00BA018E" w:rsidRPr="00A5544A">
        <w:rPr>
          <w:rFonts w:cstheme="majorBidi"/>
        </w:rPr>
        <w:t>advanced economies</w:t>
      </w:r>
      <w:r w:rsidR="00194663" w:rsidRPr="00A5544A">
        <w:rPr>
          <w:rFonts w:cstheme="majorBidi"/>
        </w:rPr>
        <w:t>.</w:t>
      </w:r>
      <w:r w:rsidR="00441BDC" w:rsidRPr="00A5544A">
        <w:rPr>
          <w:rFonts w:cstheme="majorBidi"/>
        </w:rPr>
        <w:t xml:space="preserve"> </w:t>
      </w:r>
      <w:r w:rsidR="001D1BFB" w:rsidRPr="00A5544A">
        <w:rPr>
          <w:rFonts w:cstheme="majorBidi"/>
        </w:rPr>
        <w:t>N</w:t>
      </w:r>
      <w:r w:rsidRPr="00A5544A">
        <w:rPr>
          <w:rFonts w:cstheme="majorBidi"/>
        </w:rPr>
        <w:t xml:space="preserve">et of </w:t>
      </w:r>
      <w:proofErr w:type="gramStart"/>
      <w:r w:rsidRPr="00A5544A">
        <w:rPr>
          <w:rFonts w:cstheme="majorBidi"/>
        </w:rPr>
        <w:t>energy and fruits</w:t>
      </w:r>
      <w:proofErr w:type="gramEnd"/>
      <w:r w:rsidRPr="00A5544A">
        <w:rPr>
          <w:rFonts w:cstheme="majorBidi"/>
        </w:rPr>
        <w:t xml:space="preserve"> and vegetables, inflation</w:t>
      </w:r>
      <w:r w:rsidR="00194663" w:rsidRPr="00A5544A">
        <w:rPr>
          <w:rFonts w:cstheme="majorBidi"/>
        </w:rPr>
        <w:t xml:space="preserve"> in the past year</w:t>
      </w:r>
      <w:r w:rsidRPr="00A5544A">
        <w:rPr>
          <w:rFonts w:cstheme="majorBidi"/>
        </w:rPr>
        <w:t xml:space="preserve"> is </w:t>
      </w:r>
      <w:r w:rsidR="00220741" w:rsidRPr="00A5544A">
        <w:rPr>
          <w:rFonts w:cstheme="majorBidi"/>
        </w:rPr>
        <w:t>3.6</w:t>
      </w:r>
      <w:r w:rsidRPr="00A5544A">
        <w:rPr>
          <w:rFonts w:cstheme="majorBidi"/>
        </w:rPr>
        <w:t xml:space="preserve"> percent,</w:t>
      </w:r>
      <w:r w:rsidR="006900D5" w:rsidRPr="00A5544A">
        <w:rPr>
          <w:rFonts w:cstheme="majorBidi"/>
        </w:rPr>
        <w:t xml:space="preserve"> </w:t>
      </w:r>
      <w:r w:rsidRPr="00A5544A">
        <w:rPr>
          <w:rFonts w:cstheme="majorBidi"/>
        </w:rPr>
        <w:t>and</w:t>
      </w:r>
      <w:r w:rsidR="006D18B5" w:rsidRPr="00A5544A">
        <w:rPr>
          <w:rFonts w:cstheme="majorBidi"/>
        </w:rPr>
        <w:t xml:space="preserve"> </w:t>
      </w:r>
      <w:r w:rsidR="004941E7" w:rsidRPr="00A5544A">
        <w:rPr>
          <w:rFonts w:cstheme="majorBidi"/>
        </w:rPr>
        <w:t>with the further neutralization of the effects of taxation and regulation inflation is</w:t>
      </w:r>
      <w:r w:rsidR="008F265F" w:rsidRPr="00A5544A">
        <w:rPr>
          <w:rFonts w:cstheme="majorBidi"/>
        </w:rPr>
        <w:t xml:space="preserve"> </w:t>
      </w:r>
      <w:r w:rsidR="00220741" w:rsidRPr="00A5544A">
        <w:rPr>
          <w:rFonts w:cstheme="majorBidi"/>
        </w:rPr>
        <w:t>3.8</w:t>
      </w:r>
      <w:r w:rsidR="008F265F" w:rsidRPr="00A5544A">
        <w:rPr>
          <w:rFonts w:cstheme="majorBidi"/>
        </w:rPr>
        <w:t xml:space="preserve"> percent </w:t>
      </w:r>
      <w:r w:rsidRPr="00A5544A">
        <w:rPr>
          <w:rFonts w:cstheme="majorBidi"/>
        </w:rPr>
        <w:t>(</w:t>
      </w:r>
      <w:r w:rsidRPr="00A5544A">
        <w:rPr>
          <w:rFonts w:cstheme="majorBidi"/>
          <w:b/>
          <w:bCs/>
        </w:rPr>
        <w:t xml:space="preserve">Figure </w:t>
      </w:r>
      <w:r w:rsidR="00AF7DC8" w:rsidRPr="00A5544A">
        <w:rPr>
          <w:rFonts w:cstheme="majorBidi"/>
          <w:b/>
          <w:bCs/>
        </w:rPr>
        <w:t>2</w:t>
      </w:r>
      <w:r w:rsidRPr="00A5544A">
        <w:rPr>
          <w:rFonts w:cstheme="majorBidi"/>
        </w:rPr>
        <w:t>).</w:t>
      </w:r>
      <w:r w:rsidR="00441BDC" w:rsidRPr="00A5544A">
        <w:rPr>
          <w:rFonts w:cstheme="majorBidi"/>
        </w:rPr>
        <w:t xml:space="preserve"> </w:t>
      </w:r>
      <w:r w:rsidR="00225374" w:rsidRPr="00A5544A">
        <w:rPr>
          <w:rFonts w:cstheme="majorBidi"/>
        </w:rPr>
        <w:t xml:space="preserve">The pace of </w:t>
      </w:r>
      <w:r w:rsidR="008F265F" w:rsidRPr="00A5544A">
        <w:rPr>
          <w:rFonts w:cstheme="majorBidi"/>
        </w:rPr>
        <w:t xml:space="preserve">annual </w:t>
      </w:r>
      <w:r w:rsidR="00225374" w:rsidRPr="00A5544A">
        <w:rPr>
          <w:rFonts w:cstheme="majorBidi"/>
        </w:rPr>
        <w:t>inflation of the nontradable components</w:t>
      </w:r>
      <w:r w:rsidR="00C736C1" w:rsidRPr="00A5544A">
        <w:rPr>
          <w:rFonts w:cstheme="majorBidi"/>
        </w:rPr>
        <w:t xml:space="preserve"> of the CPI</w:t>
      </w:r>
      <w:r w:rsidR="002919ED" w:rsidRPr="00A5544A">
        <w:rPr>
          <w:rFonts w:cstheme="majorBidi"/>
        </w:rPr>
        <w:t xml:space="preserve">, which mainly reflects the housing </w:t>
      </w:r>
      <w:r w:rsidR="004941E7" w:rsidRPr="00A5544A">
        <w:rPr>
          <w:rFonts w:cstheme="majorBidi"/>
        </w:rPr>
        <w:t xml:space="preserve">services </w:t>
      </w:r>
      <w:r w:rsidR="002919ED" w:rsidRPr="00A5544A">
        <w:rPr>
          <w:rFonts w:cstheme="majorBidi"/>
        </w:rPr>
        <w:t xml:space="preserve">component and </w:t>
      </w:r>
      <w:r w:rsidR="00220741" w:rsidRPr="00A5544A">
        <w:rPr>
          <w:rFonts w:cstheme="majorBidi"/>
        </w:rPr>
        <w:t xml:space="preserve">the </w:t>
      </w:r>
      <w:r w:rsidR="002919ED" w:rsidRPr="00A5544A">
        <w:rPr>
          <w:rFonts w:cstheme="majorBidi"/>
        </w:rPr>
        <w:t>services industries,</w:t>
      </w:r>
      <w:r w:rsidR="00225374" w:rsidRPr="00A5544A">
        <w:rPr>
          <w:rFonts w:cstheme="majorBidi"/>
        </w:rPr>
        <w:t xml:space="preserve"> </w:t>
      </w:r>
      <w:r w:rsidR="00194663" w:rsidRPr="00A5544A">
        <w:rPr>
          <w:rFonts w:cstheme="majorBidi"/>
        </w:rPr>
        <w:t>remained high, at</w:t>
      </w:r>
      <w:r w:rsidR="00AD1B36" w:rsidRPr="00A5544A">
        <w:rPr>
          <w:rFonts w:cstheme="majorBidi"/>
        </w:rPr>
        <w:t xml:space="preserve"> 5</w:t>
      </w:r>
      <w:r w:rsidR="00B13CF3" w:rsidRPr="00A5544A">
        <w:rPr>
          <w:rFonts w:cstheme="majorBidi"/>
        </w:rPr>
        <w:t xml:space="preserve"> percent</w:t>
      </w:r>
      <w:r w:rsidR="00225374" w:rsidRPr="00A5544A">
        <w:rPr>
          <w:rFonts w:cstheme="majorBidi"/>
        </w:rPr>
        <w:t xml:space="preserve">. </w:t>
      </w:r>
      <w:r w:rsidR="00C736C1" w:rsidRPr="00A5544A">
        <w:rPr>
          <w:rFonts w:cstheme="majorBidi"/>
        </w:rPr>
        <w:t>T</w:t>
      </w:r>
      <w:r w:rsidR="000B288C" w:rsidRPr="00A5544A">
        <w:rPr>
          <w:rFonts w:cstheme="majorBidi"/>
        </w:rPr>
        <w:t xml:space="preserve">he annual pace of inflation </w:t>
      </w:r>
      <w:r w:rsidR="00FF3644" w:rsidRPr="00A5544A">
        <w:rPr>
          <w:rFonts w:cstheme="majorBidi"/>
        </w:rPr>
        <w:t>of</w:t>
      </w:r>
      <w:r w:rsidR="00E15CDB" w:rsidRPr="00A5544A">
        <w:rPr>
          <w:rFonts w:cstheme="majorBidi"/>
        </w:rPr>
        <w:t xml:space="preserve"> the tradable components</w:t>
      </w:r>
      <w:r w:rsidR="0066010C" w:rsidRPr="00A5544A">
        <w:rPr>
          <w:rFonts w:cstheme="majorBidi"/>
        </w:rPr>
        <w:t xml:space="preserve">, which </w:t>
      </w:r>
      <w:proofErr w:type="gramStart"/>
      <w:r w:rsidR="0066010C" w:rsidRPr="00A5544A">
        <w:rPr>
          <w:rFonts w:cstheme="majorBidi"/>
        </w:rPr>
        <w:t>is partly affected</w:t>
      </w:r>
      <w:proofErr w:type="gramEnd"/>
      <w:r w:rsidR="0066010C" w:rsidRPr="00A5544A">
        <w:rPr>
          <w:rFonts w:cstheme="majorBidi"/>
        </w:rPr>
        <w:t xml:space="preserve"> by declines in commodity prices abroad,</w:t>
      </w:r>
      <w:r w:rsidR="000F5F46" w:rsidRPr="00A5544A">
        <w:rPr>
          <w:rFonts w:cstheme="majorBidi"/>
        </w:rPr>
        <w:t xml:space="preserve"> </w:t>
      </w:r>
      <w:r w:rsidR="00194663" w:rsidRPr="00A5544A">
        <w:rPr>
          <w:rFonts w:cstheme="majorBidi"/>
        </w:rPr>
        <w:t>declined, to</w:t>
      </w:r>
      <w:r w:rsidR="002919ED" w:rsidRPr="00A5544A">
        <w:rPr>
          <w:rFonts w:cstheme="majorBidi"/>
        </w:rPr>
        <w:t xml:space="preserve"> </w:t>
      </w:r>
      <w:r w:rsidR="00220741" w:rsidRPr="00A5544A">
        <w:rPr>
          <w:rFonts w:cstheme="majorBidi"/>
        </w:rPr>
        <w:t>0.6</w:t>
      </w:r>
      <w:r w:rsidR="002919ED" w:rsidRPr="00A5544A">
        <w:rPr>
          <w:rFonts w:cstheme="majorBidi"/>
        </w:rPr>
        <w:t xml:space="preserve"> percent</w:t>
      </w:r>
      <w:r w:rsidR="00B13CF3" w:rsidRPr="00A5544A">
        <w:rPr>
          <w:rFonts w:cstheme="majorBidi"/>
        </w:rPr>
        <w:t xml:space="preserve"> </w:t>
      </w:r>
      <w:r w:rsidR="00225374" w:rsidRPr="00A5544A">
        <w:rPr>
          <w:rFonts w:cstheme="majorBidi"/>
        </w:rPr>
        <w:t>(</w:t>
      </w:r>
      <w:r w:rsidR="00225374" w:rsidRPr="00A5544A">
        <w:rPr>
          <w:rFonts w:cstheme="majorBidi"/>
          <w:b/>
          <w:bCs/>
        </w:rPr>
        <w:t xml:space="preserve">Figure </w:t>
      </w:r>
      <w:r w:rsidR="00AF7DC8" w:rsidRPr="00A5544A">
        <w:rPr>
          <w:rFonts w:cstheme="majorBidi"/>
          <w:b/>
          <w:bCs/>
        </w:rPr>
        <w:t>3</w:t>
      </w:r>
      <w:r w:rsidR="00225374" w:rsidRPr="00A5544A">
        <w:rPr>
          <w:rFonts w:cstheme="majorBidi"/>
        </w:rPr>
        <w:t>)</w:t>
      </w:r>
      <w:r w:rsidR="006900D5" w:rsidRPr="00A5544A">
        <w:rPr>
          <w:rFonts w:cstheme="majorBidi"/>
        </w:rPr>
        <w:t>.</w:t>
      </w:r>
      <w:r w:rsidR="0041770E" w:rsidRPr="00A5544A">
        <w:rPr>
          <w:rFonts w:cstheme="majorBidi"/>
        </w:rPr>
        <w:t xml:space="preserve"> </w:t>
      </w:r>
      <w:r w:rsidR="00C736C1" w:rsidRPr="00A5544A">
        <w:rPr>
          <w:rFonts w:cstheme="majorBidi"/>
        </w:rPr>
        <w:t>Over</w:t>
      </w:r>
      <w:r w:rsidR="004941E7" w:rsidRPr="00A5544A">
        <w:rPr>
          <w:rFonts w:cstheme="majorBidi"/>
        </w:rPr>
        <w:t xml:space="preserve"> the </w:t>
      </w:r>
      <w:r w:rsidR="00C736C1" w:rsidRPr="00A5544A">
        <w:rPr>
          <w:rFonts w:cstheme="majorBidi"/>
        </w:rPr>
        <w:t>p</w:t>
      </w:r>
      <w:r w:rsidR="004941E7" w:rsidRPr="00A5544A">
        <w:rPr>
          <w:rFonts w:cstheme="majorBidi"/>
        </w:rPr>
        <w:t xml:space="preserve">ast </w:t>
      </w:r>
      <w:r w:rsidR="00C736C1" w:rsidRPr="00A5544A">
        <w:rPr>
          <w:rFonts w:cstheme="majorBidi"/>
        </w:rPr>
        <w:t>6</w:t>
      </w:r>
      <w:r w:rsidR="004941E7" w:rsidRPr="00A5544A">
        <w:rPr>
          <w:rFonts w:cstheme="majorBidi"/>
        </w:rPr>
        <w:t xml:space="preserve"> months</w:t>
      </w:r>
      <w:r w:rsidR="00C736C1" w:rsidRPr="00A5544A">
        <w:rPr>
          <w:rFonts w:cstheme="majorBidi"/>
        </w:rPr>
        <w:t>, and even more so over the past 3 months</w:t>
      </w:r>
      <w:r w:rsidR="00220741" w:rsidRPr="00A5544A">
        <w:rPr>
          <w:rFonts w:cstheme="majorBidi"/>
        </w:rPr>
        <w:t xml:space="preserve"> (in seasonally adjusted annual terms)</w:t>
      </w:r>
      <w:r w:rsidR="004941E7" w:rsidRPr="00A5544A">
        <w:rPr>
          <w:rFonts w:cstheme="majorBidi"/>
        </w:rPr>
        <w:t xml:space="preserve">, </w:t>
      </w:r>
      <w:r w:rsidR="00997E53" w:rsidRPr="00A5544A">
        <w:rPr>
          <w:rFonts w:cstheme="majorBidi"/>
        </w:rPr>
        <w:t>the pace of</w:t>
      </w:r>
      <w:r w:rsidR="004941E7" w:rsidRPr="00A5544A">
        <w:rPr>
          <w:rFonts w:cstheme="majorBidi"/>
        </w:rPr>
        <w:t xml:space="preserve"> inflation </w:t>
      </w:r>
      <w:r w:rsidR="00997E53" w:rsidRPr="00A5544A">
        <w:rPr>
          <w:rFonts w:cstheme="majorBidi"/>
        </w:rPr>
        <w:t>is</w:t>
      </w:r>
      <w:r w:rsidR="00194663" w:rsidRPr="00A5544A">
        <w:rPr>
          <w:rFonts w:cstheme="majorBidi"/>
        </w:rPr>
        <w:t xml:space="preserve"> moderating, and is</w:t>
      </w:r>
      <w:r w:rsidR="00997E53" w:rsidRPr="00A5544A">
        <w:rPr>
          <w:rFonts w:cstheme="majorBidi"/>
        </w:rPr>
        <w:t xml:space="preserve"> lower than that of </w:t>
      </w:r>
      <w:r w:rsidR="004823D2" w:rsidRPr="00A5544A">
        <w:rPr>
          <w:rFonts w:cstheme="majorBidi"/>
        </w:rPr>
        <w:t>year-on-year</w:t>
      </w:r>
      <w:r w:rsidR="00997E53" w:rsidRPr="00A5544A">
        <w:rPr>
          <w:rFonts w:cstheme="majorBidi"/>
        </w:rPr>
        <w:t xml:space="preserve"> inflation </w:t>
      </w:r>
      <w:r w:rsidR="004941E7" w:rsidRPr="00A5544A">
        <w:rPr>
          <w:rFonts w:cstheme="majorBidi"/>
        </w:rPr>
        <w:t xml:space="preserve">in the prices of </w:t>
      </w:r>
      <w:r w:rsidR="00997E53" w:rsidRPr="00A5544A">
        <w:rPr>
          <w:rFonts w:cstheme="majorBidi"/>
        </w:rPr>
        <w:t xml:space="preserve">both </w:t>
      </w:r>
      <w:r w:rsidR="004941E7" w:rsidRPr="00A5544A">
        <w:rPr>
          <w:rFonts w:cstheme="majorBidi"/>
        </w:rPr>
        <w:t>tradable</w:t>
      </w:r>
      <w:r w:rsidR="00997E53" w:rsidRPr="00A5544A">
        <w:rPr>
          <w:rFonts w:cstheme="majorBidi"/>
        </w:rPr>
        <w:t xml:space="preserve"> </w:t>
      </w:r>
      <w:r w:rsidR="00004259" w:rsidRPr="00A5544A">
        <w:rPr>
          <w:rFonts w:cstheme="majorBidi"/>
        </w:rPr>
        <w:t xml:space="preserve">goods </w:t>
      </w:r>
      <w:r w:rsidR="004941E7" w:rsidRPr="00A5544A">
        <w:rPr>
          <w:rFonts w:cstheme="majorBidi"/>
        </w:rPr>
        <w:t xml:space="preserve">and </w:t>
      </w:r>
      <w:proofErr w:type="spellStart"/>
      <w:r w:rsidR="004941E7" w:rsidRPr="00A5544A">
        <w:rPr>
          <w:rFonts w:cstheme="majorBidi"/>
        </w:rPr>
        <w:t>nontradables</w:t>
      </w:r>
      <w:proofErr w:type="spellEnd"/>
      <w:r w:rsidR="004941E7" w:rsidRPr="00A5544A">
        <w:rPr>
          <w:rFonts w:cstheme="majorBidi"/>
        </w:rPr>
        <w:t xml:space="preserve"> (</w:t>
      </w:r>
      <w:r w:rsidR="004941E7" w:rsidRPr="00A5544A">
        <w:rPr>
          <w:rFonts w:cstheme="majorBidi"/>
          <w:b/>
          <w:bCs/>
        </w:rPr>
        <w:t xml:space="preserve">Figure </w:t>
      </w:r>
      <w:r w:rsidR="00AF7DC8" w:rsidRPr="00A5544A">
        <w:rPr>
          <w:rFonts w:cstheme="majorBidi"/>
          <w:b/>
          <w:bCs/>
        </w:rPr>
        <w:t>4</w:t>
      </w:r>
      <w:r w:rsidR="004941E7" w:rsidRPr="00A5544A">
        <w:rPr>
          <w:rFonts w:cstheme="majorBidi"/>
        </w:rPr>
        <w:t>).</w:t>
      </w:r>
      <w:r w:rsidR="004941E7" w:rsidRPr="00A5544A">
        <w:t xml:space="preserve"> </w:t>
      </w:r>
      <w:r w:rsidR="00220741" w:rsidRPr="00A5544A">
        <w:t xml:space="preserve">One-year inflation expectations and forecasts are within the target range, around its upper bound. </w:t>
      </w:r>
      <w:r w:rsidR="002919ED" w:rsidRPr="00A5544A">
        <w:t>(</w:t>
      </w:r>
      <w:r w:rsidR="002919ED" w:rsidRPr="00A5544A">
        <w:rPr>
          <w:b/>
          <w:bCs/>
        </w:rPr>
        <w:t>Figure 6</w:t>
      </w:r>
      <w:r w:rsidR="002919ED" w:rsidRPr="00A5544A">
        <w:t>).</w:t>
      </w:r>
      <w:r w:rsidR="0041770E" w:rsidRPr="00A5544A">
        <w:t xml:space="preserve"> </w:t>
      </w:r>
      <w:r w:rsidR="00BF4973" w:rsidRPr="00A5544A">
        <w:t>Expectations derived from the capital market for the second year and onward are within the target range (</w:t>
      </w:r>
      <w:r w:rsidR="00BF4973" w:rsidRPr="00A5544A">
        <w:rPr>
          <w:b/>
          <w:bCs/>
        </w:rPr>
        <w:t>Figure 7</w:t>
      </w:r>
      <w:r w:rsidR="00BF4973" w:rsidRPr="00A5544A">
        <w:t>).</w:t>
      </w:r>
      <w:r w:rsidR="0041770E" w:rsidRPr="00A5544A">
        <w:t xml:space="preserve"> </w:t>
      </w:r>
      <w:r w:rsidR="00220741" w:rsidRPr="00A5544A">
        <w:t xml:space="preserve">The data to </w:t>
      </w:r>
      <w:proofErr w:type="gramStart"/>
      <w:r w:rsidR="00220741" w:rsidRPr="00A5544A">
        <w:t>be published</w:t>
      </w:r>
      <w:proofErr w:type="gramEnd"/>
      <w:r w:rsidR="00220741" w:rsidRPr="00A5544A">
        <w:t xml:space="preserve"> in the coming months will contribute significantly to clarifying the inflation picture. </w:t>
      </w:r>
      <w:proofErr w:type="gramStart"/>
      <w:r w:rsidR="00BF4973" w:rsidRPr="00A5544A">
        <w:t xml:space="preserve">The Monetary Committee’s assessment is that the monetary tightening processes </w:t>
      </w:r>
      <w:r w:rsidR="00220741" w:rsidRPr="00A5544A">
        <w:t xml:space="preserve">and the moderation of demand </w:t>
      </w:r>
      <w:r w:rsidR="00BF4973" w:rsidRPr="00A5544A">
        <w:t>in Israel and abroad are working to moderate inflation.</w:t>
      </w:r>
      <w:proofErr w:type="gramEnd"/>
      <w:r w:rsidR="00CA3997" w:rsidRPr="00A5544A">
        <w:t xml:space="preserve"> </w:t>
      </w:r>
      <w:r w:rsidR="00220741" w:rsidRPr="00A5544A">
        <w:t xml:space="preserve">In contrast, the depreciation of the shekel in recent months is contributing to an increase in the pace of inflation, and </w:t>
      </w:r>
      <w:r w:rsidR="00AF7DC8" w:rsidRPr="00A5544A">
        <w:t>the path of the exchange rate</w:t>
      </w:r>
      <w:r w:rsidR="00220741" w:rsidRPr="00A5544A">
        <w:t xml:space="preserve"> in the coming months will have an impact on </w:t>
      </w:r>
      <w:r w:rsidR="00943AF1" w:rsidRPr="00A5544A">
        <w:t xml:space="preserve">inflation </w:t>
      </w:r>
      <w:r w:rsidR="00220741" w:rsidRPr="00A5544A">
        <w:t>dynamic</w:t>
      </w:r>
      <w:r w:rsidR="00943AF1" w:rsidRPr="00A5544A">
        <w:t>s</w:t>
      </w:r>
      <w:r w:rsidR="00220741" w:rsidRPr="00A5544A">
        <w:t>.</w:t>
      </w:r>
    </w:p>
    <w:p w14:paraId="0BC6BD8E" w14:textId="77777777" w:rsidR="00C2592B" w:rsidRPr="00A5544A" w:rsidRDefault="00C2592B" w:rsidP="00C2592B">
      <w:pPr>
        <w:jc w:val="both"/>
      </w:pPr>
    </w:p>
    <w:p w14:paraId="5F337178" w14:textId="144FB63E" w:rsidR="008278C6" w:rsidRPr="00A5544A" w:rsidRDefault="008278C6" w:rsidP="00AF7DC8">
      <w:pPr>
        <w:jc w:val="both"/>
      </w:pPr>
      <w:r w:rsidRPr="00A5544A">
        <w:t>National Accounts data show that GDP grew by 3 percent in annual terms during the second quarter of 2023 (</w:t>
      </w:r>
      <w:r w:rsidRPr="00A5544A">
        <w:rPr>
          <w:b/>
          <w:bCs/>
        </w:rPr>
        <w:t>Figure 1</w:t>
      </w:r>
      <w:r w:rsidR="00AF7DC8" w:rsidRPr="00A5544A">
        <w:rPr>
          <w:b/>
          <w:bCs/>
        </w:rPr>
        <w:t>8</w:t>
      </w:r>
      <w:r w:rsidRPr="00A5544A">
        <w:t>).</w:t>
      </w:r>
      <w:r w:rsidR="00CA3997" w:rsidRPr="00A5544A">
        <w:t xml:space="preserve"> </w:t>
      </w:r>
      <w:r w:rsidRPr="00A5544A">
        <w:t>The level of GDP reflects a level of economic activity that has been above the pre-COVID-19 trend line for eight consecutive quarters</w:t>
      </w:r>
      <w:r w:rsidR="00194663" w:rsidRPr="00A5544A">
        <w:t xml:space="preserve">. </w:t>
      </w:r>
      <w:r w:rsidRPr="00A5544A">
        <w:t>However, the pace of growth is below potential, and total uses in the economy declined. Second quarter growth was especially affected by an increase in fixed capital formation, driven by nonresidential construction, and declines in goods and services exports and imports (</w:t>
      </w:r>
      <w:r w:rsidRPr="00A5544A">
        <w:rPr>
          <w:b/>
          <w:bCs/>
        </w:rPr>
        <w:t>Figure 1</w:t>
      </w:r>
      <w:r w:rsidR="00AF7DC8" w:rsidRPr="00A5544A">
        <w:rPr>
          <w:b/>
          <w:bCs/>
        </w:rPr>
        <w:t>9</w:t>
      </w:r>
      <w:r w:rsidRPr="00A5544A">
        <w:t>). P</w:t>
      </w:r>
      <w:r w:rsidR="00194663" w:rsidRPr="00A5544A">
        <w:t>rivate consumption</w:t>
      </w:r>
      <w:r w:rsidRPr="00A5544A">
        <w:t xml:space="preserve"> increased moderately, by 1.9 percent, largely due to an increase in Israelis’ consumption abroad (import of tourism services).</w:t>
      </w:r>
      <w:r w:rsidR="00CA3997" w:rsidRPr="00A5544A">
        <w:t xml:space="preserve"> </w:t>
      </w:r>
      <w:r w:rsidRPr="00A5544A">
        <w:t>The output of startup companies declined by 9.5 percent, and returned to its mid-2021 level.</w:t>
      </w:r>
    </w:p>
    <w:p w14:paraId="14602FBD" w14:textId="77777777" w:rsidR="008278C6" w:rsidRPr="00A5544A" w:rsidRDefault="008278C6" w:rsidP="008278C6">
      <w:pPr>
        <w:jc w:val="both"/>
      </w:pPr>
    </w:p>
    <w:p w14:paraId="328130AE" w14:textId="60BFBD83" w:rsidR="004F3A38" w:rsidRPr="00A5544A" w:rsidRDefault="008278C6" w:rsidP="00AF7DC8">
      <w:pPr>
        <w:jc w:val="both"/>
      </w:pPr>
      <w:r w:rsidRPr="00A5544A">
        <w:t>Alongside the National Accounts data</w:t>
      </w:r>
      <w:r w:rsidR="00194663" w:rsidRPr="00A5544A">
        <w:t xml:space="preserve"> </w:t>
      </w:r>
      <w:r w:rsidRPr="00A5544A">
        <w:t>for the first half of the year, some activity indicators for July point to some moderation in growth.</w:t>
      </w:r>
      <w:r w:rsidR="00CA3997" w:rsidRPr="00A5544A">
        <w:t xml:space="preserve"> </w:t>
      </w:r>
      <w:r w:rsidRPr="00A5544A">
        <w:t xml:space="preserve"> The aggregate balance of the Central Bureau of Statistics Business Tendency Survey declined in July, but continues to indicate businesses’ positive assessments of their state (</w:t>
      </w:r>
      <w:r w:rsidRPr="00A5544A">
        <w:rPr>
          <w:b/>
          <w:bCs/>
        </w:rPr>
        <w:t xml:space="preserve">Figure </w:t>
      </w:r>
      <w:r w:rsidR="00AF7DC8" w:rsidRPr="00A5544A">
        <w:rPr>
          <w:b/>
          <w:bCs/>
        </w:rPr>
        <w:t>20</w:t>
      </w:r>
      <w:r w:rsidRPr="00A5544A">
        <w:rPr>
          <w:b/>
          <w:bCs/>
        </w:rPr>
        <w:t xml:space="preserve">). </w:t>
      </w:r>
      <w:proofErr w:type="gramStart"/>
      <w:r w:rsidRPr="00A5544A">
        <w:t xml:space="preserve">Credit card expenditure data in real terms are below the trend and are not </w:t>
      </w:r>
      <w:r w:rsidR="00AF7DC8" w:rsidRPr="00A5544A">
        <w:t xml:space="preserve">increasing </w:t>
      </w:r>
      <w:r w:rsidR="0013000B" w:rsidRPr="00A5544A">
        <w:t>(</w:t>
      </w:r>
      <w:r w:rsidR="0013000B" w:rsidRPr="00A5544A">
        <w:rPr>
          <w:b/>
          <w:bCs/>
        </w:rPr>
        <w:t xml:space="preserve">Figure </w:t>
      </w:r>
      <w:r w:rsidR="00165FAB" w:rsidRPr="00A5544A">
        <w:rPr>
          <w:b/>
          <w:bCs/>
        </w:rPr>
        <w:t>2</w:t>
      </w:r>
      <w:r w:rsidR="00AF7DC8" w:rsidRPr="00A5544A">
        <w:rPr>
          <w:b/>
          <w:bCs/>
        </w:rPr>
        <w:t>1</w:t>
      </w:r>
      <w:r w:rsidR="0013000B" w:rsidRPr="00A5544A">
        <w:t>).</w:t>
      </w:r>
      <w:proofErr w:type="gramEnd"/>
      <w:r w:rsidR="0041770E" w:rsidRPr="00A5544A">
        <w:t xml:space="preserve"> </w:t>
      </w:r>
      <w:r w:rsidRPr="00A5544A">
        <w:t xml:space="preserve">Tax revenues in July were about </w:t>
      </w:r>
      <w:r w:rsidR="00F866A9" w:rsidRPr="00A5544A">
        <w:t>5.5</w:t>
      </w:r>
      <w:r w:rsidRPr="00A5544A">
        <w:t xml:space="preserve"> percent lower in </w:t>
      </w:r>
      <w:r w:rsidR="00F866A9" w:rsidRPr="00A5544A">
        <w:t xml:space="preserve">real </w:t>
      </w:r>
      <w:r w:rsidRPr="00A5544A">
        <w:t>terms than in the same period last year.</w:t>
      </w:r>
      <w:r w:rsidR="00CA3997" w:rsidRPr="00A5544A">
        <w:t xml:space="preserve"> </w:t>
      </w:r>
      <w:r w:rsidRPr="00A5544A">
        <w:t>Most of this decline was in real estate and income taxes.</w:t>
      </w:r>
      <w:r w:rsidR="00CA3997" w:rsidRPr="00A5544A">
        <w:t xml:space="preserve"> </w:t>
      </w:r>
      <w:r w:rsidR="0066010C" w:rsidRPr="00A5544A">
        <w:t>Goods and s</w:t>
      </w:r>
      <w:r w:rsidR="004F3A38" w:rsidRPr="00A5544A">
        <w:t>ervices exports</w:t>
      </w:r>
      <w:r w:rsidRPr="00A5544A">
        <w:t xml:space="preserve"> stabilized in recent months</w:t>
      </w:r>
      <w:r w:rsidR="004F3A38" w:rsidRPr="00A5544A">
        <w:t xml:space="preserve"> </w:t>
      </w:r>
      <w:r w:rsidR="008F265F" w:rsidRPr="00A5544A">
        <w:t>(</w:t>
      </w:r>
      <w:r w:rsidR="008F265F" w:rsidRPr="00A5544A">
        <w:rPr>
          <w:b/>
          <w:bCs/>
        </w:rPr>
        <w:t xml:space="preserve">Figure </w:t>
      </w:r>
      <w:r w:rsidR="004937CC" w:rsidRPr="00A5544A">
        <w:rPr>
          <w:b/>
          <w:bCs/>
        </w:rPr>
        <w:t>2</w:t>
      </w:r>
      <w:r w:rsidR="00AF7DC8" w:rsidRPr="00A5544A">
        <w:rPr>
          <w:b/>
          <w:bCs/>
        </w:rPr>
        <w:t>2</w:t>
      </w:r>
      <w:r w:rsidR="008F265F" w:rsidRPr="00A5544A">
        <w:t>)</w:t>
      </w:r>
      <w:r w:rsidR="00074B82" w:rsidRPr="00A5544A">
        <w:t xml:space="preserve">. </w:t>
      </w:r>
      <w:r w:rsidR="004F3A38" w:rsidRPr="00A5544A">
        <w:t xml:space="preserve">Goods imports </w:t>
      </w:r>
      <w:r w:rsidRPr="00A5544A">
        <w:t>have been in a downward trend in recent months</w:t>
      </w:r>
      <w:r w:rsidR="004F3A38" w:rsidRPr="00A5544A">
        <w:t xml:space="preserve"> (</w:t>
      </w:r>
      <w:r w:rsidR="004F3A38" w:rsidRPr="00A5544A">
        <w:rPr>
          <w:b/>
          <w:bCs/>
        </w:rPr>
        <w:t>Figure 2</w:t>
      </w:r>
      <w:r w:rsidR="00AF7DC8" w:rsidRPr="00A5544A">
        <w:rPr>
          <w:b/>
          <w:bCs/>
        </w:rPr>
        <w:t>3</w:t>
      </w:r>
      <w:r w:rsidR="004F3A38" w:rsidRPr="00A5544A">
        <w:t>).</w:t>
      </w:r>
      <w:r w:rsidR="0041770E" w:rsidRPr="00A5544A">
        <w:t xml:space="preserve"> </w:t>
      </w:r>
    </w:p>
    <w:p w14:paraId="326B07B2" w14:textId="2135648C" w:rsidR="00633738" w:rsidRPr="00A5544A" w:rsidRDefault="004F3A38" w:rsidP="004F3A38">
      <w:pPr>
        <w:jc w:val="both"/>
      </w:pPr>
      <w:r w:rsidRPr="00A5544A">
        <w:t xml:space="preserve"> </w:t>
      </w:r>
    </w:p>
    <w:p w14:paraId="27F84608" w14:textId="54D5812E" w:rsidR="00822A08" w:rsidRPr="00A5544A" w:rsidRDefault="00822A08" w:rsidP="00AF7DC8">
      <w:pPr>
        <w:jc w:val="both"/>
      </w:pPr>
      <w:r w:rsidRPr="00A5544A">
        <w:t xml:space="preserve">The labor market </w:t>
      </w:r>
      <w:r w:rsidR="00D86D7C" w:rsidRPr="00A5544A">
        <w:t>remains</w:t>
      </w:r>
      <w:r w:rsidRPr="00A5544A">
        <w:t xml:space="preserve"> tight</w:t>
      </w:r>
      <w:r w:rsidR="00F903CC" w:rsidRPr="00A5544A">
        <w:t xml:space="preserve"> and in a full employment environment</w:t>
      </w:r>
      <w:r w:rsidR="00BA1241" w:rsidRPr="00A5544A">
        <w:t>, but the job vacancy rate continued to decline in July.</w:t>
      </w:r>
      <w:r w:rsidR="00303B1E" w:rsidRPr="00A5544A">
        <w:t xml:space="preserve"> The employment rate among those aged 15 and over (6</w:t>
      </w:r>
      <w:r w:rsidR="00074B82" w:rsidRPr="00A5544A">
        <w:t>1</w:t>
      </w:r>
      <w:r w:rsidR="00303B1E" w:rsidRPr="00A5544A">
        <w:t>.</w:t>
      </w:r>
      <w:r w:rsidR="00BA1241" w:rsidRPr="00A5544A">
        <w:t>5</w:t>
      </w:r>
      <w:r w:rsidR="00303B1E" w:rsidRPr="00A5544A">
        <w:t xml:space="preserve"> percent</w:t>
      </w:r>
      <w:r w:rsidR="00F903CC" w:rsidRPr="00A5544A">
        <w:t>, seasonally adjusted</w:t>
      </w:r>
      <w:r w:rsidR="00303B1E" w:rsidRPr="00A5544A">
        <w:t xml:space="preserve">) </w:t>
      </w:r>
      <w:r w:rsidR="00BA1241" w:rsidRPr="00A5544A">
        <w:t xml:space="preserve">and the employment rate </w:t>
      </w:r>
      <w:r w:rsidR="00303B1E" w:rsidRPr="00A5544A">
        <w:t>among the prime working ages (25–64</w:t>
      </w:r>
      <w:r w:rsidR="00F903CC" w:rsidRPr="00A5544A">
        <w:t>, 79</w:t>
      </w:r>
      <w:r w:rsidR="00B012AC" w:rsidRPr="00A5544A">
        <w:t>.</w:t>
      </w:r>
      <w:r w:rsidR="00BA1241" w:rsidRPr="00A5544A">
        <w:t>3</w:t>
      </w:r>
      <w:r w:rsidR="00F903CC" w:rsidRPr="00A5544A">
        <w:t xml:space="preserve"> percent, </w:t>
      </w:r>
      <w:r w:rsidR="00F903CC" w:rsidRPr="00A5544A">
        <w:lastRenderedPageBreak/>
        <w:t>seasonally adjusted),</w:t>
      </w:r>
      <w:r w:rsidR="00303B1E" w:rsidRPr="00A5544A">
        <w:t xml:space="preserve"> </w:t>
      </w:r>
      <w:r w:rsidR="00BA1241" w:rsidRPr="00A5544A">
        <w:t>are</w:t>
      </w:r>
      <w:r w:rsidR="00074B82" w:rsidRPr="00A5544A">
        <w:t xml:space="preserve"> </w:t>
      </w:r>
      <w:r w:rsidR="00303B1E" w:rsidRPr="00A5544A">
        <w:t>high</w:t>
      </w:r>
      <w:r w:rsidR="00074B82" w:rsidRPr="00A5544A">
        <w:t xml:space="preserve">er than before the </w:t>
      </w:r>
      <w:r w:rsidR="00BA1241" w:rsidRPr="00A5544A">
        <w:t xml:space="preserve">COVID-19 </w:t>
      </w:r>
      <w:r w:rsidR="00074B82" w:rsidRPr="00A5544A">
        <w:t>crisis</w:t>
      </w:r>
      <w:r w:rsidR="00303B1E" w:rsidRPr="00A5544A">
        <w:t xml:space="preserve"> (</w:t>
      </w:r>
      <w:r w:rsidR="00303B1E" w:rsidRPr="00A5544A">
        <w:rPr>
          <w:b/>
          <w:bCs/>
        </w:rPr>
        <w:t>Figure 2</w:t>
      </w:r>
      <w:r w:rsidR="00AF7DC8" w:rsidRPr="00A5544A">
        <w:rPr>
          <w:b/>
          <w:bCs/>
        </w:rPr>
        <w:t>4</w:t>
      </w:r>
      <w:r w:rsidR="00303B1E" w:rsidRPr="00A5544A">
        <w:t>).</w:t>
      </w:r>
      <w:r w:rsidR="0041770E" w:rsidRPr="00A5544A">
        <w:t xml:space="preserve"> </w:t>
      </w:r>
      <w:r w:rsidR="003B66C0" w:rsidRPr="00A5544A">
        <w:t>T</w:t>
      </w:r>
      <w:r w:rsidR="00514240" w:rsidRPr="00A5544A">
        <w:t xml:space="preserve">he unemployment rate </w:t>
      </w:r>
      <w:r w:rsidR="003B66C0" w:rsidRPr="00A5544A">
        <w:t xml:space="preserve">for those aged 15+ </w:t>
      </w:r>
      <w:r w:rsidR="00BA1241" w:rsidRPr="00A5544A">
        <w:t xml:space="preserve">declined from the previous month, to </w:t>
      </w:r>
      <w:r w:rsidR="00303B1E" w:rsidRPr="00A5544A">
        <w:t>3.</w:t>
      </w:r>
      <w:r w:rsidR="00BA1241" w:rsidRPr="00A5544A">
        <w:t>4</w:t>
      </w:r>
      <w:r w:rsidR="00303B1E" w:rsidRPr="00A5544A">
        <w:t xml:space="preserve"> percent</w:t>
      </w:r>
      <w:r w:rsidR="00F903CC" w:rsidRPr="00A5544A">
        <w:t>, seasonally adjusted</w:t>
      </w:r>
      <w:r w:rsidR="0082043A" w:rsidRPr="00A5544A">
        <w:t xml:space="preserve">, while the unemployment rate among the prime working ages </w:t>
      </w:r>
      <w:r w:rsidR="00BA1241" w:rsidRPr="00A5544A">
        <w:t>declin</w:t>
      </w:r>
      <w:r w:rsidR="00F903CC" w:rsidRPr="00A5544A">
        <w:t>ed to</w:t>
      </w:r>
      <w:r w:rsidR="0082043A" w:rsidRPr="00A5544A">
        <w:t xml:space="preserve"> 3 percent</w:t>
      </w:r>
      <w:r w:rsidR="00F903CC" w:rsidRPr="00A5544A">
        <w:t xml:space="preserve"> (seasonally adjusted)</w:t>
      </w:r>
      <w:r w:rsidR="00E20E0F" w:rsidRPr="00A5544A">
        <w:t xml:space="preserve"> (</w:t>
      </w:r>
      <w:r w:rsidR="00E20E0F" w:rsidRPr="00A5544A">
        <w:rPr>
          <w:b/>
          <w:bCs/>
        </w:rPr>
        <w:t>Figure 2</w:t>
      </w:r>
      <w:r w:rsidR="00AF7DC8" w:rsidRPr="00A5544A">
        <w:rPr>
          <w:b/>
          <w:bCs/>
        </w:rPr>
        <w:t>5</w:t>
      </w:r>
      <w:r w:rsidR="00E20E0F" w:rsidRPr="00A5544A">
        <w:t>)</w:t>
      </w:r>
      <w:r w:rsidR="003E248A" w:rsidRPr="00A5544A">
        <w:t>.</w:t>
      </w:r>
      <w:r w:rsidR="003B66C0" w:rsidRPr="00A5544A">
        <w:t xml:space="preserve"> </w:t>
      </w:r>
      <w:r w:rsidR="00F903CC" w:rsidRPr="00A5544A">
        <w:t xml:space="preserve">In the high-tech services industry, </w:t>
      </w:r>
      <w:r w:rsidR="00D47F18" w:rsidRPr="00A5544A">
        <w:t xml:space="preserve">the job vacancy rate </w:t>
      </w:r>
      <w:r w:rsidR="00BA1241" w:rsidRPr="00A5544A">
        <w:t>declined to a level slightly</w:t>
      </w:r>
      <w:r w:rsidR="00D47F18" w:rsidRPr="00A5544A">
        <w:t xml:space="preserve"> </w:t>
      </w:r>
      <w:r w:rsidR="00F903CC" w:rsidRPr="00A5544A">
        <w:t xml:space="preserve">lower than the </w:t>
      </w:r>
      <w:proofErr w:type="spellStart"/>
      <w:r w:rsidR="00F903CC" w:rsidRPr="00A5544A">
        <w:t>precrisis</w:t>
      </w:r>
      <w:proofErr w:type="spellEnd"/>
      <w:r w:rsidR="00F903CC" w:rsidRPr="00A5544A">
        <w:t xml:space="preserve"> data, </w:t>
      </w:r>
      <w:r w:rsidR="004823D2" w:rsidRPr="00A5544A">
        <w:t xml:space="preserve">although </w:t>
      </w:r>
      <w:r w:rsidR="00D47F18" w:rsidRPr="00A5544A">
        <w:t>t</w:t>
      </w:r>
      <w:r w:rsidR="002C7D1A" w:rsidRPr="00A5544A">
        <w:t>he</w:t>
      </w:r>
      <w:r w:rsidR="00BA1241" w:rsidRPr="00A5544A">
        <w:t xml:space="preserve"> employment level is higher than it was prior to the crisis</w:t>
      </w:r>
      <w:r w:rsidR="004823D2" w:rsidRPr="00A5544A">
        <w:t xml:space="preserve"> </w:t>
      </w:r>
      <w:r w:rsidR="00074B82" w:rsidRPr="00A5544A">
        <w:t>(</w:t>
      </w:r>
      <w:r w:rsidR="00E20E0F" w:rsidRPr="00A5544A">
        <w:rPr>
          <w:b/>
          <w:bCs/>
        </w:rPr>
        <w:t xml:space="preserve">Figure </w:t>
      </w:r>
      <w:r w:rsidR="004937CC" w:rsidRPr="00A5544A">
        <w:rPr>
          <w:b/>
          <w:bCs/>
        </w:rPr>
        <w:t>2</w:t>
      </w:r>
      <w:r w:rsidR="00AF7DC8" w:rsidRPr="00A5544A">
        <w:rPr>
          <w:b/>
          <w:bCs/>
        </w:rPr>
        <w:t>8</w:t>
      </w:r>
      <w:r w:rsidR="00E20E0F" w:rsidRPr="00A5544A">
        <w:t>)</w:t>
      </w:r>
      <w:r w:rsidR="003B66C0" w:rsidRPr="00A5544A">
        <w:t>.</w:t>
      </w:r>
      <w:r w:rsidR="00CA3997" w:rsidRPr="00A5544A">
        <w:t xml:space="preserve"> </w:t>
      </w:r>
      <w:r w:rsidR="00BA1241" w:rsidRPr="00A5544A">
        <w:t>According to the Central Bureau of Statistics Business Tendency Survey, high-tech companies’ expectations regarding the state of their activity became more pessimistic in the past year (</w:t>
      </w:r>
      <w:r w:rsidR="00BA1241" w:rsidRPr="00A5544A">
        <w:rPr>
          <w:b/>
          <w:bCs/>
        </w:rPr>
        <w:t xml:space="preserve">Figure </w:t>
      </w:r>
      <w:r w:rsidR="00AF7DC8" w:rsidRPr="00A5544A">
        <w:rPr>
          <w:b/>
          <w:bCs/>
        </w:rPr>
        <w:t>30</w:t>
      </w:r>
      <w:r w:rsidR="00BA1241" w:rsidRPr="00A5544A">
        <w:t>).</w:t>
      </w:r>
      <w:r w:rsidR="00CA3997" w:rsidRPr="00A5544A">
        <w:t xml:space="preserve"> </w:t>
      </w:r>
      <w:r w:rsidR="002C7D1A" w:rsidRPr="00A5544A">
        <w:t>The average wage per employee post</w:t>
      </w:r>
      <w:r w:rsidR="00BA1241" w:rsidRPr="00A5544A">
        <w:t xml:space="preserve"> in May, as well as the </w:t>
      </w:r>
      <w:proofErr w:type="spellStart"/>
      <w:r w:rsidR="00BA1241" w:rsidRPr="00A5544A">
        <w:t>nowcast</w:t>
      </w:r>
      <w:proofErr w:type="spellEnd"/>
      <w:r w:rsidR="0066010C" w:rsidRPr="00A5544A">
        <w:t xml:space="preserve"> estimate</w:t>
      </w:r>
      <w:r w:rsidR="00BA1241" w:rsidRPr="00A5544A">
        <w:t xml:space="preserve"> for June, stabilized at a high level relative to the beginning of the year.</w:t>
      </w:r>
      <w:r w:rsidR="00CA3997" w:rsidRPr="00A5544A">
        <w:t xml:space="preserve"> </w:t>
      </w:r>
      <w:r w:rsidR="002C7D1A" w:rsidRPr="00A5544A">
        <w:t>In view of these figures, the real wage level increased</w:t>
      </w:r>
      <w:r w:rsidR="00BA1241" w:rsidRPr="00A5544A">
        <w:t xml:space="preserve"> slightly.</w:t>
      </w:r>
      <w:r w:rsidR="0041770E" w:rsidRPr="00A5544A">
        <w:t xml:space="preserve"> </w:t>
      </w:r>
    </w:p>
    <w:p w14:paraId="3A4C1D25" w14:textId="77777777" w:rsidR="002C7D1A" w:rsidRPr="00A5544A" w:rsidRDefault="002C7D1A" w:rsidP="002C7D1A">
      <w:pPr>
        <w:jc w:val="both"/>
      </w:pPr>
    </w:p>
    <w:p w14:paraId="68EB8E1F" w14:textId="1DC9B15B" w:rsidR="002E5026" w:rsidRPr="00A5544A" w:rsidRDefault="0092358F" w:rsidP="00AF7DC8">
      <w:pPr>
        <w:jc w:val="both"/>
      </w:pPr>
      <w:r w:rsidRPr="00A5544A">
        <w:t xml:space="preserve">The </w:t>
      </w:r>
      <w:r w:rsidR="00BA1241" w:rsidRPr="00A5544A">
        <w:t>volume</w:t>
      </w:r>
      <w:r w:rsidRPr="00A5544A">
        <w:t xml:space="preserve"> of activity in the housing market continues to moderate.</w:t>
      </w:r>
      <w:r w:rsidR="0041770E" w:rsidRPr="00A5544A">
        <w:t xml:space="preserve"> </w:t>
      </w:r>
      <w:r w:rsidR="00BA1241" w:rsidRPr="00A5544A">
        <w:t>Home prices have declined in recent months, and the pace of h</w:t>
      </w:r>
      <w:r w:rsidR="002E5026" w:rsidRPr="00A5544A">
        <w:t xml:space="preserve">ome price </w:t>
      </w:r>
      <w:r w:rsidR="000A4196" w:rsidRPr="00A5544A">
        <w:t>increase</w:t>
      </w:r>
      <w:r w:rsidR="004823D2" w:rsidRPr="00A5544A">
        <w:t>s</w:t>
      </w:r>
      <w:r w:rsidR="005D3750" w:rsidRPr="00A5544A">
        <w:t xml:space="preserve"> </w:t>
      </w:r>
      <w:r w:rsidR="002E5026" w:rsidRPr="00A5544A">
        <w:t>in the past 12 months</w:t>
      </w:r>
      <w:r w:rsidR="005D3750" w:rsidRPr="00A5544A">
        <w:t xml:space="preserve"> moderated to </w:t>
      </w:r>
      <w:r w:rsidR="00BA1241" w:rsidRPr="00A5544A">
        <w:t>5.2</w:t>
      </w:r>
      <w:r w:rsidR="005D3750" w:rsidRPr="00A5544A">
        <w:t xml:space="preserve"> percent</w:t>
      </w:r>
      <w:r w:rsidR="002E5026" w:rsidRPr="00A5544A">
        <w:t xml:space="preserve"> (</w:t>
      </w:r>
      <w:r w:rsidR="002E5026" w:rsidRPr="00A5544A">
        <w:rPr>
          <w:b/>
          <w:bCs/>
        </w:rPr>
        <w:t xml:space="preserve">Figure </w:t>
      </w:r>
      <w:r w:rsidR="007A4A3C" w:rsidRPr="00A5544A">
        <w:rPr>
          <w:b/>
          <w:bCs/>
        </w:rPr>
        <w:t>1</w:t>
      </w:r>
      <w:r w:rsidR="00AF7DC8" w:rsidRPr="00A5544A">
        <w:rPr>
          <w:b/>
          <w:bCs/>
        </w:rPr>
        <w:t>3</w:t>
      </w:r>
      <w:r w:rsidR="002E5026" w:rsidRPr="00A5544A">
        <w:t>)</w:t>
      </w:r>
      <w:r w:rsidR="00BA1241" w:rsidRPr="00A5544A">
        <w:t>. In May–June 2023, the Index of Home Prices declined by 0.2 percent, and the prices of new homes declined by 0.6 percent</w:t>
      </w:r>
      <w:r w:rsidR="004D12F9" w:rsidRPr="00A5544A">
        <w:t>.</w:t>
      </w:r>
      <w:r w:rsidRPr="00A5544A">
        <w:t xml:space="preserve"> </w:t>
      </w:r>
      <w:r w:rsidR="00D872F0" w:rsidRPr="00A5544A">
        <w:t>T</w:t>
      </w:r>
      <w:r w:rsidR="003B66C0" w:rsidRPr="00A5544A">
        <w:t>he</w:t>
      </w:r>
      <w:r w:rsidRPr="00A5544A">
        <w:t xml:space="preserve"> </w:t>
      </w:r>
      <w:r w:rsidR="004D12F9" w:rsidRPr="00A5544A">
        <w:t>downward trends</w:t>
      </w:r>
      <w:r w:rsidRPr="00A5544A">
        <w:t xml:space="preserve"> in the</w:t>
      </w:r>
      <w:r w:rsidR="003B66C0" w:rsidRPr="00A5544A">
        <w:t xml:space="preserve"> </w:t>
      </w:r>
      <w:r w:rsidR="00945227" w:rsidRPr="00A5544A">
        <w:t>number of housing transactions</w:t>
      </w:r>
      <w:r w:rsidRPr="00A5544A">
        <w:t xml:space="preserve"> and in new mortgage</w:t>
      </w:r>
      <w:r w:rsidR="00E91AB9" w:rsidRPr="00A5544A">
        <w:t xml:space="preserve"> volume</w:t>
      </w:r>
      <w:r w:rsidR="00945227" w:rsidRPr="00A5544A">
        <w:t xml:space="preserve"> continue</w:t>
      </w:r>
      <w:r w:rsidR="004D12F9" w:rsidRPr="00A5544A">
        <w:t>d</w:t>
      </w:r>
      <w:r w:rsidR="005D3750" w:rsidRPr="00A5544A">
        <w:t>.</w:t>
      </w:r>
      <w:r w:rsidRPr="00A5544A">
        <w:t xml:space="preserve"> In </w:t>
      </w:r>
      <w:r w:rsidR="00BA1241" w:rsidRPr="00A5544A">
        <w:t>Jul</w:t>
      </w:r>
      <w:r w:rsidR="00E5457F" w:rsidRPr="00A5544A">
        <w:t>y</w:t>
      </w:r>
      <w:r w:rsidRPr="00A5544A">
        <w:t>, new</w:t>
      </w:r>
      <w:r w:rsidR="005D3750" w:rsidRPr="00A5544A">
        <w:t xml:space="preserve"> mortgage borrowing totaled NIS </w:t>
      </w:r>
      <w:r w:rsidR="004D12F9" w:rsidRPr="00A5544A">
        <w:t>6.</w:t>
      </w:r>
      <w:r w:rsidR="00BA1241" w:rsidRPr="00A5544A">
        <w:t>4</w:t>
      </w:r>
      <w:r w:rsidRPr="00A5544A">
        <w:t xml:space="preserve"> billion</w:t>
      </w:r>
      <w:r w:rsidR="0017762C" w:rsidRPr="00A5544A">
        <w:t xml:space="preserve"> </w:t>
      </w:r>
      <w:r w:rsidR="007521B2" w:rsidRPr="00A5544A">
        <w:t>(</w:t>
      </w:r>
      <w:r w:rsidR="007521B2" w:rsidRPr="00A5544A">
        <w:rPr>
          <w:b/>
          <w:bCs/>
        </w:rPr>
        <w:t xml:space="preserve">Figure </w:t>
      </w:r>
      <w:r w:rsidR="00D358CE" w:rsidRPr="00A5544A">
        <w:rPr>
          <w:b/>
          <w:bCs/>
        </w:rPr>
        <w:t>1</w:t>
      </w:r>
      <w:r w:rsidR="00165FAB" w:rsidRPr="00A5544A">
        <w:rPr>
          <w:b/>
          <w:bCs/>
        </w:rPr>
        <w:t>4</w:t>
      </w:r>
      <w:r w:rsidR="007521B2" w:rsidRPr="00A5544A">
        <w:t xml:space="preserve">). </w:t>
      </w:r>
      <w:r w:rsidR="004D12F9" w:rsidRPr="00A5544A">
        <w:t xml:space="preserve">According to Central Bureau of Statistics data, </w:t>
      </w:r>
      <w:r w:rsidR="00BA1241" w:rsidRPr="00A5544A">
        <w:t>despite the decline in the number of building starts, the number of people employed in the construction industries and investment in residential buildings (second quarter data) remain high. The owner-occupied housing services component in the CPI increased by 6.2 percent in the past year.</w:t>
      </w:r>
      <w:r w:rsidR="00E5457F" w:rsidRPr="00A5544A">
        <w:t xml:space="preserve"> Monthly rents for tenants renewing their contracts increased by 3.</w:t>
      </w:r>
      <w:r w:rsidR="00CC0780" w:rsidRPr="00A5544A">
        <w:t>8</w:t>
      </w:r>
      <w:r w:rsidR="00E5457F" w:rsidRPr="00A5544A">
        <w:t xml:space="preserve"> percent in </w:t>
      </w:r>
      <w:r w:rsidR="00CC0780" w:rsidRPr="00A5544A">
        <w:t>Jul</w:t>
      </w:r>
      <w:r w:rsidR="00E5457F" w:rsidRPr="00A5544A">
        <w:t xml:space="preserve">y, and monthly rents on new contracts increased by </w:t>
      </w:r>
      <w:r w:rsidR="00CC0780" w:rsidRPr="00A5544A">
        <w:t>9</w:t>
      </w:r>
      <w:r w:rsidR="00E5457F" w:rsidRPr="00A5544A">
        <w:t xml:space="preserve"> percent.</w:t>
      </w:r>
      <w:r w:rsidR="007521B2" w:rsidRPr="00A5544A">
        <w:t xml:space="preserve"> </w:t>
      </w:r>
    </w:p>
    <w:p w14:paraId="343811AE" w14:textId="3C6BB94B" w:rsidR="00C2592B" w:rsidRPr="00A5544A" w:rsidRDefault="00C2592B" w:rsidP="00C2592B">
      <w:pPr>
        <w:jc w:val="both"/>
      </w:pPr>
    </w:p>
    <w:p w14:paraId="2FB83253" w14:textId="77C2F5B3" w:rsidR="007521B2" w:rsidRPr="00A5544A" w:rsidRDefault="006F1B26" w:rsidP="00AF7DC8">
      <w:pPr>
        <w:jc w:val="both"/>
      </w:pPr>
      <w:r w:rsidRPr="00A5544A">
        <w:t xml:space="preserve">Israeli equity </w:t>
      </w:r>
      <w:r w:rsidR="00CC0780" w:rsidRPr="00A5544A">
        <w:t>indices increased during the reviewed period, more prominently than the global trend.</w:t>
      </w:r>
      <w:r w:rsidR="00CA3997" w:rsidRPr="00A5544A">
        <w:t xml:space="preserve"> </w:t>
      </w:r>
      <w:r w:rsidR="00CC0780" w:rsidRPr="00A5544A">
        <w:t>However, t</w:t>
      </w:r>
      <w:r w:rsidRPr="00A5544A">
        <w:t xml:space="preserve">he trend of </w:t>
      </w:r>
      <w:r w:rsidR="005D3750" w:rsidRPr="00A5544A">
        <w:t>underperform</w:t>
      </w:r>
      <w:r w:rsidRPr="00A5544A">
        <w:t>ance of the Israeli market</w:t>
      </w:r>
      <w:r w:rsidR="005D3750" w:rsidRPr="00A5544A">
        <w:t xml:space="preserve"> relative to global indices </w:t>
      </w:r>
      <w:r w:rsidRPr="00A5544A">
        <w:t xml:space="preserve">since the beginning of the year </w:t>
      </w:r>
      <w:r w:rsidR="00AF7DC8" w:rsidRPr="00A5544A">
        <w:t>persists</w:t>
      </w:r>
      <w:r w:rsidRPr="00A5544A">
        <w:t xml:space="preserve"> </w:t>
      </w:r>
      <w:r w:rsidR="005D3750" w:rsidRPr="00A5544A">
        <w:t>(</w:t>
      </w:r>
      <w:r w:rsidR="005D3750" w:rsidRPr="00A5544A">
        <w:rPr>
          <w:b/>
          <w:bCs/>
        </w:rPr>
        <w:t xml:space="preserve">Figure </w:t>
      </w:r>
      <w:r w:rsidR="00AF7DC8" w:rsidRPr="00A5544A">
        <w:rPr>
          <w:b/>
          <w:bCs/>
        </w:rPr>
        <w:t>41</w:t>
      </w:r>
      <w:r w:rsidR="005D3750" w:rsidRPr="00A5544A">
        <w:t>).</w:t>
      </w:r>
      <w:r w:rsidR="007D5D5F" w:rsidRPr="00A5544A">
        <w:t xml:space="preserve"> Y</w:t>
      </w:r>
      <w:r w:rsidR="00514240" w:rsidRPr="00A5544A">
        <w:t>ields on long-term g</w:t>
      </w:r>
      <w:r w:rsidR="00975AC8" w:rsidRPr="00A5544A">
        <w:t>overnment bonds</w:t>
      </w:r>
      <w:r w:rsidR="00D872F0" w:rsidRPr="00A5544A">
        <w:t xml:space="preserve"> </w:t>
      </w:r>
      <w:r w:rsidR="0066010C" w:rsidRPr="00A5544A">
        <w:t>increased</w:t>
      </w:r>
      <w:r w:rsidR="000016FE" w:rsidRPr="00A5544A">
        <w:t xml:space="preserve"> slightly</w:t>
      </w:r>
      <w:r w:rsidR="007D5D5F" w:rsidRPr="00A5544A">
        <w:t xml:space="preserve">, </w:t>
      </w:r>
      <w:r w:rsidR="005D3750" w:rsidRPr="00A5544A">
        <w:t>and</w:t>
      </w:r>
      <w:r w:rsidR="007D5D5F" w:rsidRPr="00A5544A">
        <w:t xml:space="preserve"> </w:t>
      </w:r>
      <w:r w:rsidR="005D3750" w:rsidRPr="00A5544A">
        <w:t>c</w:t>
      </w:r>
      <w:r w:rsidR="007D5D5F" w:rsidRPr="00A5544A">
        <w:t xml:space="preserve">orporate bond spreads </w:t>
      </w:r>
      <w:r w:rsidR="006435A0" w:rsidRPr="00A5544A">
        <w:t xml:space="preserve">remained </w:t>
      </w:r>
      <w:r w:rsidR="00CC0780" w:rsidRPr="00A5544A">
        <w:t>relatively unchanged</w:t>
      </w:r>
      <w:r w:rsidR="0025241A" w:rsidRPr="00A5544A">
        <w:t>.</w:t>
      </w:r>
      <w:r w:rsidR="00CA3997" w:rsidRPr="00A5544A">
        <w:t xml:space="preserve"> </w:t>
      </w:r>
      <w:r w:rsidR="00CC0780" w:rsidRPr="00A5544A">
        <w:t>There was a slowing trend in bank and nonbank credit to all activity segments and all industries.</w:t>
      </w:r>
      <w:r w:rsidR="00CA3997" w:rsidRPr="00A5544A">
        <w:t xml:space="preserve"> </w:t>
      </w:r>
      <w:r w:rsidR="006435A0" w:rsidRPr="00A5544A">
        <w:t>According to the Central Bureau of Statistics Business Tendency Survey for Ju</w:t>
      </w:r>
      <w:r w:rsidR="00CC0780" w:rsidRPr="00A5544A">
        <w:t>ly</w:t>
      </w:r>
      <w:r w:rsidR="006435A0" w:rsidRPr="00A5544A">
        <w:t>,</w:t>
      </w:r>
      <w:r w:rsidR="00CC0780" w:rsidRPr="00A5544A">
        <w:t xml:space="preserve"> the difficulty in obtaining credit as reported by the various segments remains relatively low</w:t>
      </w:r>
      <w:r w:rsidR="006435A0" w:rsidRPr="00A5544A">
        <w:t xml:space="preserve"> (</w:t>
      </w:r>
      <w:r w:rsidR="006435A0" w:rsidRPr="00A5544A">
        <w:rPr>
          <w:b/>
          <w:bCs/>
        </w:rPr>
        <w:t>Figure 16</w:t>
      </w:r>
      <w:r w:rsidR="006435A0" w:rsidRPr="00A5544A">
        <w:t>).</w:t>
      </w:r>
      <w:r w:rsidR="00CA3997" w:rsidRPr="00A5544A">
        <w:t xml:space="preserve"> </w:t>
      </w:r>
      <w:r w:rsidR="0021573C" w:rsidRPr="00A5544A">
        <w:t>However</w:t>
      </w:r>
      <w:r w:rsidR="006435A0" w:rsidRPr="00A5544A">
        <w:t xml:space="preserve">, there are indications of a slight increase in the indices of credit risk to </w:t>
      </w:r>
      <w:r w:rsidR="00CC0780" w:rsidRPr="00A5544A">
        <w:t xml:space="preserve">medium, </w:t>
      </w:r>
      <w:r w:rsidR="006435A0" w:rsidRPr="00A5544A">
        <w:t>small and micro businesses</w:t>
      </w:r>
      <w:r w:rsidR="00E5457F" w:rsidRPr="00A5544A">
        <w:t>.</w:t>
      </w:r>
      <w:r w:rsidR="00CA3997" w:rsidRPr="00A5544A">
        <w:t xml:space="preserve"> </w:t>
      </w:r>
      <w:r w:rsidR="00E5457F" w:rsidRPr="00A5544A">
        <w:t>There was a significant decline in c</w:t>
      </w:r>
      <w:r w:rsidR="0021573C" w:rsidRPr="00A5544A">
        <w:t xml:space="preserve">apital raised by the high-tech sector relative to recent years, which is part of the global trend </w:t>
      </w:r>
      <w:r w:rsidR="006435A0" w:rsidRPr="00A5544A">
        <w:t>(</w:t>
      </w:r>
      <w:r w:rsidR="006435A0" w:rsidRPr="00A5544A">
        <w:rPr>
          <w:b/>
          <w:bCs/>
        </w:rPr>
        <w:t>Figure 2</w:t>
      </w:r>
      <w:r w:rsidR="00AF7DC8" w:rsidRPr="00A5544A">
        <w:rPr>
          <w:b/>
          <w:bCs/>
        </w:rPr>
        <w:t>9</w:t>
      </w:r>
      <w:r w:rsidR="006435A0" w:rsidRPr="00A5544A">
        <w:t>).</w:t>
      </w:r>
    </w:p>
    <w:p w14:paraId="52FEB5E0" w14:textId="77777777" w:rsidR="00C2592B" w:rsidRPr="00A5544A" w:rsidRDefault="00C2592B" w:rsidP="00C2592B">
      <w:pPr>
        <w:jc w:val="both"/>
      </w:pPr>
    </w:p>
    <w:p w14:paraId="486F65AE" w14:textId="0D58D761" w:rsidR="00AD1B36" w:rsidRPr="00A5544A" w:rsidRDefault="006435A0" w:rsidP="003F30E7">
      <w:pPr>
        <w:jc w:val="both"/>
      </w:pPr>
      <w:r w:rsidRPr="00A5544A">
        <w:t>S</w:t>
      </w:r>
      <w:r w:rsidR="00AD1B36" w:rsidRPr="00A5544A">
        <w:t xml:space="preserve">ince the previous monetary policy decision, the shekel </w:t>
      </w:r>
      <w:r w:rsidR="00B008CC" w:rsidRPr="00A5544A">
        <w:t>weakened</w:t>
      </w:r>
      <w:r w:rsidR="00AD1B36" w:rsidRPr="00A5544A">
        <w:t xml:space="preserve"> by </w:t>
      </w:r>
      <w:r w:rsidR="00CC0780" w:rsidRPr="00A5544A">
        <w:t>2.3</w:t>
      </w:r>
      <w:r w:rsidR="00B008CC" w:rsidRPr="00A5544A">
        <w:t xml:space="preserve"> </w:t>
      </w:r>
      <w:r w:rsidR="00AD1B36" w:rsidRPr="00A5544A">
        <w:t xml:space="preserve">percent against the US dollar, </w:t>
      </w:r>
      <w:r w:rsidR="00B008CC" w:rsidRPr="00A5544A">
        <w:t xml:space="preserve">by </w:t>
      </w:r>
      <w:r w:rsidR="00CC0780" w:rsidRPr="00A5544A">
        <w:t>1</w:t>
      </w:r>
      <w:r w:rsidRPr="00A5544A">
        <w:t xml:space="preserve">.3 </w:t>
      </w:r>
      <w:r w:rsidR="00B008CC" w:rsidRPr="00A5544A">
        <w:t xml:space="preserve">percent against the euro, </w:t>
      </w:r>
      <w:r w:rsidR="00AD1B36" w:rsidRPr="00A5544A">
        <w:t xml:space="preserve">and by </w:t>
      </w:r>
      <w:r w:rsidR="00CC0780" w:rsidRPr="00A5544A">
        <w:t>1.5</w:t>
      </w:r>
      <w:r w:rsidR="00AD1B36" w:rsidRPr="00A5544A">
        <w:t xml:space="preserve"> percent in terms of the nominal effective exchange rate</w:t>
      </w:r>
      <w:r w:rsidR="00B008CC" w:rsidRPr="00A5544A">
        <w:t xml:space="preserve"> </w:t>
      </w:r>
      <w:r w:rsidR="00AD1B36" w:rsidRPr="00A5544A">
        <w:t>(</w:t>
      </w:r>
      <w:r w:rsidR="00AD1B36" w:rsidRPr="00A5544A">
        <w:rPr>
          <w:b/>
          <w:bCs/>
        </w:rPr>
        <w:t xml:space="preserve">Figure </w:t>
      </w:r>
      <w:r w:rsidR="003C3233" w:rsidRPr="00A5544A">
        <w:rPr>
          <w:b/>
          <w:bCs/>
        </w:rPr>
        <w:t>8</w:t>
      </w:r>
      <w:r w:rsidR="00AD1B36" w:rsidRPr="00A5544A">
        <w:t>).</w:t>
      </w:r>
      <w:r w:rsidR="00CA3997" w:rsidRPr="00A5544A">
        <w:t xml:space="preserve"> </w:t>
      </w:r>
      <w:r w:rsidR="0066010C" w:rsidRPr="00A5544A">
        <w:t>Since the beginning</w:t>
      </w:r>
      <w:r w:rsidR="00CC0780" w:rsidRPr="00A5544A">
        <w:t xml:space="preserve"> of the year, the shekel has remained one of the weakest currencies in the world (</w:t>
      </w:r>
      <w:r w:rsidR="00CC0780" w:rsidRPr="00A5544A">
        <w:rPr>
          <w:b/>
          <w:bCs/>
        </w:rPr>
        <w:t xml:space="preserve">Figure </w:t>
      </w:r>
      <w:r w:rsidR="003F30E7" w:rsidRPr="00A5544A">
        <w:rPr>
          <w:b/>
          <w:bCs/>
        </w:rPr>
        <w:t>9</w:t>
      </w:r>
      <w:r w:rsidR="00CC0780" w:rsidRPr="00A5544A">
        <w:t>), while the volatility of the shekel exchange rate has remained high.</w:t>
      </w:r>
    </w:p>
    <w:p w14:paraId="749CA1A5" w14:textId="34D3E6E4" w:rsidR="00AD1B36" w:rsidRPr="00A5544A" w:rsidRDefault="00AD1B36" w:rsidP="00996925">
      <w:pPr>
        <w:jc w:val="both"/>
      </w:pPr>
    </w:p>
    <w:p w14:paraId="37F22430" w14:textId="7BD7FD79" w:rsidR="00C470B8" w:rsidRPr="00A5544A" w:rsidRDefault="00996925" w:rsidP="00AF7DC8">
      <w:pPr>
        <w:jc w:val="both"/>
      </w:pPr>
      <w:r w:rsidRPr="00A5544A">
        <w:t xml:space="preserve">The pace of global economic activity </w:t>
      </w:r>
      <w:r w:rsidR="00CC0780" w:rsidRPr="00A5544A">
        <w:t>is</w:t>
      </w:r>
      <w:r w:rsidR="00134E52" w:rsidRPr="00A5544A">
        <w:t xml:space="preserve"> moderate</w:t>
      </w:r>
      <w:r w:rsidR="00CC0780" w:rsidRPr="00A5544A">
        <w:t>, but the most recent growth data in most blocs</w:t>
      </w:r>
      <w:r w:rsidR="00930D4A" w:rsidRPr="00A5544A">
        <w:t>, mainly in the US,</w:t>
      </w:r>
      <w:r w:rsidR="00CC0780" w:rsidRPr="00A5544A">
        <w:t xml:space="preserve"> surprised</w:t>
      </w:r>
      <w:r w:rsidR="00930D4A" w:rsidRPr="00A5544A">
        <w:t xml:space="preserve"> to the upside</w:t>
      </w:r>
      <w:r w:rsidRPr="00A5544A">
        <w:t>.</w:t>
      </w:r>
      <w:r w:rsidR="00CA3997" w:rsidRPr="00A5544A">
        <w:t xml:space="preserve"> </w:t>
      </w:r>
      <w:r w:rsidRPr="00A5544A">
        <w:t>A number of factors continue to weigh down on economic activity, including the continuing war in Ukraine, high inflation, monetary tightening, and the slower-than-expected growth in China.</w:t>
      </w:r>
      <w:r w:rsidR="00CA3997" w:rsidRPr="00A5544A">
        <w:t xml:space="preserve"> </w:t>
      </w:r>
      <w:r w:rsidRPr="00A5544A">
        <w:t>Growth forecasts for 2024 by investments houses remained virtually unchanged, projecting continued moderate growth</w:t>
      </w:r>
      <w:r w:rsidR="00930D4A" w:rsidRPr="00A5544A">
        <w:t xml:space="preserve">, while the 2023 forecast for the US was revised upward </w:t>
      </w:r>
      <w:r w:rsidR="00A04928" w:rsidRPr="00A5544A">
        <w:t>(</w:t>
      </w:r>
      <w:r w:rsidR="00A04928" w:rsidRPr="00A5544A">
        <w:rPr>
          <w:b/>
          <w:bCs/>
        </w:rPr>
        <w:t xml:space="preserve">Figure </w:t>
      </w:r>
      <w:r w:rsidR="00AF7DC8" w:rsidRPr="00A5544A">
        <w:rPr>
          <w:b/>
          <w:bCs/>
        </w:rPr>
        <w:t>31</w:t>
      </w:r>
      <w:r w:rsidR="00A04928" w:rsidRPr="00A5544A">
        <w:t>).</w:t>
      </w:r>
      <w:r w:rsidR="00441BDC" w:rsidRPr="00A5544A">
        <w:t xml:space="preserve"> </w:t>
      </w:r>
      <w:r w:rsidR="00A04928" w:rsidRPr="00A5544A">
        <w:t>The global purchasing managers</w:t>
      </w:r>
      <w:r w:rsidR="007A7B73" w:rsidRPr="00A5544A">
        <w:t>’</w:t>
      </w:r>
      <w:r w:rsidR="00A04928" w:rsidRPr="00A5544A">
        <w:t xml:space="preserve"> ind</w:t>
      </w:r>
      <w:r w:rsidR="00E20E0F" w:rsidRPr="00A5544A">
        <w:t>ices</w:t>
      </w:r>
      <w:r w:rsidR="00DD322E" w:rsidRPr="00A5544A">
        <w:t xml:space="preserve"> </w:t>
      </w:r>
      <w:r w:rsidR="00693629" w:rsidRPr="00A5544A">
        <w:t>f</w:t>
      </w:r>
      <w:r w:rsidR="00930D4A" w:rsidRPr="00A5544A">
        <w:t>or</w:t>
      </w:r>
      <w:r w:rsidR="00693629" w:rsidRPr="00A5544A">
        <w:t xml:space="preserve"> </w:t>
      </w:r>
      <w:r w:rsidR="002E7729" w:rsidRPr="00A5544A">
        <w:t xml:space="preserve">both </w:t>
      </w:r>
      <w:r w:rsidR="00693629" w:rsidRPr="00A5544A">
        <w:t xml:space="preserve">advanced economies </w:t>
      </w:r>
      <w:r w:rsidR="002E7729" w:rsidRPr="00A5544A">
        <w:t xml:space="preserve">and emerging markets </w:t>
      </w:r>
      <w:r w:rsidR="00930D4A" w:rsidRPr="00A5544A">
        <w:t xml:space="preserve">continued to </w:t>
      </w:r>
      <w:r w:rsidRPr="00A5544A">
        <w:t>decline in Ju</w:t>
      </w:r>
      <w:r w:rsidR="00930D4A" w:rsidRPr="00A5544A">
        <w:t>ly</w:t>
      </w:r>
      <w:r w:rsidR="00A256FF" w:rsidRPr="00A5544A">
        <w:t xml:space="preserve">, </w:t>
      </w:r>
      <w:r w:rsidRPr="00A5544A">
        <w:t xml:space="preserve">but continue to </w:t>
      </w:r>
      <w:r w:rsidR="00A256FF" w:rsidRPr="00A5544A">
        <w:t>indicat</w:t>
      </w:r>
      <w:r w:rsidR="00997E53" w:rsidRPr="00A5544A">
        <w:t>e</w:t>
      </w:r>
      <w:r w:rsidR="009C3EB2" w:rsidRPr="00A5544A">
        <w:t xml:space="preserve"> expectations of</w:t>
      </w:r>
      <w:r w:rsidR="00A256FF" w:rsidRPr="00A5544A">
        <w:t xml:space="preserve"> economic expansion (</w:t>
      </w:r>
      <w:r w:rsidR="00A256FF" w:rsidRPr="00A5544A">
        <w:rPr>
          <w:b/>
          <w:bCs/>
        </w:rPr>
        <w:t xml:space="preserve">Figure </w:t>
      </w:r>
      <w:r w:rsidR="00AF7DC8" w:rsidRPr="00A5544A">
        <w:rPr>
          <w:b/>
          <w:bCs/>
        </w:rPr>
        <w:t>32</w:t>
      </w:r>
      <w:r w:rsidR="00A256FF" w:rsidRPr="00A5544A">
        <w:t>).</w:t>
      </w:r>
      <w:r w:rsidR="0041770E" w:rsidRPr="00A5544A">
        <w:t xml:space="preserve"> </w:t>
      </w:r>
      <w:r w:rsidRPr="00A5544A">
        <w:t>In contrast, the indices for the manufacturing sector</w:t>
      </w:r>
      <w:r w:rsidR="00930D4A" w:rsidRPr="00A5544A">
        <w:t>, which reflects forecast activity in manufacturing-oriented economies such as Germany,</w:t>
      </w:r>
      <w:r w:rsidRPr="00A5544A">
        <w:t xml:space="preserve"> </w:t>
      </w:r>
      <w:r w:rsidR="00930D4A" w:rsidRPr="00A5544A">
        <w:t>continue to</w:t>
      </w:r>
      <w:r w:rsidRPr="00A5544A">
        <w:t xml:space="preserve"> indicate economic contraction. </w:t>
      </w:r>
      <w:r w:rsidR="00A256FF" w:rsidRPr="00A5544A">
        <w:t xml:space="preserve">Data on the volume of world trade for </w:t>
      </w:r>
      <w:r w:rsidR="00930D4A" w:rsidRPr="00A5544A">
        <w:t>June</w:t>
      </w:r>
      <w:r w:rsidR="00A256FF" w:rsidRPr="00A5544A">
        <w:t xml:space="preserve"> 2023 </w:t>
      </w:r>
      <w:r w:rsidR="00930D4A" w:rsidRPr="00A5544A">
        <w:lastRenderedPageBreak/>
        <w:t xml:space="preserve">declined, and </w:t>
      </w:r>
      <w:r w:rsidR="00A256FF" w:rsidRPr="00A5544A">
        <w:t>continue to indicate a slowdown.</w:t>
      </w:r>
      <w:r w:rsidR="0041770E" w:rsidRPr="00A5544A">
        <w:t xml:space="preserve"> </w:t>
      </w:r>
      <w:r w:rsidR="00A256FF" w:rsidRPr="00A5544A">
        <w:t xml:space="preserve">The export orders component of the Purchasing Managers Index, which is a leading indicator of world trade data, </w:t>
      </w:r>
      <w:r w:rsidR="009C3EB2" w:rsidRPr="00A5544A">
        <w:t xml:space="preserve">continues to </w:t>
      </w:r>
      <w:r w:rsidR="000F5C08" w:rsidRPr="00A5544A">
        <w:t xml:space="preserve">point to </w:t>
      </w:r>
      <w:r w:rsidRPr="00A5544A">
        <w:t xml:space="preserve">a weak trade environment </w:t>
      </w:r>
      <w:r w:rsidR="009C3EB2" w:rsidRPr="00A5544A">
        <w:t>in the coming months as well</w:t>
      </w:r>
      <w:r w:rsidR="00A256FF" w:rsidRPr="00A5544A">
        <w:t>.</w:t>
      </w:r>
      <w:r w:rsidR="0041770E" w:rsidRPr="00A5544A">
        <w:t xml:space="preserve"> </w:t>
      </w:r>
      <w:r w:rsidRPr="00A5544A">
        <w:t xml:space="preserve">Oil prices </w:t>
      </w:r>
      <w:r w:rsidR="00930D4A" w:rsidRPr="00A5544A">
        <w:t>increased sharply during the period, in view of an increase in demand and a cut in supply</w:t>
      </w:r>
      <w:r w:rsidRPr="00A5544A">
        <w:t>.</w:t>
      </w:r>
      <w:r w:rsidR="00CA3997" w:rsidRPr="00A5544A">
        <w:t xml:space="preserve"> </w:t>
      </w:r>
      <w:r w:rsidR="00930D4A" w:rsidRPr="00A5544A">
        <w:t>The prices of other commodities excluding energy remained virtually unchanged, but trading was volatile.</w:t>
      </w:r>
    </w:p>
    <w:p w14:paraId="2033AAAB" w14:textId="77777777" w:rsidR="00C2592B" w:rsidRPr="00A5544A" w:rsidRDefault="00C2592B" w:rsidP="00C2592B">
      <w:pPr>
        <w:jc w:val="both"/>
      </w:pPr>
    </w:p>
    <w:p w14:paraId="77C24353" w14:textId="211CB228" w:rsidR="00466DE7" w:rsidRPr="00A5544A" w:rsidRDefault="00246670" w:rsidP="003F30E7">
      <w:pPr>
        <w:jc w:val="both"/>
      </w:pPr>
      <w:r w:rsidRPr="00A5544A">
        <w:t xml:space="preserve">The global inflation environment </w:t>
      </w:r>
      <w:r w:rsidR="00996925" w:rsidRPr="00A5544A">
        <w:t>is moderating in many countries,</w:t>
      </w:r>
      <w:r w:rsidR="00A256FF" w:rsidRPr="00A5544A">
        <w:t xml:space="preserve"> but</w:t>
      </w:r>
      <w:r w:rsidR="00996925" w:rsidRPr="00A5544A">
        <w:t xml:space="preserve"> remains above the</w:t>
      </w:r>
      <w:r w:rsidR="00AF7DC8" w:rsidRPr="00A5544A">
        <w:t>ir</w:t>
      </w:r>
      <w:r w:rsidR="00996925" w:rsidRPr="00A5544A">
        <w:t xml:space="preserve"> central bank targets</w:t>
      </w:r>
      <w:r w:rsidR="00C470B8" w:rsidRPr="00A5544A">
        <w:t xml:space="preserve"> (</w:t>
      </w:r>
      <w:r w:rsidR="00C470B8" w:rsidRPr="00A5544A">
        <w:rPr>
          <w:b/>
          <w:bCs/>
        </w:rPr>
        <w:t xml:space="preserve">Figure </w:t>
      </w:r>
      <w:r w:rsidR="007A4A3C" w:rsidRPr="00A5544A">
        <w:rPr>
          <w:b/>
          <w:bCs/>
        </w:rPr>
        <w:t>3</w:t>
      </w:r>
      <w:r w:rsidR="00AF7DC8" w:rsidRPr="00A5544A">
        <w:rPr>
          <w:b/>
          <w:bCs/>
        </w:rPr>
        <w:t>9</w:t>
      </w:r>
      <w:r w:rsidR="00C470B8" w:rsidRPr="00A5544A">
        <w:t>)</w:t>
      </w:r>
      <w:r w:rsidR="008B4202" w:rsidRPr="00A5544A">
        <w:t>,</w:t>
      </w:r>
      <w:r w:rsidR="00930D4A" w:rsidRPr="00A5544A">
        <w:t xml:space="preserve"> while core inflation remains </w:t>
      </w:r>
      <w:r w:rsidR="008B4202" w:rsidRPr="00A5544A">
        <w:t>sticky</w:t>
      </w:r>
      <w:r w:rsidR="00996925" w:rsidRPr="00A5544A">
        <w:t>.</w:t>
      </w:r>
      <w:r w:rsidR="00A256FF" w:rsidRPr="00A5544A">
        <w:t xml:space="preserve"> </w:t>
      </w:r>
      <w:r w:rsidR="009C3EB2" w:rsidRPr="00A5544A">
        <w:t xml:space="preserve">With that, </w:t>
      </w:r>
      <w:r w:rsidR="00996925" w:rsidRPr="00A5544A">
        <w:t xml:space="preserve">monetary tightening </w:t>
      </w:r>
      <w:r w:rsidR="00A256FF" w:rsidRPr="00A5544A">
        <w:t>around the world continu</w:t>
      </w:r>
      <w:r w:rsidR="00930D4A" w:rsidRPr="00A5544A">
        <w:t xml:space="preserve">es, and the markets are pricing in some likelihood of an interest rate increase by the ECB, and to a more moderate extent by the Federal Reserve. </w:t>
      </w:r>
      <w:r w:rsidR="00996925" w:rsidRPr="00A5544A">
        <w:t xml:space="preserve">In the US, economic activity data continue to indicate </w:t>
      </w:r>
      <w:proofErr w:type="gramStart"/>
      <w:r w:rsidR="00996925" w:rsidRPr="00A5544A">
        <w:t>positive growth</w:t>
      </w:r>
      <w:proofErr w:type="gramEnd"/>
      <w:r w:rsidR="007B18C3" w:rsidRPr="00A5544A">
        <w:t xml:space="preserve"> above the trend line, and investment houses accordingly revised their 2023 US growth forecasts upward.</w:t>
      </w:r>
      <w:r w:rsidR="00CA3997" w:rsidRPr="00A5544A">
        <w:t xml:space="preserve"> </w:t>
      </w:r>
      <w:r w:rsidR="007B18C3" w:rsidRPr="00A5544A">
        <w:t>T</w:t>
      </w:r>
      <w:r w:rsidR="00996925" w:rsidRPr="00A5544A">
        <w:t xml:space="preserve">he </w:t>
      </w:r>
      <w:r w:rsidR="007B18C3" w:rsidRPr="00A5544A">
        <w:t xml:space="preserve">American </w:t>
      </w:r>
      <w:r w:rsidR="00996925" w:rsidRPr="00A5544A">
        <w:t>labor market remains tight</w:t>
      </w:r>
      <w:r w:rsidR="007B18C3" w:rsidRPr="00A5544A">
        <w:t>, with some moderation</w:t>
      </w:r>
      <w:r w:rsidR="00996925" w:rsidRPr="00A5544A">
        <w:t>.</w:t>
      </w:r>
      <w:r w:rsidR="00CA3997" w:rsidRPr="00A5544A">
        <w:t xml:space="preserve"> </w:t>
      </w:r>
      <w:r w:rsidR="00996925" w:rsidRPr="00A5544A">
        <w:t xml:space="preserve">The Consumer Price Index for </w:t>
      </w:r>
      <w:r w:rsidR="003F30E7" w:rsidRPr="00A5544A">
        <w:t xml:space="preserve">July resulted in an </w:t>
      </w:r>
      <w:r w:rsidR="007B18C3" w:rsidRPr="00A5544A">
        <w:t>increase</w:t>
      </w:r>
      <w:r w:rsidR="003F30E7" w:rsidRPr="00A5544A">
        <w:t xml:space="preserve"> in</w:t>
      </w:r>
      <w:r w:rsidR="00996925" w:rsidRPr="00A5544A">
        <w:t xml:space="preserve"> annual </w:t>
      </w:r>
      <w:r w:rsidR="003F30E7" w:rsidRPr="00A5544A">
        <w:t xml:space="preserve">inflation to a </w:t>
      </w:r>
      <w:r w:rsidR="00996925" w:rsidRPr="00A5544A">
        <w:t xml:space="preserve">rate of </w:t>
      </w:r>
      <w:r w:rsidR="007B18C3" w:rsidRPr="00A5544A">
        <w:t>3.2</w:t>
      </w:r>
      <w:r w:rsidR="00996925" w:rsidRPr="00A5544A">
        <w:t xml:space="preserve"> percent</w:t>
      </w:r>
      <w:r w:rsidR="007B18C3" w:rsidRPr="00A5544A">
        <w:t xml:space="preserve"> due to </w:t>
      </w:r>
      <w:r w:rsidR="003F30E7" w:rsidRPr="00A5544A">
        <w:t>the</w:t>
      </w:r>
      <w:r w:rsidR="007B18C3" w:rsidRPr="00A5544A">
        <w:t xml:space="preserve"> base effect, but inflation is lower than previous expectations.</w:t>
      </w:r>
      <w:r w:rsidR="00996925" w:rsidRPr="00A5544A">
        <w:t xml:space="preserve"> </w:t>
      </w:r>
      <w:r w:rsidR="007B18C3" w:rsidRPr="00A5544A">
        <w:t>T</w:t>
      </w:r>
      <w:r w:rsidR="00996925" w:rsidRPr="00A5544A">
        <w:t xml:space="preserve">he PCE index declined to </w:t>
      </w:r>
      <w:r w:rsidR="007B18C3" w:rsidRPr="00A5544A">
        <w:t>4.7</w:t>
      </w:r>
      <w:r w:rsidR="00996925" w:rsidRPr="00A5544A">
        <w:t xml:space="preserve"> percent</w:t>
      </w:r>
      <w:r w:rsidR="007B18C3" w:rsidRPr="00A5544A">
        <w:t xml:space="preserve"> in July, supported by moderation in the increase of the housing component</w:t>
      </w:r>
      <w:r w:rsidR="00996925" w:rsidRPr="00A5544A">
        <w:t xml:space="preserve">. </w:t>
      </w:r>
      <w:r w:rsidR="00C934C4" w:rsidRPr="00A5544A">
        <w:t>T</w:t>
      </w:r>
      <w:r w:rsidR="004D23D7" w:rsidRPr="00A5544A">
        <w:t>he Federal Reserve</w:t>
      </w:r>
      <w:r w:rsidR="00390733" w:rsidRPr="00A5544A">
        <w:t xml:space="preserve"> </w:t>
      </w:r>
      <w:r w:rsidR="007B18C3" w:rsidRPr="00A5544A">
        <w:t xml:space="preserve">increased </w:t>
      </w:r>
      <w:r w:rsidR="00466DE7" w:rsidRPr="00A5544A">
        <w:t>the federal funds rate</w:t>
      </w:r>
      <w:r w:rsidR="000E168E" w:rsidRPr="00A5544A">
        <w:t xml:space="preserve"> </w:t>
      </w:r>
      <w:r w:rsidR="007B18C3" w:rsidRPr="00A5544A">
        <w:t>by 25 basis points</w:t>
      </w:r>
      <w:r w:rsidR="009C3EB2" w:rsidRPr="00A5544A">
        <w:t>,</w:t>
      </w:r>
      <w:r w:rsidR="007B18C3" w:rsidRPr="00A5544A">
        <w:t xml:space="preserve"> and emphasized that it is critical that monetary policy be sufficiently restrictive to return inflation to the target.</w:t>
      </w:r>
      <w:r w:rsidR="000E168E" w:rsidRPr="00A5544A">
        <w:t xml:space="preserve"> </w:t>
      </w:r>
      <w:r w:rsidR="007B18C3" w:rsidRPr="00A5544A">
        <w:t>In t</w:t>
      </w:r>
      <w:r w:rsidR="000E168E" w:rsidRPr="00A5544A">
        <w:t>he eurozone</w:t>
      </w:r>
      <w:r w:rsidR="007B18C3" w:rsidRPr="00A5544A">
        <w:t>, economic growth surprised to the upside, and the labor market remained very tight.</w:t>
      </w:r>
      <w:r w:rsidR="000E168E" w:rsidRPr="00A5544A">
        <w:t xml:space="preserve"> </w:t>
      </w:r>
      <w:r w:rsidR="009C3EB2" w:rsidRPr="00A5544A">
        <w:t>Inflation</w:t>
      </w:r>
      <w:r w:rsidR="007B18C3" w:rsidRPr="00A5544A">
        <w:t xml:space="preserve"> for August </w:t>
      </w:r>
      <w:r w:rsidR="00F00E89" w:rsidRPr="00A5544A">
        <w:t xml:space="preserve">was </w:t>
      </w:r>
      <w:r w:rsidR="007B18C3" w:rsidRPr="00A5544A">
        <w:t>unchanged at</w:t>
      </w:r>
      <w:r w:rsidR="00390733" w:rsidRPr="00A5544A">
        <w:t xml:space="preserve"> </w:t>
      </w:r>
      <w:r w:rsidR="000E168E" w:rsidRPr="00A5544A">
        <w:t>5.</w:t>
      </w:r>
      <w:r w:rsidR="007B18C3" w:rsidRPr="00A5544A">
        <w:t>3</w:t>
      </w:r>
      <w:r w:rsidR="00390733" w:rsidRPr="00A5544A">
        <w:t xml:space="preserve"> percent</w:t>
      </w:r>
      <w:r w:rsidR="0066010C" w:rsidRPr="00A5544A">
        <w:t>, remaining high</w:t>
      </w:r>
      <w:r w:rsidR="00390733" w:rsidRPr="00A5544A">
        <w:t>.</w:t>
      </w:r>
      <w:r w:rsidR="00CA3997" w:rsidRPr="00A5544A">
        <w:t xml:space="preserve"> </w:t>
      </w:r>
      <w:r w:rsidR="0066010C" w:rsidRPr="00A5544A">
        <w:t xml:space="preserve">Core inflation in the eurozone declined to 5.3 percent, and </w:t>
      </w:r>
      <w:proofErr w:type="gramStart"/>
      <w:r w:rsidR="0066010C" w:rsidRPr="00A5544A">
        <w:t>is also</w:t>
      </w:r>
      <w:proofErr w:type="gramEnd"/>
      <w:r w:rsidR="0066010C" w:rsidRPr="00A5544A">
        <w:t xml:space="preserve"> high.</w:t>
      </w:r>
      <w:r w:rsidR="0041770E" w:rsidRPr="00A5544A">
        <w:t xml:space="preserve"> </w:t>
      </w:r>
      <w:r w:rsidR="001C5D4D" w:rsidRPr="00A5544A">
        <w:t xml:space="preserve">The ECB </w:t>
      </w:r>
      <w:r w:rsidR="00390733" w:rsidRPr="00A5544A">
        <w:t>increased its</w:t>
      </w:r>
      <w:r w:rsidR="001C5D4D" w:rsidRPr="00A5544A">
        <w:t xml:space="preserve"> interest rate by </w:t>
      </w:r>
      <w:r w:rsidR="009C3EB2" w:rsidRPr="00A5544A">
        <w:t>2</w:t>
      </w:r>
      <w:r w:rsidR="001C5D4D" w:rsidRPr="00A5544A">
        <w:t>5 basis points</w:t>
      </w:r>
      <w:r w:rsidR="007B18C3" w:rsidRPr="00A5544A">
        <w:t xml:space="preserve">, and </w:t>
      </w:r>
      <w:r w:rsidR="00AF7DC8" w:rsidRPr="00A5544A">
        <w:t xml:space="preserve">its president </w:t>
      </w:r>
      <w:r w:rsidR="007B18C3" w:rsidRPr="00A5544A">
        <w:t xml:space="preserve">emphasized that the Bank’s future policy directly depends on economic data that </w:t>
      </w:r>
      <w:proofErr w:type="gramStart"/>
      <w:r w:rsidR="007B18C3" w:rsidRPr="00A5544A">
        <w:t>will be published</w:t>
      </w:r>
      <w:proofErr w:type="gramEnd"/>
      <w:r w:rsidR="007B18C3" w:rsidRPr="00A5544A">
        <w:t xml:space="preserve"> in the upcoming period</w:t>
      </w:r>
      <w:r w:rsidR="001C5D4D" w:rsidRPr="00A5544A">
        <w:t>.</w:t>
      </w:r>
      <w:r w:rsidR="0041770E" w:rsidRPr="00A5544A">
        <w:t xml:space="preserve"> </w:t>
      </w:r>
      <w:r w:rsidR="001C5D4D" w:rsidRPr="00A5544A">
        <w:t xml:space="preserve">In </w:t>
      </w:r>
      <w:r w:rsidR="00390733" w:rsidRPr="00A5544A">
        <w:t xml:space="preserve">the UK, </w:t>
      </w:r>
      <w:r w:rsidR="009C3EB2" w:rsidRPr="00A5544A">
        <w:t>i</w:t>
      </w:r>
      <w:r w:rsidR="007B18C3" w:rsidRPr="00A5544A">
        <w:t>nflation declined sharply in July, to</w:t>
      </w:r>
      <w:r w:rsidR="000E168E" w:rsidRPr="00A5544A">
        <w:t xml:space="preserve"> </w:t>
      </w:r>
      <w:r w:rsidR="007B18C3" w:rsidRPr="00A5544A">
        <w:t>6.8</w:t>
      </w:r>
      <w:r w:rsidR="000E168E" w:rsidRPr="00A5544A">
        <w:t xml:space="preserve"> percent.</w:t>
      </w:r>
      <w:r w:rsidR="00CA3997" w:rsidRPr="00A5544A">
        <w:t xml:space="preserve"> </w:t>
      </w:r>
      <w:r w:rsidR="000E168E" w:rsidRPr="00A5544A">
        <w:t xml:space="preserve">Core inflation </w:t>
      </w:r>
      <w:r w:rsidR="007B18C3" w:rsidRPr="00A5544A">
        <w:t xml:space="preserve">remained unchanged, at </w:t>
      </w:r>
      <w:r w:rsidR="000E168E" w:rsidRPr="00A5544A">
        <w:t>an annual rate of</w:t>
      </w:r>
      <w:r w:rsidR="007B18C3" w:rsidRPr="00A5544A">
        <w:t xml:space="preserve"> 6.9</w:t>
      </w:r>
      <w:r w:rsidR="000E168E" w:rsidRPr="00A5544A">
        <w:t xml:space="preserve"> percent</w:t>
      </w:r>
      <w:r w:rsidR="007B18C3" w:rsidRPr="00A5544A">
        <w:t>.</w:t>
      </w:r>
      <w:r w:rsidR="000E168E" w:rsidRPr="00A5544A">
        <w:t xml:space="preserve"> </w:t>
      </w:r>
      <w:r w:rsidR="007B18C3" w:rsidRPr="00A5544A">
        <w:t>T</w:t>
      </w:r>
      <w:r w:rsidR="00390733" w:rsidRPr="00A5544A">
        <w:t xml:space="preserve">he Bank of England increased its interest rate by another </w:t>
      </w:r>
      <w:r w:rsidR="007B18C3" w:rsidRPr="00A5544A">
        <w:t>25</w:t>
      </w:r>
      <w:r w:rsidR="00390733" w:rsidRPr="00A5544A">
        <w:t xml:space="preserve"> basis points.</w:t>
      </w:r>
      <w:r w:rsidR="00221D8C" w:rsidRPr="00A5544A">
        <w:t xml:space="preserve"> </w:t>
      </w:r>
    </w:p>
    <w:p w14:paraId="729DC7CD" w14:textId="77777777" w:rsidR="00AD12BC" w:rsidRPr="00A5544A" w:rsidRDefault="00AD12BC" w:rsidP="00C2592B">
      <w:pPr>
        <w:jc w:val="both"/>
      </w:pPr>
    </w:p>
    <w:p w14:paraId="2A06FF08" w14:textId="77777777" w:rsidR="00AD12BC" w:rsidRPr="00A5544A" w:rsidRDefault="00AD12BC" w:rsidP="00C2592B">
      <w:pPr>
        <w:jc w:val="both"/>
      </w:pPr>
    </w:p>
    <w:p w14:paraId="69729D9C" w14:textId="77777777" w:rsidR="00AD12BC" w:rsidRPr="00A5544A" w:rsidRDefault="00AD12BC" w:rsidP="00C2592B">
      <w:pPr>
        <w:jc w:val="both"/>
      </w:pPr>
    </w:p>
    <w:p w14:paraId="6D15635A" w14:textId="2560F14E" w:rsidR="00D26730" w:rsidRPr="00A5544A" w:rsidRDefault="00D26730" w:rsidP="007B18C3">
      <w:pPr>
        <w:jc w:val="both"/>
        <w:rPr>
          <w:rtl/>
        </w:rPr>
      </w:pPr>
      <w:r w:rsidRPr="00A5544A">
        <w:t xml:space="preserve">The minutes of the monetary discussions prior to this interest rate decision </w:t>
      </w:r>
      <w:proofErr w:type="gramStart"/>
      <w:r w:rsidRPr="00A5544A">
        <w:t>will be published</w:t>
      </w:r>
      <w:proofErr w:type="gramEnd"/>
      <w:r w:rsidRPr="00A5544A">
        <w:t xml:space="preserve"> on </w:t>
      </w:r>
      <w:r w:rsidR="007B18C3" w:rsidRPr="00A5544A">
        <w:t>September 18</w:t>
      </w:r>
      <w:r w:rsidRPr="00A5544A">
        <w:t xml:space="preserve">. The next decision regarding the interest rate </w:t>
      </w:r>
      <w:proofErr w:type="gramStart"/>
      <w:r w:rsidRPr="00A5544A">
        <w:t>will be published</w:t>
      </w:r>
      <w:proofErr w:type="gramEnd"/>
      <w:r w:rsidRPr="00A5544A">
        <w:t xml:space="preserve"> at 16:00 on </w:t>
      </w:r>
      <w:r w:rsidR="005923FA" w:rsidRPr="00A5544A">
        <w:t xml:space="preserve">Monday, </w:t>
      </w:r>
      <w:r w:rsidR="007B18C3" w:rsidRPr="00A5544A">
        <w:t>October 23</w:t>
      </w:r>
      <w:r w:rsidR="00221D8C" w:rsidRPr="00A5544A">
        <w:t>, 2023</w:t>
      </w:r>
      <w:r w:rsidR="007B18C3" w:rsidRPr="00A5544A">
        <w:t>, followed by a press briefing with the Governor</w:t>
      </w:r>
      <w:r w:rsidR="00EE2D33" w:rsidRPr="00A5544A">
        <w:t>.</w:t>
      </w:r>
    </w:p>
    <w:sectPr w:rsidR="00D26730" w:rsidRPr="00A5544A" w:rsidSect="00A5544A">
      <w:headerReference w:type="first" r:id="rId9"/>
      <w:type w:val="continuous"/>
      <w:pgSz w:w="11907" w:h="16839" w:code="9"/>
      <w:pgMar w:top="1701" w:right="1134" w:bottom="130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B3035" w14:textId="77777777" w:rsidR="007B61AE" w:rsidRDefault="007B61AE" w:rsidP="006A415B">
      <w:r>
        <w:separator/>
      </w:r>
    </w:p>
  </w:endnote>
  <w:endnote w:type="continuationSeparator" w:id="0">
    <w:p w14:paraId="31BD59E9" w14:textId="77777777" w:rsidR="007B61AE" w:rsidRDefault="007B61AE"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F816" w14:textId="77777777" w:rsidR="007B61AE" w:rsidRDefault="007B61AE" w:rsidP="006A415B">
      <w:r>
        <w:separator/>
      </w:r>
    </w:p>
  </w:footnote>
  <w:footnote w:type="continuationSeparator" w:id="0">
    <w:p w14:paraId="048FFFEB" w14:textId="77777777" w:rsidR="007B61AE" w:rsidRDefault="007B61AE"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E0619" w14:textId="0459ED35" w:rsidR="006A415B" w:rsidRDefault="006A415B" w:rsidP="006A415B">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9"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4"/>
  </w:num>
  <w:num w:numId="5">
    <w:abstractNumId w:val="1"/>
  </w:num>
  <w:num w:numId="6">
    <w:abstractNumId w:val="9"/>
  </w:num>
  <w:num w:numId="7">
    <w:abstractNumId w:val="5"/>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20F9E"/>
    <w:rsid w:val="000247BE"/>
    <w:rsid w:val="0002574D"/>
    <w:rsid w:val="00026557"/>
    <w:rsid w:val="00026692"/>
    <w:rsid w:val="0002762F"/>
    <w:rsid w:val="0003080D"/>
    <w:rsid w:val="00032BD5"/>
    <w:rsid w:val="00032EAA"/>
    <w:rsid w:val="00033062"/>
    <w:rsid w:val="00033326"/>
    <w:rsid w:val="000359AC"/>
    <w:rsid w:val="0003624A"/>
    <w:rsid w:val="0003644D"/>
    <w:rsid w:val="0004163E"/>
    <w:rsid w:val="000416AB"/>
    <w:rsid w:val="00041B69"/>
    <w:rsid w:val="00042865"/>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61166"/>
    <w:rsid w:val="00065057"/>
    <w:rsid w:val="000651F8"/>
    <w:rsid w:val="0006540D"/>
    <w:rsid w:val="000674E1"/>
    <w:rsid w:val="000677A6"/>
    <w:rsid w:val="00070DB3"/>
    <w:rsid w:val="00070EC2"/>
    <w:rsid w:val="000717B4"/>
    <w:rsid w:val="000743A2"/>
    <w:rsid w:val="00074B82"/>
    <w:rsid w:val="000769A8"/>
    <w:rsid w:val="000819C4"/>
    <w:rsid w:val="00081DD4"/>
    <w:rsid w:val="00084BF8"/>
    <w:rsid w:val="000851CE"/>
    <w:rsid w:val="000860E5"/>
    <w:rsid w:val="00086DD2"/>
    <w:rsid w:val="00087055"/>
    <w:rsid w:val="00087A89"/>
    <w:rsid w:val="0009033A"/>
    <w:rsid w:val="00091D07"/>
    <w:rsid w:val="00093CBA"/>
    <w:rsid w:val="00093E16"/>
    <w:rsid w:val="00094DC7"/>
    <w:rsid w:val="0009726C"/>
    <w:rsid w:val="000975E0"/>
    <w:rsid w:val="000A02E0"/>
    <w:rsid w:val="000A409C"/>
    <w:rsid w:val="000A4196"/>
    <w:rsid w:val="000A50C6"/>
    <w:rsid w:val="000A577B"/>
    <w:rsid w:val="000A75E1"/>
    <w:rsid w:val="000A7BAF"/>
    <w:rsid w:val="000B00F9"/>
    <w:rsid w:val="000B0812"/>
    <w:rsid w:val="000B0CA3"/>
    <w:rsid w:val="000B10F7"/>
    <w:rsid w:val="000B1666"/>
    <w:rsid w:val="000B288C"/>
    <w:rsid w:val="000B5823"/>
    <w:rsid w:val="000B7A80"/>
    <w:rsid w:val="000C0090"/>
    <w:rsid w:val="000C06F5"/>
    <w:rsid w:val="000C1CAB"/>
    <w:rsid w:val="000C23B4"/>
    <w:rsid w:val="000C3838"/>
    <w:rsid w:val="000C4DCD"/>
    <w:rsid w:val="000C5920"/>
    <w:rsid w:val="000C5AD8"/>
    <w:rsid w:val="000C5C39"/>
    <w:rsid w:val="000C6506"/>
    <w:rsid w:val="000C79A3"/>
    <w:rsid w:val="000C7D5B"/>
    <w:rsid w:val="000D1004"/>
    <w:rsid w:val="000D1F86"/>
    <w:rsid w:val="000D370E"/>
    <w:rsid w:val="000D3FD7"/>
    <w:rsid w:val="000D41A9"/>
    <w:rsid w:val="000D53EB"/>
    <w:rsid w:val="000D5687"/>
    <w:rsid w:val="000D57DF"/>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74B"/>
    <w:rsid w:val="000E690F"/>
    <w:rsid w:val="000E77BF"/>
    <w:rsid w:val="000E7C33"/>
    <w:rsid w:val="000E7F9B"/>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30AB"/>
    <w:rsid w:val="0012343B"/>
    <w:rsid w:val="00123AAE"/>
    <w:rsid w:val="001246CD"/>
    <w:rsid w:val="00124898"/>
    <w:rsid w:val="00124C58"/>
    <w:rsid w:val="0012539C"/>
    <w:rsid w:val="00127542"/>
    <w:rsid w:val="0013000B"/>
    <w:rsid w:val="0013004C"/>
    <w:rsid w:val="00130AEA"/>
    <w:rsid w:val="00130B18"/>
    <w:rsid w:val="00130FDA"/>
    <w:rsid w:val="00131DB9"/>
    <w:rsid w:val="00132757"/>
    <w:rsid w:val="00133702"/>
    <w:rsid w:val="00134E52"/>
    <w:rsid w:val="00135719"/>
    <w:rsid w:val="001361C4"/>
    <w:rsid w:val="00136EA2"/>
    <w:rsid w:val="00140663"/>
    <w:rsid w:val="001406C1"/>
    <w:rsid w:val="00145881"/>
    <w:rsid w:val="00146F92"/>
    <w:rsid w:val="00151E99"/>
    <w:rsid w:val="00152120"/>
    <w:rsid w:val="001530AA"/>
    <w:rsid w:val="0015502C"/>
    <w:rsid w:val="00155630"/>
    <w:rsid w:val="00155BAE"/>
    <w:rsid w:val="00160AD5"/>
    <w:rsid w:val="00161C87"/>
    <w:rsid w:val="00162076"/>
    <w:rsid w:val="00163C3D"/>
    <w:rsid w:val="0016533E"/>
    <w:rsid w:val="00165645"/>
    <w:rsid w:val="00165ECA"/>
    <w:rsid w:val="00165FAB"/>
    <w:rsid w:val="00166110"/>
    <w:rsid w:val="00166DC5"/>
    <w:rsid w:val="00167478"/>
    <w:rsid w:val="001714A4"/>
    <w:rsid w:val="00171888"/>
    <w:rsid w:val="001758BE"/>
    <w:rsid w:val="00176852"/>
    <w:rsid w:val="0017762C"/>
    <w:rsid w:val="00177E01"/>
    <w:rsid w:val="001809CC"/>
    <w:rsid w:val="00180B68"/>
    <w:rsid w:val="00185B28"/>
    <w:rsid w:val="00185FC3"/>
    <w:rsid w:val="00186C12"/>
    <w:rsid w:val="001870AE"/>
    <w:rsid w:val="00190FC4"/>
    <w:rsid w:val="00191EDC"/>
    <w:rsid w:val="001929CC"/>
    <w:rsid w:val="00193ACF"/>
    <w:rsid w:val="00194663"/>
    <w:rsid w:val="0019541B"/>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71B"/>
    <w:rsid w:val="001D1BFB"/>
    <w:rsid w:val="001D3676"/>
    <w:rsid w:val="001D398C"/>
    <w:rsid w:val="001D4181"/>
    <w:rsid w:val="001D42FB"/>
    <w:rsid w:val="001D4FF1"/>
    <w:rsid w:val="001D6C29"/>
    <w:rsid w:val="001D6F20"/>
    <w:rsid w:val="001E0025"/>
    <w:rsid w:val="001E02C6"/>
    <w:rsid w:val="001E2111"/>
    <w:rsid w:val="001E2404"/>
    <w:rsid w:val="001E29C0"/>
    <w:rsid w:val="001E2CC0"/>
    <w:rsid w:val="001E34CC"/>
    <w:rsid w:val="001E389F"/>
    <w:rsid w:val="001E3D28"/>
    <w:rsid w:val="001E59FB"/>
    <w:rsid w:val="001F0639"/>
    <w:rsid w:val="001F07C0"/>
    <w:rsid w:val="001F0BF6"/>
    <w:rsid w:val="001F1315"/>
    <w:rsid w:val="001F1511"/>
    <w:rsid w:val="001F2101"/>
    <w:rsid w:val="001F2855"/>
    <w:rsid w:val="001F2882"/>
    <w:rsid w:val="001F4879"/>
    <w:rsid w:val="001F5492"/>
    <w:rsid w:val="001F579B"/>
    <w:rsid w:val="001F688C"/>
    <w:rsid w:val="00201608"/>
    <w:rsid w:val="002016D1"/>
    <w:rsid w:val="002019AB"/>
    <w:rsid w:val="0020271C"/>
    <w:rsid w:val="00203AB5"/>
    <w:rsid w:val="00204ACD"/>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BCF"/>
    <w:rsid w:val="00232305"/>
    <w:rsid w:val="00233242"/>
    <w:rsid w:val="00234E8D"/>
    <w:rsid w:val="00235C2C"/>
    <w:rsid w:val="00235C9A"/>
    <w:rsid w:val="002372E6"/>
    <w:rsid w:val="0024000B"/>
    <w:rsid w:val="00240CBE"/>
    <w:rsid w:val="0024158D"/>
    <w:rsid w:val="00242029"/>
    <w:rsid w:val="002427B4"/>
    <w:rsid w:val="00242EA5"/>
    <w:rsid w:val="002439C2"/>
    <w:rsid w:val="002454BD"/>
    <w:rsid w:val="00246670"/>
    <w:rsid w:val="00246A77"/>
    <w:rsid w:val="00246AB4"/>
    <w:rsid w:val="00246D60"/>
    <w:rsid w:val="00250448"/>
    <w:rsid w:val="0025090B"/>
    <w:rsid w:val="0025241A"/>
    <w:rsid w:val="002530C3"/>
    <w:rsid w:val="002547EA"/>
    <w:rsid w:val="00255F78"/>
    <w:rsid w:val="00257C4F"/>
    <w:rsid w:val="002626D3"/>
    <w:rsid w:val="00262B90"/>
    <w:rsid w:val="002636AB"/>
    <w:rsid w:val="00263FA4"/>
    <w:rsid w:val="00264450"/>
    <w:rsid w:val="002650AB"/>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42CA"/>
    <w:rsid w:val="00286644"/>
    <w:rsid w:val="0028776B"/>
    <w:rsid w:val="0029067D"/>
    <w:rsid w:val="002910D0"/>
    <w:rsid w:val="002916FD"/>
    <w:rsid w:val="002919ED"/>
    <w:rsid w:val="00291D49"/>
    <w:rsid w:val="00292AE0"/>
    <w:rsid w:val="00293151"/>
    <w:rsid w:val="002934E4"/>
    <w:rsid w:val="00295C50"/>
    <w:rsid w:val="00295D2E"/>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3DBC"/>
    <w:rsid w:val="002B3E40"/>
    <w:rsid w:val="002B4F55"/>
    <w:rsid w:val="002C15F3"/>
    <w:rsid w:val="002C1A7A"/>
    <w:rsid w:val="002C22A9"/>
    <w:rsid w:val="002C2763"/>
    <w:rsid w:val="002C38FD"/>
    <w:rsid w:val="002C445A"/>
    <w:rsid w:val="002C487B"/>
    <w:rsid w:val="002C4A6D"/>
    <w:rsid w:val="002C5A95"/>
    <w:rsid w:val="002C7D1A"/>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71EB"/>
    <w:rsid w:val="002E7729"/>
    <w:rsid w:val="002E7AD8"/>
    <w:rsid w:val="002E7B00"/>
    <w:rsid w:val="002E7D48"/>
    <w:rsid w:val="002F016B"/>
    <w:rsid w:val="002F096E"/>
    <w:rsid w:val="002F0E94"/>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243C"/>
    <w:rsid w:val="0031276F"/>
    <w:rsid w:val="003131CF"/>
    <w:rsid w:val="0031384F"/>
    <w:rsid w:val="00315ECF"/>
    <w:rsid w:val="00316005"/>
    <w:rsid w:val="00316084"/>
    <w:rsid w:val="00316F56"/>
    <w:rsid w:val="0032005A"/>
    <w:rsid w:val="0032040A"/>
    <w:rsid w:val="0033191B"/>
    <w:rsid w:val="00332296"/>
    <w:rsid w:val="00333AE6"/>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2E3F"/>
    <w:rsid w:val="00353570"/>
    <w:rsid w:val="003536F8"/>
    <w:rsid w:val="003550D6"/>
    <w:rsid w:val="00357F0C"/>
    <w:rsid w:val="00357F6D"/>
    <w:rsid w:val="003631F8"/>
    <w:rsid w:val="003633EB"/>
    <w:rsid w:val="00364B44"/>
    <w:rsid w:val="00364BF6"/>
    <w:rsid w:val="00365600"/>
    <w:rsid w:val="00366EB5"/>
    <w:rsid w:val="003700BC"/>
    <w:rsid w:val="00371435"/>
    <w:rsid w:val="00373127"/>
    <w:rsid w:val="00373778"/>
    <w:rsid w:val="00375488"/>
    <w:rsid w:val="003768AB"/>
    <w:rsid w:val="003768CB"/>
    <w:rsid w:val="003768D8"/>
    <w:rsid w:val="00376B9A"/>
    <w:rsid w:val="0037798D"/>
    <w:rsid w:val="00380EDD"/>
    <w:rsid w:val="00381848"/>
    <w:rsid w:val="003826AF"/>
    <w:rsid w:val="00384D6F"/>
    <w:rsid w:val="00384FC9"/>
    <w:rsid w:val="00385FA7"/>
    <w:rsid w:val="003862E1"/>
    <w:rsid w:val="0038792F"/>
    <w:rsid w:val="00390733"/>
    <w:rsid w:val="00390BF8"/>
    <w:rsid w:val="00391453"/>
    <w:rsid w:val="00392CF9"/>
    <w:rsid w:val="003934A4"/>
    <w:rsid w:val="00394043"/>
    <w:rsid w:val="0039492F"/>
    <w:rsid w:val="0039501C"/>
    <w:rsid w:val="0039541D"/>
    <w:rsid w:val="003A0BC8"/>
    <w:rsid w:val="003A0C4B"/>
    <w:rsid w:val="003A0D02"/>
    <w:rsid w:val="003A111B"/>
    <w:rsid w:val="003A1F21"/>
    <w:rsid w:val="003A24A5"/>
    <w:rsid w:val="003A2DEE"/>
    <w:rsid w:val="003A31E7"/>
    <w:rsid w:val="003A329C"/>
    <w:rsid w:val="003A5885"/>
    <w:rsid w:val="003A6413"/>
    <w:rsid w:val="003A67E8"/>
    <w:rsid w:val="003A79DF"/>
    <w:rsid w:val="003B124D"/>
    <w:rsid w:val="003B13C5"/>
    <w:rsid w:val="003B230E"/>
    <w:rsid w:val="003B4D81"/>
    <w:rsid w:val="003B66C0"/>
    <w:rsid w:val="003C11FB"/>
    <w:rsid w:val="003C2445"/>
    <w:rsid w:val="003C30FD"/>
    <w:rsid w:val="003C3233"/>
    <w:rsid w:val="003C3925"/>
    <w:rsid w:val="003C44C1"/>
    <w:rsid w:val="003C4778"/>
    <w:rsid w:val="003C58CD"/>
    <w:rsid w:val="003C5B37"/>
    <w:rsid w:val="003D0C5C"/>
    <w:rsid w:val="003D0E9E"/>
    <w:rsid w:val="003D10A7"/>
    <w:rsid w:val="003D2376"/>
    <w:rsid w:val="003D2D9D"/>
    <w:rsid w:val="003D31BB"/>
    <w:rsid w:val="003D3CF4"/>
    <w:rsid w:val="003D3EDE"/>
    <w:rsid w:val="003D440A"/>
    <w:rsid w:val="003D6310"/>
    <w:rsid w:val="003D673B"/>
    <w:rsid w:val="003D68CD"/>
    <w:rsid w:val="003E0BB8"/>
    <w:rsid w:val="003E12C9"/>
    <w:rsid w:val="003E248A"/>
    <w:rsid w:val="003E2E4B"/>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9C7"/>
    <w:rsid w:val="00403F5E"/>
    <w:rsid w:val="00404947"/>
    <w:rsid w:val="00405263"/>
    <w:rsid w:val="004071C8"/>
    <w:rsid w:val="00407BA2"/>
    <w:rsid w:val="00411275"/>
    <w:rsid w:val="00411CA3"/>
    <w:rsid w:val="0041296A"/>
    <w:rsid w:val="00412F81"/>
    <w:rsid w:val="00412FED"/>
    <w:rsid w:val="00413311"/>
    <w:rsid w:val="00414BFB"/>
    <w:rsid w:val="00416B45"/>
    <w:rsid w:val="00416FEB"/>
    <w:rsid w:val="0041770E"/>
    <w:rsid w:val="004211B9"/>
    <w:rsid w:val="0042192F"/>
    <w:rsid w:val="004237A9"/>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FBD"/>
    <w:rsid w:val="00447D98"/>
    <w:rsid w:val="004509EB"/>
    <w:rsid w:val="00451259"/>
    <w:rsid w:val="0045242F"/>
    <w:rsid w:val="00452FC5"/>
    <w:rsid w:val="00453F91"/>
    <w:rsid w:val="004545D6"/>
    <w:rsid w:val="00454621"/>
    <w:rsid w:val="004554B0"/>
    <w:rsid w:val="00456CD0"/>
    <w:rsid w:val="0046248B"/>
    <w:rsid w:val="00466706"/>
    <w:rsid w:val="00466DE7"/>
    <w:rsid w:val="00467791"/>
    <w:rsid w:val="00471C49"/>
    <w:rsid w:val="004720BD"/>
    <w:rsid w:val="00473DE2"/>
    <w:rsid w:val="00477B53"/>
    <w:rsid w:val="00477FA3"/>
    <w:rsid w:val="00480DE5"/>
    <w:rsid w:val="004823D2"/>
    <w:rsid w:val="004845A4"/>
    <w:rsid w:val="00485AFA"/>
    <w:rsid w:val="0048603E"/>
    <w:rsid w:val="00492335"/>
    <w:rsid w:val="00493428"/>
    <w:rsid w:val="004937CC"/>
    <w:rsid w:val="004941E7"/>
    <w:rsid w:val="004954F3"/>
    <w:rsid w:val="00495650"/>
    <w:rsid w:val="0049621A"/>
    <w:rsid w:val="00496256"/>
    <w:rsid w:val="00496E15"/>
    <w:rsid w:val="00497FEB"/>
    <w:rsid w:val="004A075E"/>
    <w:rsid w:val="004A1061"/>
    <w:rsid w:val="004A1246"/>
    <w:rsid w:val="004A3D86"/>
    <w:rsid w:val="004A438B"/>
    <w:rsid w:val="004A44BB"/>
    <w:rsid w:val="004A45B0"/>
    <w:rsid w:val="004A4F50"/>
    <w:rsid w:val="004A5CA3"/>
    <w:rsid w:val="004A6965"/>
    <w:rsid w:val="004A7BC6"/>
    <w:rsid w:val="004B3AB0"/>
    <w:rsid w:val="004B3DEE"/>
    <w:rsid w:val="004B4906"/>
    <w:rsid w:val="004B4DF5"/>
    <w:rsid w:val="004B5BEA"/>
    <w:rsid w:val="004B64E5"/>
    <w:rsid w:val="004B738F"/>
    <w:rsid w:val="004C06DE"/>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3A38"/>
    <w:rsid w:val="004F4C8C"/>
    <w:rsid w:val="004F5E20"/>
    <w:rsid w:val="004F6212"/>
    <w:rsid w:val="004F73DF"/>
    <w:rsid w:val="00500737"/>
    <w:rsid w:val="005010B3"/>
    <w:rsid w:val="00501441"/>
    <w:rsid w:val="00502AD0"/>
    <w:rsid w:val="00503C89"/>
    <w:rsid w:val="005051A4"/>
    <w:rsid w:val="0050586D"/>
    <w:rsid w:val="0050630F"/>
    <w:rsid w:val="005102FC"/>
    <w:rsid w:val="00510833"/>
    <w:rsid w:val="005110A6"/>
    <w:rsid w:val="005138B6"/>
    <w:rsid w:val="00514240"/>
    <w:rsid w:val="0051464A"/>
    <w:rsid w:val="005150D5"/>
    <w:rsid w:val="0051551F"/>
    <w:rsid w:val="0051645D"/>
    <w:rsid w:val="00517C6A"/>
    <w:rsid w:val="00520147"/>
    <w:rsid w:val="00521336"/>
    <w:rsid w:val="00521E60"/>
    <w:rsid w:val="0052292D"/>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7ED"/>
    <w:rsid w:val="00540C23"/>
    <w:rsid w:val="00542B79"/>
    <w:rsid w:val="00542C3E"/>
    <w:rsid w:val="00546183"/>
    <w:rsid w:val="00546A27"/>
    <w:rsid w:val="005471C8"/>
    <w:rsid w:val="00550BAA"/>
    <w:rsid w:val="00551BCE"/>
    <w:rsid w:val="00552983"/>
    <w:rsid w:val="0055298E"/>
    <w:rsid w:val="005529B6"/>
    <w:rsid w:val="00553766"/>
    <w:rsid w:val="0055401F"/>
    <w:rsid w:val="005544D4"/>
    <w:rsid w:val="0055453F"/>
    <w:rsid w:val="005551BD"/>
    <w:rsid w:val="00555366"/>
    <w:rsid w:val="00557817"/>
    <w:rsid w:val="00562685"/>
    <w:rsid w:val="0056369C"/>
    <w:rsid w:val="005663FF"/>
    <w:rsid w:val="0056707E"/>
    <w:rsid w:val="00567536"/>
    <w:rsid w:val="0057034B"/>
    <w:rsid w:val="00571488"/>
    <w:rsid w:val="005720F3"/>
    <w:rsid w:val="00573E1B"/>
    <w:rsid w:val="00573F41"/>
    <w:rsid w:val="00575563"/>
    <w:rsid w:val="00576274"/>
    <w:rsid w:val="00576794"/>
    <w:rsid w:val="00576C94"/>
    <w:rsid w:val="00576D35"/>
    <w:rsid w:val="00577A92"/>
    <w:rsid w:val="005804FF"/>
    <w:rsid w:val="0058128B"/>
    <w:rsid w:val="00581855"/>
    <w:rsid w:val="00581EC6"/>
    <w:rsid w:val="00583F50"/>
    <w:rsid w:val="00584883"/>
    <w:rsid w:val="0058494B"/>
    <w:rsid w:val="00584D01"/>
    <w:rsid w:val="0058524B"/>
    <w:rsid w:val="005855AF"/>
    <w:rsid w:val="00585AFD"/>
    <w:rsid w:val="00586B18"/>
    <w:rsid w:val="00586C4D"/>
    <w:rsid w:val="0058713A"/>
    <w:rsid w:val="005900CF"/>
    <w:rsid w:val="005901DA"/>
    <w:rsid w:val="005905BC"/>
    <w:rsid w:val="00591020"/>
    <w:rsid w:val="005923FA"/>
    <w:rsid w:val="00593356"/>
    <w:rsid w:val="00593803"/>
    <w:rsid w:val="00595507"/>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B96"/>
    <w:rsid w:val="005B1A5D"/>
    <w:rsid w:val="005B48AC"/>
    <w:rsid w:val="005B4F92"/>
    <w:rsid w:val="005B6E03"/>
    <w:rsid w:val="005C245E"/>
    <w:rsid w:val="005C36E7"/>
    <w:rsid w:val="005C426F"/>
    <w:rsid w:val="005C4360"/>
    <w:rsid w:val="005D07A1"/>
    <w:rsid w:val="005D0B28"/>
    <w:rsid w:val="005D1C73"/>
    <w:rsid w:val="005D1D68"/>
    <w:rsid w:val="005D257C"/>
    <w:rsid w:val="005D2B90"/>
    <w:rsid w:val="005D331D"/>
    <w:rsid w:val="005D3750"/>
    <w:rsid w:val="005D3898"/>
    <w:rsid w:val="005D50D4"/>
    <w:rsid w:val="005D57A4"/>
    <w:rsid w:val="005D6524"/>
    <w:rsid w:val="005D74FD"/>
    <w:rsid w:val="005D7745"/>
    <w:rsid w:val="005E0C50"/>
    <w:rsid w:val="005E1316"/>
    <w:rsid w:val="005E1622"/>
    <w:rsid w:val="005E1B97"/>
    <w:rsid w:val="005E40A9"/>
    <w:rsid w:val="005E5173"/>
    <w:rsid w:val="005E63F4"/>
    <w:rsid w:val="005E721B"/>
    <w:rsid w:val="005E7284"/>
    <w:rsid w:val="005F051E"/>
    <w:rsid w:val="005F0EF0"/>
    <w:rsid w:val="005F187B"/>
    <w:rsid w:val="005F3B09"/>
    <w:rsid w:val="005F5132"/>
    <w:rsid w:val="005F54EF"/>
    <w:rsid w:val="005F5E21"/>
    <w:rsid w:val="005F743B"/>
    <w:rsid w:val="00601375"/>
    <w:rsid w:val="00603C96"/>
    <w:rsid w:val="00604869"/>
    <w:rsid w:val="00605AC3"/>
    <w:rsid w:val="00607D9E"/>
    <w:rsid w:val="00611613"/>
    <w:rsid w:val="006125F0"/>
    <w:rsid w:val="00612AEA"/>
    <w:rsid w:val="00614AFC"/>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3254"/>
    <w:rsid w:val="00633683"/>
    <w:rsid w:val="00633738"/>
    <w:rsid w:val="006342C1"/>
    <w:rsid w:val="00634FD4"/>
    <w:rsid w:val="00636349"/>
    <w:rsid w:val="006374A9"/>
    <w:rsid w:val="0064051A"/>
    <w:rsid w:val="00642392"/>
    <w:rsid w:val="00642917"/>
    <w:rsid w:val="006435A0"/>
    <w:rsid w:val="00643F05"/>
    <w:rsid w:val="006453DC"/>
    <w:rsid w:val="00645835"/>
    <w:rsid w:val="00645A0E"/>
    <w:rsid w:val="00646176"/>
    <w:rsid w:val="0064690A"/>
    <w:rsid w:val="00647A20"/>
    <w:rsid w:val="00647DEE"/>
    <w:rsid w:val="0065018E"/>
    <w:rsid w:val="00650BE8"/>
    <w:rsid w:val="00650C10"/>
    <w:rsid w:val="00650CFB"/>
    <w:rsid w:val="00653985"/>
    <w:rsid w:val="006564B8"/>
    <w:rsid w:val="0066010C"/>
    <w:rsid w:val="0066125E"/>
    <w:rsid w:val="00661521"/>
    <w:rsid w:val="006616A7"/>
    <w:rsid w:val="006620D9"/>
    <w:rsid w:val="00663F68"/>
    <w:rsid w:val="006661A7"/>
    <w:rsid w:val="00666482"/>
    <w:rsid w:val="006700ED"/>
    <w:rsid w:val="006704D5"/>
    <w:rsid w:val="0067190B"/>
    <w:rsid w:val="00671EDC"/>
    <w:rsid w:val="0068113A"/>
    <w:rsid w:val="00685749"/>
    <w:rsid w:val="0068610F"/>
    <w:rsid w:val="006870F5"/>
    <w:rsid w:val="00687473"/>
    <w:rsid w:val="0068764D"/>
    <w:rsid w:val="00690045"/>
    <w:rsid w:val="006900D5"/>
    <w:rsid w:val="00691041"/>
    <w:rsid w:val="0069226D"/>
    <w:rsid w:val="006922D6"/>
    <w:rsid w:val="00692C44"/>
    <w:rsid w:val="00693629"/>
    <w:rsid w:val="00694282"/>
    <w:rsid w:val="00694650"/>
    <w:rsid w:val="00694F7F"/>
    <w:rsid w:val="00695938"/>
    <w:rsid w:val="006972A6"/>
    <w:rsid w:val="00697A72"/>
    <w:rsid w:val="006A2746"/>
    <w:rsid w:val="006A3B72"/>
    <w:rsid w:val="006A415B"/>
    <w:rsid w:val="006A591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4F0"/>
    <w:rsid w:val="006D0F2C"/>
    <w:rsid w:val="006D1284"/>
    <w:rsid w:val="006D18B5"/>
    <w:rsid w:val="006D4892"/>
    <w:rsid w:val="006D7FC2"/>
    <w:rsid w:val="006E1084"/>
    <w:rsid w:val="006E3D57"/>
    <w:rsid w:val="006E5D42"/>
    <w:rsid w:val="006E7625"/>
    <w:rsid w:val="006F0D0B"/>
    <w:rsid w:val="006F18D3"/>
    <w:rsid w:val="006F1B26"/>
    <w:rsid w:val="006F399B"/>
    <w:rsid w:val="006F45DE"/>
    <w:rsid w:val="006F57C6"/>
    <w:rsid w:val="00701421"/>
    <w:rsid w:val="00701B1F"/>
    <w:rsid w:val="00702066"/>
    <w:rsid w:val="007029D4"/>
    <w:rsid w:val="007031DB"/>
    <w:rsid w:val="00704368"/>
    <w:rsid w:val="00705ABB"/>
    <w:rsid w:val="00706EB7"/>
    <w:rsid w:val="00706ED4"/>
    <w:rsid w:val="007110DC"/>
    <w:rsid w:val="007111EC"/>
    <w:rsid w:val="00711648"/>
    <w:rsid w:val="0071231F"/>
    <w:rsid w:val="00713504"/>
    <w:rsid w:val="00716AA8"/>
    <w:rsid w:val="0072011B"/>
    <w:rsid w:val="007205E2"/>
    <w:rsid w:val="00720C78"/>
    <w:rsid w:val="0072226A"/>
    <w:rsid w:val="00722EB7"/>
    <w:rsid w:val="0072302E"/>
    <w:rsid w:val="00724025"/>
    <w:rsid w:val="00724351"/>
    <w:rsid w:val="00725D4F"/>
    <w:rsid w:val="0073084D"/>
    <w:rsid w:val="00730D72"/>
    <w:rsid w:val="00731365"/>
    <w:rsid w:val="007328B8"/>
    <w:rsid w:val="0073301E"/>
    <w:rsid w:val="007336D4"/>
    <w:rsid w:val="007420E7"/>
    <w:rsid w:val="00742C56"/>
    <w:rsid w:val="0074329C"/>
    <w:rsid w:val="00743BA3"/>
    <w:rsid w:val="007441D8"/>
    <w:rsid w:val="007445FC"/>
    <w:rsid w:val="00746F29"/>
    <w:rsid w:val="00747277"/>
    <w:rsid w:val="00750F77"/>
    <w:rsid w:val="00751646"/>
    <w:rsid w:val="007521B2"/>
    <w:rsid w:val="007535D6"/>
    <w:rsid w:val="0075413E"/>
    <w:rsid w:val="0075475A"/>
    <w:rsid w:val="00755CA9"/>
    <w:rsid w:val="00756D44"/>
    <w:rsid w:val="00760246"/>
    <w:rsid w:val="007610BA"/>
    <w:rsid w:val="00761407"/>
    <w:rsid w:val="007632DF"/>
    <w:rsid w:val="007649FF"/>
    <w:rsid w:val="00765998"/>
    <w:rsid w:val="00766B23"/>
    <w:rsid w:val="00770194"/>
    <w:rsid w:val="00771C15"/>
    <w:rsid w:val="007724F6"/>
    <w:rsid w:val="00772CCD"/>
    <w:rsid w:val="00773125"/>
    <w:rsid w:val="00773B22"/>
    <w:rsid w:val="00773CE1"/>
    <w:rsid w:val="0077477E"/>
    <w:rsid w:val="00781B74"/>
    <w:rsid w:val="00783A4D"/>
    <w:rsid w:val="00784DC8"/>
    <w:rsid w:val="00785CA1"/>
    <w:rsid w:val="00786B8D"/>
    <w:rsid w:val="007905BF"/>
    <w:rsid w:val="00791E89"/>
    <w:rsid w:val="007924D0"/>
    <w:rsid w:val="007934C5"/>
    <w:rsid w:val="0079354A"/>
    <w:rsid w:val="007950FC"/>
    <w:rsid w:val="00795714"/>
    <w:rsid w:val="00795E82"/>
    <w:rsid w:val="00797F9B"/>
    <w:rsid w:val="007A0F00"/>
    <w:rsid w:val="007A1138"/>
    <w:rsid w:val="007A25CE"/>
    <w:rsid w:val="007A3AB9"/>
    <w:rsid w:val="007A4A3C"/>
    <w:rsid w:val="007A504D"/>
    <w:rsid w:val="007A52B0"/>
    <w:rsid w:val="007A7B73"/>
    <w:rsid w:val="007B18C3"/>
    <w:rsid w:val="007B1987"/>
    <w:rsid w:val="007B4C78"/>
    <w:rsid w:val="007B5771"/>
    <w:rsid w:val="007B61AE"/>
    <w:rsid w:val="007B6F7A"/>
    <w:rsid w:val="007C129F"/>
    <w:rsid w:val="007C3793"/>
    <w:rsid w:val="007C4697"/>
    <w:rsid w:val="007C4E6F"/>
    <w:rsid w:val="007C72C8"/>
    <w:rsid w:val="007D0D11"/>
    <w:rsid w:val="007D3943"/>
    <w:rsid w:val="007D44E2"/>
    <w:rsid w:val="007D5000"/>
    <w:rsid w:val="007D5D5F"/>
    <w:rsid w:val="007D6A82"/>
    <w:rsid w:val="007E11A9"/>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525D"/>
    <w:rsid w:val="007F55BD"/>
    <w:rsid w:val="007F67D1"/>
    <w:rsid w:val="007F7712"/>
    <w:rsid w:val="00800AC4"/>
    <w:rsid w:val="00803140"/>
    <w:rsid w:val="00803F7D"/>
    <w:rsid w:val="008043AD"/>
    <w:rsid w:val="00806171"/>
    <w:rsid w:val="0080704C"/>
    <w:rsid w:val="00814507"/>
    <w:rsid w:val="00815186"/>
    <w:rsid w:val="008155A5"/>
    <w:rsid w:val="00815B72"/>
    <w:rsid w:val="0082043A"/>
    <w:rsid w:val="0082220F"/>
    <w:rsid w:val="00822A08"/>
    <w:rsid w:val="00822A13"/>
    <w:rsid w:val="00822F9B"/>
    <w:rsid w:val="00823339"/>
    <w:rsid w:val="00825194"/>
    <w:rsid w:val="00825C42"/>
    <w:rsid w:val="00825DEC"/>
    <w:rsid w:val="00826972"/>
    <w:rsid w:val="008278C6"/>
    <w:rsid w:val="00827C7C"/>
    <w:rsid w:val="008312B2"/>
    <w:rsid w:val="00831D23"/>
    <w:rsid w:val="00833D7E"/>
    <w:rsid w:val="00833E7F"/>
    <w:rsid w:val="0083406F"/>
    <w:rsid w:val="00834534"/>
    <w:rsid w:val="00835BB5"/>
    <w:rsid w:val="008376EE"/>
    <w:rsid w:val="00841953"/>
    <w:rsid w:val="0084232C"/>
    <w:rsid w:val="0084269A"/>
    <w:rsid w:val="00842759"/>
    <w:rsid w:val="008430BB"/>
    <w:rsid w:val="0084359E"/>
    <w:rsid w:val="00843EF5"/>
    <w:rsid w:val="00843FE9"/>
    <w:rsid w:val="0084580D"/>
    <w:rsid w:val="00846AE2"/>
    <w:rsid w:val="00851F97"/>
    <w:rsid w:val="00853451"/>
    <w:rsid w:val="00854A5A"/>
    <w:rsid w:val="008569A1"/>
    <w:rsid w:val="00861E00"/>
    <w:rsid w:val="00862C10"/>
    <w:rsid w:val="00862E1F"/>
    <w:rsid w:val="00863182"/>
    <w:rsid w:val="008650C7"/>
    <w:rsid w:val="00866706"/>
    <w:rsid w:val="00867E0E"/>
    <w:rsid w:val="008707FF"/>
    <w:rsid w:val="00871152"/>
    <w:rsid w:val="0087128E"/>
    <w:rsid w:val="008723B2"/>
    <w:rsid w:val="00873E01"/>
    <w:rsid w:val="00873E69"/>
    <w:rsid w:val="00874916"/>
    <w:rsid w:val="008751C7"/>
    <w:rsid w:val="00877E61"/>
    <w:rsid w:val="008806BD"/>
    <w:rsid w:val="00880874"/>
    <w:rsid w:val="0088111D"/>
    <w:rsid w:val="0088184E"/>
    <w:rsid w:val="0088309B"/>
    <w:rsid w:val="00884FFA"/>
    <w:rsid w:val="0088510D"/>
    <w:rsid w:val="008871B5"/>
    <w:rsid w:val="008900D0"/>
    <w:rsid w:val="008916D5"/>
    <w:rsid w:val="008935C8"/>
    <w:rsid w:val="00893696"/>
    <w:rsid w:val="00893E32"/>
    <w:rsid w:val="0089407F"/>
    <w:rsid w:val="008A0D4B"/>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5261"/>
    <w:rsid w:val="008C5DBD"/>
    <w:rsid w:val="008C68EF"/>
    <w:rsid w:val="008C7149"/>
    <w:rsid w:val="008D0417"/>
    <w:rsid w:val="008D0F4A"/>
    <w:rsid w:val="008D1814"/>
    <w:rsid w:val="008D4333"/>
    <w:rsid w:val="008D532E"/>
    <w:rsid w:val="008D54D2"/>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D43"/>
    <w:rsid w:val="009412E7"/>
    <w:rsid w:val="00941D4D"/>
    <w:rsid w:val="00943AF1"/>
    <w:rsid w:val="00945227"/>
    <w:rsid w:val="00946DE0"/>
    <w:rsid w:val="00950DA4"/>
    <w:rsid w:val="00951119"/>
    <w:rsid w:val="00954D97"/>
    <w:rsid w:val="0095501E"/>
    <w:rsid w:val="009564F1"/>
    <w:rsid w:val="00956641"/>
    <w:rsid w:val="00963346"/>
    <w:rsid w:val="0096366A"/>
    <w:rsid w:val="0096380C"/>
    <w:rsid w:val="00965E25"/>
    <w:rsid w:val="00966233"/>
    <w:rsid w:val="00966369"/>
    <w:rsid w:val="00967437"/>
    <w:rsid w:val="00967B33"/>
    <w:rsid w:val="009716C7"/>
    <w:rsid w:val="00971E10"/>
    <w:rsid w:val="00971E31"/>
    <w:rsid w:val="0097232D"/>
    <w:rsid w:val="00973E49"/>
    <w:rsid w:val="00975303"/>
    <w:rsid w:val="00975391"/>
    <w:rsid w:val="00975AC8"/>
    <w:rsid w:val="00976E9F"/>
    <w:rsid w:val="00976F6F"/>
    <w:rsid w:val="00981AE0"/>
    <w:rsid w:val="009826E2"/>
    <w:rsid w:val="00984545"/>
    <w:rsid w:val="00986174"/>
    <w:rsid w:val="009869F7"/>
    <w:rsid w:val="00987139"/>
    <w:rsid w:val="0099296F"/>
    <w:rsid w:val="00996925"/>
    <w:rsid w:val="00997E06"/>
    <w:rsid w:val="00997E53"/>
    <w:rsid w:val="009A1677"/>
    <w:rsid w:val="009A1E2F"/>
    <w:rsid w:val="009A1E70"/>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3EB2"/>
    <w:rsid w:val="009C5D44"/>
    <w:rsid w:val="009C5E35"/>
    <w:rsid w:val="009C7283"/>
    <w:rsid w:val="009C76DD"/>
    <w:rsid w:val="009D058C"/>
    <w:rsid w:val="009D090E"/>
    <w:rsid w:val="009D0EA5"/>
    <w:rsid w:val="009D128B"/>
    <w:rsid w:val="009D2E23"/>
    <w:rsid w:val="009D7291"/>
    <w:rsid w:val="009D73AC"/>
    <w:rsid w:val="009E0C06"/>
    <w:rsid w:val="009E0D57"/>
    <w:rsid w:val="009E30C6"/>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EEA"/>
    <w:rsid w:val="00A065B6"/>
    <w:rsid w:val="00A06DD4"/>
    <w:rsid w:val="00A103CB"/>
    <w:rsid w:val="00A11981"/>
    <w:rsid w:val="00A12265"/>
    <w:rsid w:val="00A12956"/>
    <w:rsid w:val="00A14070"/>
    <w:rsid w:val="00A141C9"/>
    <w:rsid w:val="00A143B4"/>
    <w:rsid w:val="00A14502"/>
    <w:rsid w:val="00A15401"/>
    <w:rsid w:val="00A15DB4"/>
    <w:rsid w:val="00A15E89"/>
    <w:rsid w:val="00A16834"/>
    <w:rsid w:val="00A2024E"/>
    <w:rsid w:val="00A20358"/>
    <w:rsid w:val="00A21908"/>
    <w:rsid w:val="00A21A31"/>
    <w:rsid w:val="00A256FF"/>
    <w:rsid w:val="00A25F53"/>
    <w:rsid w:val="00A2604E"/>
    <w:rsid w:val="00A275D5"/>
    <w:rsid w:val="00A30B19"/>
    <w:rsid w:val="00A30B37"/>
    <w:rsid w:val="00A30BAD"/>
    <w:rsid w:val="00A321A4"/>
    <w:rsid w:val="00A32278"/>
    <w:rsid w:val="00A3304A"/>
    <w:rsid w:val="00A40936"/>
    <w:rsid w:val="00A41536"/>
    <w:rsid w:val="00A41E8C"/>
    <w:rsid w:val="00A420A7"/>
    <w:rsid w:val="00A44016"/>
    <w:rsid w:val="00A454D7"/>
    <w:rsid w:val="00A4586D"/>
    <w:rsid w:val="00A464CA"/>
    <w:rsid w:val="00A50DC3"/>
    <w:rsid w:val="00A50E20"/>
    <w:rsid w:val="00A51ADB"/>
    <w:rsid w:val="00A5220B"/>
    <w:rsid w:val="00A52A71"/>
    <w:rsid w:val="00A53C1A"/>
    <w:rsid w:val="00A53D07"/>
    <w:rsid w:val="00A54646"/>
    <w:rsid w:val="00A5544A"/>
    <w:rsid w:val="00A56C52"/>
    <w:rsid w:val="00A57341"/>
    <w:rsid w:val="00A57563"/>
    <w:rsid w:val="00A57B74"/>
    <w:rsid w:val="00A60E11"/>
    <w:rsid w:val="00A60F36"/>
    <w:rsid w:val="00A61118"/>
    <w:rsid w:val="00A6208A"/>
    <w:rsid w:val="00A625B1"/>
    <w:rsid w:val="00A63260"/>
    <w:rsid w:val="00A634C5"/>
    <w:rsid w:val="00A70443"/>
    <w:rsid w:val="00A713DF"/>
    <w:rsid w:val="00A71F2F"/>
    <w:rsid w:val="00A72AFB"/>
    <w:rsid w:val="00A7319A"/>
    <w:rsid w:val="00A732BF"/>
    <w:rsid w:val="00A743DC"/>
    <w:rsid w:val="00A74559"/>
    <w:rsid w:val="00A7460B"/>
    <w:rsid w:val="00A75BCC"/>
    <w:rsid w:val="00A76781"/>
    <w:rsid w:val="00A77E2B"/>
    <w:rsid w:val="00A80B4F"/>
    <w:rsid w:val="00A814B5"/>
    <w:rsid w:val="00A825B6"/>
    <w:rsid w:val="00A83D9F"/>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B0CC5"/>
    <w:rsid w:val="00AB1AB5"/>
    <w:rsid w:val="00AB38AB"/>
    <w:rsid w:val="00AB495B"/>
    <w:rsid w:val="00AB6337"/>
    <w:rsid w:val="00AC21BC"/>
    <w:rsid w:val="00AC221E"/>
    <w:rsid w:val="00AC6C6F"/>
    <w:rsid w:val="00AC77FE"/>
    <w:rsid w:val="00AD12BC"/>
    <w:rsid w:val="00AD1880"/>
    <w:rsid w:val="00AD1B36"/>
    <w:rsid w:val="00AD223F"/>
    <w:rsid w:val="00AD2B18"/>
    <w:rsid w:val="00AD3409"/>
    <w:rsid w:val="00AD3ED5"/>
    <w:rsid w:val="00AD431C"/>
    <w:rsid w:val="00AD5390"/>
    <w:rsid w:val="00AD692D"/>
    <w:rsid w:val="00AE0889"/>
    <w:rsid w:val="00AE08EC"/>
    <w:rsid w:val="00AE0F90"/>
    <w:rsid w:val="00AE25B5"/>
    <w:rsid w:val="00AE3BBE"/>
    <w:rsid w:val="00AE7482"/>
    <w:rsid w:val="00AE7A3F"/>
    <w:rsid w:val="00AF040C"/>
    <w:rsid w:val="00AF176C"/>
    <w:rsid w:val="00AF1AC4"/>
    <w:rsid w:val="00AF215A"/>
    <w:rsid w:val="00AF26A2"/>
    <w:rsid w:val="00AF2AC8"/>
    <w:rsid w:val="00AF6FB3"/>
    <w:rsid w:val="00AF7343"/>
    <w:rsid w:val="00AF7BDE"/>
    <w:rsid w:val="00AF7DC8"/>
    <w:rsid w:val="00AF7F04"/>
    <w:rsid w:val="00B001AB"/>
    <w:rsid w:val="00B0046F"/>
    <w:rsid w:val="00B008CC"/>
    <w:rsid w:val="00B00D0F"/>
    <w:rsid w:val="00B012AC"/>
    <w:rsid w:val="00B013D5"/>
    <w:rsid w:val="00B0166C"/>
    <w:rsid w:val="00B02C2E"/>
    <w:rsid w:val="00B0583E"/>
    <w:rsid w:val="00B06A1D"/>
    <w:rsid w:val="00B06F91"/>
    <w:rsid w:val="00B101B6"/>
    <w:rsid w:val="00B1253F"/>
    <w:rsid w:val="00B126F0"/>
    <w:rsid w:val="00B12B12"/>
    <w:rsid w:val="00B12C37"/>
    <w:rsid w:val="00B13CF3"/>
    <w:rsid w:val="00B13ED2"/>
    <w:rsid w:val="00B1477C"/>
    <w:rsid w:val="00B14B7A"/>
    <w:rsid w:val="00B14C6C"/>
    <w:rsid w:val="00B15DE6"/>
    <w:rsid w:val="00B170A1"/>
    <w:rsid w:val="00B1748B"/>
    <w:rsid w:val="00B20D7B"/>
    <w:rsid w:val="00B218DD"/>
    <w:rsid w:val="00B23900"/>
    <w:rsid w:val="00B268A6"/>
    <w:rsid w:val="00B26F56"/>
    <w:rsid w:val="00B26FE8"/>
    <w:rsid w:val="00B27B1A"/>
    <w:rsid w:val="00B32A27"/>
    <w:rsid w:val="00B33102"/>
    <w:rsid w:val="00B34AF7"/>
    <w:rsid w:val="00B3572B"/>
    <w:rsid w:val="00B36007"/>
    <w:rsid w:val="00B375CE"/>
    <w:rsid w:val="00B4001D"/>
    <w:rsid w:val="00B41882"/>
    <w:rsid w:val="00B423C0"/>
    <w:rsid w:val="00B446F9"/>
    <w:rsid w:val="00B44C22"/>
    <w:rsid w:val="00B46F04"/>
    <w:rsid w:val="00B524A5"/>
    <w:rsid w:val="00B5256F"/>
    <w:rsid w:val="00B535E9"/>
    <w:rsid w:val="00B54222"/>
    <w:rsid w:val="00B54CF1"/>
    <w:rsid w:val="00B55414"/>
    <w:rsid w:val="00B6025D"/>
    <w:rsid w:val="00B60C62"/>
    <w:rsid w:val="00B612B3"/>
    <w:rsid w:val="00B62748"/>
    <w:rsid w:val="00B636D0"/>
    <w:rsid w:val="00B70BA0"/>
    <w:rsid w:val="00B71946"/>
    <w:rsid w:val="00B7367F"/>
    <w:rsid w:val="00B74095"/>
    <w:rsid w:val="00B74B41"/>
    <w:rsid w:val="00B74C0F"/>
    <w:rsid w:val="00B755D8"/>
    <w:rsid w:val="00B80A54"/>
    <w:rsid w:val="00B843DA"/>
    <w:rsid w:val="00B856EC"/>
    <w:rsid w:val="00B90B74"/>
    <w:rsid w:val="00B91C2A"/>
    <w:rsid w:val="00B93994"/>
    <w:rsid w:val="00B93E56"/>
    <w:rsid w:val="00B96836"/>
    <w:rsid w:val="00BA018E"/>
    <w:rsid w:val="00BA0B90"/>
    <w:rsid w:val="00BA1241"/>
    <w:rsid w:val="00BA1FB9"/>
    <w:rsid w:val="00BA24BD"/>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88A"/>
    <w:rsid w:val="00BC33C1"/>
    <w:rsid w:val="00BC3F25"/>
    <w:rsid w:val="00BC67CC"/>
    <w:rsid w:val="00BD008B"/>
    <w:rsid w:val="00BD0C39"/>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2C89"/>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571"/>
    <w:rsid w:val="00C225C1"/>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40AB6"/>
    <w:rsid w:val="00C40C43"/>
    <w:rsid w:val="00C40C58"/>
    <w:rsid w:val="00C42FD3"/>
    <w:rsid w:val="00C460F1"/>
    <w:rsid w:val="00C46823"/>
    <w:rsid w:val="00C470B8"/>
    <w:rsid w:val="00C47B3A"/>
    <w:rsid w:val="00C506AD"/>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05F8"/>
    <w:rsid w:val="00C611EE"/>
    <w:rsid w:val="00C61BF8"/>
    <w:rsid w:val="00C627B2"/>
    <w:rsid w:val="00C63086"/>
    <w:rsid w:val="00C632A3"/>
    <w:rsid w:val="00C63E3E"/>
    <w:rsid w:val="00C64083"/>
    <w:rsid w:val="00C64458"/>
    <w:rsid w:val="00C65B6D"/>
    <w:rsid w:val="00C65D79"/>
    <w:rsid w:val="00C67056"/>
    <w:rsid w:val="00C67208"/>
    <w:rsid w:val="00C67DB0"/>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B58"/>
    <w:rsid w:val="00C96E60"/>
    <w:rsid w:val="00CA1380"/>
    <w:rsid w:val="00CA1A90"/>
    <w:rsid w:val="00CA3997"/>
    <w:rsid w:val="00CA3EA8"/>
    <w:rsid w:val="00CA3ED1"/>
    <w:rsid w:val="00CA597B"/>
    <w:rsid w:val="00CA6DAA"/>
    <w:rsid w:val="00CA7BAE"/>
    <w:rsid w:val="00CB01C0"/>
    <w:rsid w:val="00CB04ED"/>
    <w:rsid w:val="00CB0688"/>
    <w:rsid w:val="00CB0786"/>
    <w:rsid w:val="00CB0A1F"/>
    <w:rsid w:val="00CB10FE"/>
    <w:rsid w:val="00CB168D"/>
    <w:rsid w:val="00CB325A"/>
    <w:rsid w:val="00CB38D1"/>
    <w:rsid w:val="00CB5669"/>
    <w:rsid w:val="00CB5CEE"/>
    <w:rsid w:val="00CB7AAA"/>
    <w:rsid w:val="00CC0780"/>
    <w:rsid w:val="00CC0B66"/>
    <w:rsid w:val="00CC1B10"/>
    <w:rsid w:val="00CC3A8B"/>
    <w:rsid w:val="00CC4100"/>
    <w:rsid w:val="00CC5E28"/>
    <w:rsid w:val="00CC6B2B"/>
    <w:rsid w:val="00CC7B21"/>
    <w:rsid w:val="00CC7DDF"/>
    <w:rsid w:val="00CD0A13"/>
    <w:rsid w:val="00CD0E63"/>
    <w:rsid w:val="00CD11AD"/>
    <w:rsid w:val="00CD315E"/>
    <w:rsid w:val="00CD41F4"/>
    <w:rsid w:val="00CD47FB"/>
    <w:rsid w:val="00CD4A8B"/>
    <w:rsid w:val="00CD54E1"/>
    <w:rsid w:val="00CD579F"/>
    <w:rsid w:val="00CD76C2"/>
    <w:rsid w:val="00CD7DBF"/>
    <w:rsid w:val="00CE2C39"/>
    <w:rsid w:val="00CE348F"/>
    <w:rsid w:val="00CE3F6C"/>
    <w:rsid w:val="00CE42CD"/>
    <w:rsid w:val="00CE4477"/>
    <w:rsid w:val="00CE4490"/>
    <w:rsid w:val="00CE53FE"/>
    <w:rsid w:val="00CE67A8"/>
    <w:rsid w:val="00CE7103"/>
    <w:rsid w:val="00CF1487"/>
    <w:rsid w:val="00CF3288"/>
    <w:rsid w:val="00CF35CB"/>
    <w:rsid w:val="00CF629A"/>
    <w:rsid w:val="00CF688C"/>
    <w:rsid w:val="00D00A87"/>
    <w:rsid w:val="00D010B8"/>
    <w:rsid w:val="00D01982"/>
    <w:rsid w:val="00D04EBE"/>
    <w:rsid w:val="00D063D7"/>
    <w:rsid w:val="00D07CCE"/>
    <w:rsid w:val="00D1294D"/>
    <w:rsid w:val="00D12BFC"/>
    <w:rsid w:val="00D12E23"/>
    <w:rsid w:val="00D12F70"/>
    <w:rsid w:val="00D135AF"/>
    <w:rsid w:val="00D13760"/>
    <w:rsid w:val="00D15494"/>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60F28"/>
    <w:rsid w:val="00D612DA"/>
    <w:rsid w:val="00D62DB4"/>
    <w:rsid w:val="00D631B0"/>
    <w:rsid w:val="00D632DC"/>
    <w:rsid w:val="00D634C1"/>
    <w:rsid w:val="00D65B5A"/>
    <w:rsid w:val="00D70379"/>
    <w:rsid w:val="00D7159F"/>
    <w:rsid w:val="00D71FD7"/>
    <w:rsid w:val="00D73BA7"/>
    <w:rsid w:val="00D74198"/>
    <w:rsid w:val="00D7490A"/>
    <w:rsid w:val="00D74C8D"/>
    <w:rsid w:val="00D75979"/>
    <w:rsid w:val="00D7600E"/>
    <w:rsid w:val="00D76919"/>
    <w:rsid w:val="00D77B85"/>
    <w:rsid w:val="00D817D9"/>
    <w:rsid w:val="00D81CBD"/>
    <w:rsid w:val="00D838EC"/>
    <w:rsid w:val="00D83BBC"/>
    <w:rsid w:val="00D83FCE"/>
    <w:rsid w:val="00D84EE9"/>
    <w:rsid w:val="00D86422"/>
    <w:rsid w:val="00D86A07"/>
    <w:rsid w:val="00D86D7C"/>
    <w:rsid w:val="00D872F0"/>
    <w:rsid w:val="00D91A4B"/>
    <w:rsid w:val="00D91BFA"/>
    <w:rsid w:val="00D92106"/>
    <w:rsid w:val="00D92ED4"/>
    <w:rsid w:val="00D93D35"/>
    <w:rsid w:val="00D94096"/>
    <w:rsid w:val="00D96FBA"/>
    <w:rsid w:val="00D97DD2"/>
    <w:rsid w:val="00DA1A36"/>
    <w:rsid w:val="00DA1CE9"/>
    <w:rsid w:val="00DA30D0"/>
    <w:rsid w:val="00DA4482"/>
    <w:rsid w:val="00DA768C"/>
    <w:rsid w:val="00DA7D93"/>
    <w:rsid w:val="00DB01C3"/>
    <w:rsid w:val="00DB03F7"/>
    <w:rsid w:val="00DB0D4B"/>
    <w:rsid w:val="00DB116A"/>
    <w:rsid w:val="00DB372C"/>
    <w:rsid w:val="00DB494B"/>
    <w:rsid w:val="00DB5218"/>
    <w:rsid w:val="00DB5D55"/>
    <w:rsid w:val="00DB5EEC"/>
    <w:rsid w:val="00DB5EFC"/>
    <w:rsid w:val="00DB79A4"/>
    <w:rsid w:val="00DC0C36"/>
    <w:rsid w:val="00DC1A7E"/>
    <w:rsid w:val="00DC1E42"/>
    <w:rsid w:val="00DC429A"/>
    <w:rsid w:val="00DC504E"/>
    <w:rsid w:val="00DC51DA"/>
    <w:rsid w:val="00DC59DD"/>
    <w:rsid w:val="00DC6722"/>
    <w:rsid w:val="00DC7CC8"/>
    <w:rsid w:val="00DC7F8C"/>
    <w:rsid w:val="00DD0401"/>
    <w:rsid w:val="00DD0C09"/>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12FB"/>
    <w:rsid w:val="00DF1564"/>
    <w:rsid w:val="00DF2CCB"/>
    <w:rsid w:val="00DF3816"/>
    <w:rsid w:val="00DF3986"/>
    <w:rsid w:val="00DF3AD2"/>
    <w:rsid w:val="00DF42B7"/>
    <w:rsid w:val="00DF56EA"/>
    <w:rsid w:val="00DF61F5"/>
    <w:rsid w:val="00DF7497"/>
    <w:rsid w:val="00E002A5"/>
    <w:rsid w:val="00E0312A"/>
    <w:rsid w:val="00E04BC5"/>
    <w:rsid w:val="00E04C2A"/>
    <w:rsid w:val="00E069CE"/>
    <w:rsid w:val="00E079DC"/>
    <w:rsid w:val="00E07FB6"/>
    <w:rsid w:val="00E10420"/>
    <w:rsid w:val="00E136FD"/>
    <w:rsid w:val="00E15BC5"/>
    <w:rsid w:val="00E15CDB"/>
    <w:rsid w:val="00E16589"/>
    <w:rsid w:val="00E201E3"/>
    <w:rsid w:val="00E20E0F"/>
    <w:rsid w:val="00E23622"/>
    <w:rsid w:val="00E238AC"/>
    <w:rsid w:val="00E23F0D"/>
    <w:rsid w:val="00E25CA4"/>
    <w:rsid w:val="00E2713F"/>
    <w:rsid w:val="00E276D5"/>
    <w:rsid w:val="00E278C2"/>
    <w:rsid w:val="00E31B33"/>
    <w:rsid w:val="00E32EEE"/>
    <w:rsid w:val="00E333AF"/>
    <w:rsid w:val="00E33B5B"/>
    <w:rsid w:val="00E3434F"/>
    <w:rsid w:val="00E35244"/>
    <w:rsid w:val="00E35314"/>
    <w:rsid w:val="00E35E0E"/>
    <w:rsid w:val="00E3603B"/>
    <w:rsid w:val="00E37C4C"/>
    <w:rsid w:val="00E37FEF"/>
    <w:rsid w:val="00E434E4"/>
    <w:rsid w:val="00E45BED"/>
    <w:rsid w:val="00E46037"/>
    <w:rsid w:val="00E463F9"/>
    <w:rsid w:val="00E46748"/>
    <w:rsid w:val="00E47F27"/>
    <w:rsid w:val="00E51039"/>
    <w:rsid w:val="00E53C13"/>
    <w:rsid w:val="00E5457F"/>
    <w:rsid w:val="00E55A69"/>
    <w:rsid w:val="00E5731A"/>
    <w:rsid w:val="00E57A8A"/>
    <w:rsid w:val="00E57A9E"/>
    <w:rsid w:val="00E60287"/>
    <w:rsid w:val="00E629C8"/>
    <w:rsid w:val="00E66BD7"/>
    <w:rsid w:val="00E66DD5"/>
    <w:rsid w:val="00E679A3"/>
    <w:rsid w:val="00E710EB"/>
    <w:rsid w:val="00E719EB"/>
    <w:rsid w:val="00E72481"/>
    <w:rsid w:val="00E72923"/>
    <w:rsid w:val="00E73E6C"/>
    <w:rsid w:val="00E74B34"/>
    <w:rsid w:val="00E762F8"/>
    <w:rsid w:val="00E76692"/>
    <w:rsid w:val="00E81C62"/>
    <w:rsid w:val="00E83EC0"/>
    <w:rsid w:val="00E84B02"/>
    <w:rsid w:val="00E901FE"/>
    <w:rsid w:val="00E9188F"/>
    <w:rsid w:val="00E91AB9"/>
    <w:rsid w:val="00E936DC"/>
    <w:rsid w:val="00EA0BAE"/>
    <w:rsid w:val="00EA2B1E"/>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2606"/>
    <w:rsid w:val="00EC2AD6"/>
    <w:rsid w:val="00EC31C8"/>
    <w:rsid w:val="00EC4B58"/>
    <w:rsid w:val="00EC5556"/>
    <w:rsid w:val="00ED1877"/>
    <w:rsid w:val="00ED3261"/>
    <w:rsid w:val="00ED4C18"/>
    <w:rsid w:val="00ED52E2"/>
    <w:rsid w:val="00ED5DB5"/>
    <w:rsid w:val="00ED67C8"/>
    <w:rsid w:val="00ED6CB5"/>
    <w:rsid w:val="00ED7FC6"/>
    <w:rsid w:val="00EE09FB"/>
    <w:rsid w:val="00EE12B3"/>
    <w:rsid w:val="00EE15CD"/>
    <w:rsid w:val="00EE1EC1"/>
    <w:rsid w:val="00EE2344"/>
    <w:rsid w:val="00EE2D33"/>
    <w:rsid w:val="00EE3919"/>
    <w:rsid w:val="00EE3D55"/>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9A9"/>
    <w:rsid w:val="00F22008"/>
    <w:rsid w:val="00F221E8"/>
    <w:rsid w:val="00F23297"/>
    <w:rsid w:val="00F2678C"/>
    <w:rsid w:val="00F271F0"/>
    <w:rsid w:val="00F3026C"/>
    <w:rsid w:val="00F3028E"/>
    <w:rsid w:val="00F303E9"/>
    <w:rsid w:val="00F3046D"/>
    <w:rsid w:val="00F30946"/>
    <w:rsid w:val="00F35150"/>
    <w:rsid w:val="00F365E8"/>
    <w:rsid w:val="00F36A3E"/>
    <w:rsid w:val="00F40974"/>
    <w:rsid w:val="00F4129B"/>
    <w:rsid w:val="00F42DD6"/>
    <w:rsid w:val="00F4333E"/>
    <w:rsid w:val="00F445BB"/>
    <w:rsid w:val="00F4641A"/>
    <w:rsid w:val="00F53197"/>
    <w:rsid w:val="00F53528"/>
    <w:rsid w:val="00F53F4F"/>
    <w:rsid w:val="00F542B2"/>
    <w:rsid w:val="00F54A0F"/>
    <w:rsid w:val="00F61D9C"/>
    <w:rsid w:val="00F623FB"/>
    <w:rsid w:val="00F638B4"/>
    <w:rsid w:val="00F6429B"/>
    <w:rsid w:val="00F6454B"/>
    <w:rsid w:val="00F65803"/>
    <w:rsid w:val="00F65C5C"/>
    <w:rsid w:val="00F6659F"/>
    <w:rsid w:val="00F679AA"/>
    <w:rsid w:val="00F71C42"/>
    <w:rsid w:val="00F727F3"/>
    <w:rsid w:val="00F74EDF"/>
    <w:rsid w:val="00F75065"/>
    <w:rsid w:val="00F76D8F"/>
    <w:rsid w:val="00F76E75"/>
    <w:rsid w:val="00F77435"/>
    <w:rsid w:val="00F80349"/>
    <w:rsid w:val="00F81C3C"/>
    <w:rsid w:val="00F81F98"/>
    <w:rsid w:val="00F85B5C"/>
    <w:rsid w:val="00F866A9"/>
    <w:rsid w:val="00F9016E"/>
    <w:rsid w:val="00F903CC"/>
    <w:rsid w:val="00F907E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14CE"/>
    <w:rsid w:val="00FB33EE"/>
    <w:rsid w:val="00FB48A8"/>
    <w:rsid w:val="00FB55F8"/>
    <w:rsid w:val="00FB5739"/>
    <w:rsid w:val="00FC0A6D"/>
    <w:rsid w:val="00FC0D24"/>
    <w:rsid w:val="00FC15BB"/>
    <w:rsid w:val="00FC1ADF"/>
    <w:rsid w:val="00FC2CA0"/>
    <w:rsid w:val="00FC33E5"/>
    <w:rsid w:val="00FC3A86"/>
    <w:rsid w:val="00FC558B"/>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53E7"/>
    <w:rsid w:val="00FD58F7"/>
    <w:rsid w:val="00FD5FF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3B06BCE"/>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rsid w:val="006A415B"/>
    <w:pPr>
      <w:spacing w:line="300" w:lineRule="exact"/>
      <w:ind w:firstLine="240"/>
      <w:jc w:val="both"/>
    </w:pPr>
    <w:rPr>
      <w:rFonts w:ascii="Times" w:eastAsia="Times New Roman" w:hAnsi="Times" w:cs="Times"/>
    </w:rPr>
  </w:style>
  <w:style w:type="paragraph" w:styleId="af">
    <w:name w:val="Revision"/>
    <w:hidden/>
    <w:uiPriority w:val="99"/>
    <w:semiHidden/>
    <w:rsid w:val="002530C3"/>
    <w:pPr>
      <w:spacing w:after="0" w:line="240" w:lineRule="auto"/>
    </w:pPr>
    <w:rPr>
      <w:rFonts w:asciiTheme="majorBidi" w:hAnsiTheme="majorBidi"/>
      <w:sz w:val="24"/>
      <w:szCs w:val="24"/>
    </w:rPr>
  </w:style>
  <w:style w:type="paragraph" w:styleId="af0">
    <w:name w:val="footnote text"/>
    <w:basedOn w:val="a"/>
    <w:link w:val="af1"/>
    <w:uiPriority w:val="99"/>
    <w:semiHidden/>
    <w:unhideWhenUsed/>
    <w:rsid w:val="00701421"/>
    <w:rPr>
      <w:sz w:val="20"/>
      <w:szCs w:val="20"/>
    </w:rPr>
  </w:style>
  <w:style w:type="character" w:customStyle="1" w:styleId="af1">
    <w:name w:val="טקסט הערת שוליים תו"/>
    <w:basedOn w:val="a0"/>
    <w:link w:val="af0"/>
    <w:uiPriority w:val="99"/>
    <w:semiHidden/>
    <w:rsid w:val="00701421"/>
    <w:rPr>
      <w:rFonts w:asciiTheme="majorBidi" w:hAnsiTheme="majorBidi"/>
      <w:sz w:val="20"/>
      <w:szCs w:val="20"/>
    </w:rPr>
  </w:style>
  <w:style w:type="character" w:styleId="af2">
    <w:name w:val="footnote reference"/>
    <w:basedOn w:val="a0"/>
    <w:uiPriority w:val="99"/>
    <w:semiHidden/>
    <w:unhideWhenUsed/>
    <w:rsid w:val="00701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477EFB-7030-4621-8AE8-DB4C02CE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2277</Words>
  <Characters>11389</Characters>
  <Application>Microsoft Office Word</Application>
  <DocSecurity>4</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נטע כלפון</cp:lastModifiedBy>
  <cp:revision>2</cp:revision>
  <cp:lastPrinted>2020-01-09T11:09:00Z</cp:lastPrinted>
  <dcterms:created xsi:type="dcterms:W3CDTF">2023-09-04T11:51:00Z</dcterms:created>
  <dcterms:modified xsi:type="dcterms:W3CDTF">2023-09-04T11:51:00Z</dcterms:modified>
</cp:coreProperties>
</file>