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631"/>
        <w:bidiVisual/>
        <w:tblW w:w="9075" w:type="dxa"/>
        <w:tblLayout w:type="fixed"/>
        <w:tblLook w:val="04A0" w:firstRow="1" w:lastRow="0" w:firstColumn="1" w:lastColumn="0" w:noHBand="0" w:noVBand="1"/>
      </w:tblPr>
      <w:tblGrid>
        <w:gridCol w:w="3393"/>
        <w:gridCol w:w="2597"/>
        <w:gridCol w:w="3085"/>
      </w:tblGrid>
      <w:tr w:rsidR="00DA1C06" w:rsidRPr="00DA1C06" w:rsidTr="006C2A68">
        <w:trPr>
          <w:cantSplit/>
        </w:trPr>
        <w:tc>
          <w:tcPr>
            <w:tcW w:w="3393" w:type="dxa"/>
            <w:vAlign w:val="center"/>
            <w:hideMark/>
          </w:tcPr>
          <w:p w:rsidR="00DA1C06" w:rsidRPr="00DA1C06" w:rsidRDefault="00DA1C06" w:rsidP="00DA1C06">
            <w:pPr>
              <w:tabs>
                <w:tab w:val="clear" w:pos="567"/>
                <w:tab w:val="clear" w:pos="1134"/>
                <w:tab w:val="clear" w:pos="1814"/>
                <w:tab w:val="clear" w:pos="2665"/>
              </w:tabs>
              <w:spacing w:after="200"/>
              <w:jc w:val="center"/>
              <w:rPr>
                <w:rFonts w:asciiTheme="minorHAnsi" w:eastAsia="Calibri" w:hAnsiTheme="minorHAnsi" w:cstheme="minorHAnsi"/>
                <w:b/>
                <w:bCs/>
              </w:rPr>
            </w:pPr>
            <w:r w:rsidRPr="00DA1C06">
              <w:rPr>
                <w:rFonts w:asciiTheme="minorHAnsi" w:eastAsia="Calibri" w:hAnsiTheme="minorHAnsi" w:cstheme="minorHAnsi"/>
                <w:b/>
                <w:bCs/>
                <w:rtl/>
              </w:rPr>
              <w:t>בנק ישראל</w:t>
            </w:r>
          </w:p>
          <w:p w:rsidR="00DA1C06" w:rsidRPr="00DA1C06" w:rsidRDefault="00DA1C06" w:rsidP="00DA1C06">
            <w:pPr>
              <w:tabs>
                <w:tab w:val="clear" w:pos="567"/>
                <w:tab w:val="clear" w:pos="1134"/>
                <w:tab w:val="clear" w:pos="1814"/>
                <w:tab w:val="clear" w:pos="2665"/>
              </w:tabs>
              <w:spacing w:after="200"/>
              <w:ind w:right="-101"/>
              <w:jc w:val="center"/>
              <w:rPr>
                <w:rFonts w:asciiTheme="minorHAnsi" w:eastAsia="Calibri" w:hAnsiTheme="minorHAnsi" w:cstheme="minorHAnsi"/>
              </w:rPr>
            </w:pPr>
            <w:r w:rsidRPr="00DA1C06">
              <w:rPr>
                <w:rFonts w:asciiTheme="minorHAnsi" w:eastAsia="Calibri" w:hAnsiTheme="minorHAnsi" w:cstheme="minorHAnsi"/>
                <w:rtl/>
              </w:rPr>
              <w:t>דוברות והסברה כלכלית</w:t>
            </w:r>
          </w:p>
        </w:tc>
        <w:tc>
          <w:tcPr>
            <w:tcW w:w="2597" w:type="dxa"/>
            <w:hideMark/>
          </w:tcPr>
          <w:p w:rsidR="00DA1C06" w:rsidRPr="00DA1C06" w:rsidRDefault="00DA1C06" w:rsidP="00DA1C06">
            <w:pPr>
              <w:tabs>
                <w:tab w:val="clear" w:pos="567"/>
                <w:tab w:val="clear" w:pos="1134"/>
                <w:tab w:val="clear" w:pos="1814"/>
                <w:tab w:val="clear" w:pos="2665"/>
              </w:tabs>
              <w:spacing w:after="200"/>
              <w:jc w:val="center"/>
              <w:rPr>
                <w:rFonts w:asciiTheme="minorHAnsi" w:eastAsia="Calibri" w:hAnsiTheme="minorHAnsi" w:cstheme="minorHAnsi"/>
              </w:rPr>
            </w:pPr>
            <w:r w:rsidRPr="00DA1C06">
              <w:rPr>
                <w:rFonts w:asciiTheme="minorHAnsi" w:eastAsia="Calibri" w:hAnsiTheme="minorHAnsi" w:cstheme="minorHAnsi"/>
                <w:noProof/>
                <w:sz w:val="22"/>
                <w:szCs w:val="22"/>
              </w:rPr>
              <w:drawing>
                <wp:anchor distT="0" distB="0" distL="114300" distR="114300" simplePos="0" relativeHeight="251659264" behindDoc="0" locked="0" layoutInCell="1" allowOverlap="1" wp14:anchorId="45005A02" wp14:editId="3989C815">
                  <wp:simplePos x="0" y="0"/>
                  <wp:positionH relativeFrom="column">
                    <wp:posOffset>338455</wp:posOffset>
                  </wp:positionH>
                  <wp:positionV relativeFrom="paragraph">
                    <wp:posOffset>166370</wp:posOffset>
                  </wp:positionV>
                  <wp:extent cx="1050925" cy="1050925"/>
                  <wp:effectExtent l="0" t="0" r="0" b="0"/>
                  <wp:wrapSquare wrapText="bothSides"/>
                  <wp:docPr id="10" name="Picture 2" descr="A logo with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symb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5" w:type="dxa"/>
            <w:vAlign w:val="center"/>
            <w:hideMark/>
          </w:tcPr>
          <w:p w:rsidR="00DA1C06" w:rsidRPr="00DA1C06" w:rsidRDefault="00DA1C06" w:rsidP="00DA1C06">
            <w:pPr>
              <w:tabs>
                <w:tab w:val="clear" w:pos="567"/>
                <w:tab w:val="clear" w:pos="1134"/>
                <w:tab w:val="clear" w:pos="1814"/>
                <w:tab w:val="clear" w:pos="2665"/>
              </w:tabs>
              <w:spacing w:after="200"/>
              <w:jc w:val="right"/>
              <w:rPr>
                <w:rFonts w:asciiTheme="minorHAnsi" w:eastAsia="Calibri" w:hAnsiTheme="minorHAnsi" w:cstheme="minorHAnsi"/>
              </w:rPr>
            </w:pPr>
            <w:r w:rsidRPr="00DA1C06">
              <w:rPr>
                <w:rFonts w:asciiTheme="minorHAnsi" w:eastAsia="Calibri" w:hAnsiTheme="minorHAnsi" w:cstheme="minorHAnsi"/>
                <w:rtl/>
              </w:rPr>
              <w:t>‏ ירושלים, כ"</w:t>
            </w:r>
            <w:r>
              <w:rPr>
                <w:rFonts w:asciiTheme="minorHAnsi" w:eastAsia="Calibri" w:hAnsiTheme="minorHAnsi" w:cstheme="minorHAnsi" w:hint="cs"/>
                <w:rtl/>
              </w:rPr>
              <w:t>ז</w:t>
            </w:r>
            <w:r w:rsidRPr="00DA1C06">
              <w:rPr>
                <w:rFonts w:asciiTheme="minorHAnsi" w:eastAsia="Calibri" w:hAnsiTheme="minorHAnsi" w:cstheme="minorHAnsi"/>
                <w:rtl/>
              </w:rPr>
              <w:t xml:space="preserve"> בתשרי, תשפ"ד</w:t>
            </w:r>
          </w:p>
          <w:p w:rsidR="00DA1C06" w:rsidRPr="00DA1C06" w:rsidRDefault="00DA1C06" w:rsidP="00DA1C06">
            <w:pPr>
              <w:tabs>
                <w:tab w:val="clear" w:pos="567"/>
                <w:tab w:val="clear" w:pos="1134"/>
                <w:tab w:val="clear" w:pos="1814"/>
                <w:tab w:val="clear" w:pos="2665"/>
              </w:tabs>
              <w:spacing w:after="200"/>
              <w:jc w:val="right"/>
              <w:rPr>
                <w:rFonts w:asciiTheme="minorHAnsi" w:eastAsia="Calibri" w:hAnsiTheme="minorHAnsi" w:cstheme="minorHAnsi"/>
                <w:highlight w:val="yellow"/>
              </w:rPr>
            </w:pPr>
            <w:r w:rsidRPr="00DA1C06">
              <w:rPr>
                <w:rFonts w:asciiTheme="minorHAnsi" w:eastAsia="Calibri" w:hAnsiTheme="minorHAnsi" w:cstheme="minorHAnsi"/>
                <w:rtl/>
              </w:rPr>
              <w:t>‏‏‏‏‏‏2</w:t>
            </w:r>
            <w:r>
              <w:rPr>
                <w:rFonts w:asciiTheme="minorHAnsi" w:eastAsia="Calibri" w:hAnsiTheme="minorHAnsi" w:cstheme="minorHAnsi" w:hint="cs"/>
                <w:rtl/>
              </w:rPr>
              <w:t>9</w:t>
            </w:r>
            <w:r w:rsidRPr="00DA1C06">
              <w:rPr>
                <w:rFonts w:asciiTheme="minorHAnsi" w:eastAsia="Calibri" w:hAnsiTheme="minorHAnsi" w:cstheme="minorHAnsi"/>
                <w:rtl/>
              </w:rPr>
              <w:t xml:space="preserve"> באוקטובר, 2024</w:t>
            </w:r>
          </w:p>
        </w:tc>
      </w:tr>
    </w:tbl>
    <w:p w:rsidR="00236DFB" w:rsidRPr="00DA1C06" w:rsidRDefault="00236DFB" w:rsidP="00236DFB">
      <w:pPr>
        <w:jc w:val="left"/>
        <w:rPr>
          <w:rFonts w:asciiTheme="minorHAnsi" w:hAnsiTheme="minorHAnsi" w:cstheme="minorHAnsi"/>
          <w:rtl/>
        </w:rPr>
      </w:pPr>
      <w:r w:rsidRPr="00DA1C06">
        <w:rPr>
          <w:rFonts w:asciiTheme="minorHAnsi" w:hAnsiTheme="minorHAnsi" w:cstheme="minorHAnsi"/>
          <w:rtl/>
        </w:rPr>
        <w:t>הודעה לעיתונות</w:t>
      </w:r>
      <w:r w:rsidR="00DA1C06" w:rsidRPr="00DA1C06">
        <w:rPr>
          <w:rFonts w:asciiTheme="minorHAnsi" w:hAnsiTheme="minorHAnsi" w:cstheme="minorHAnsi"/>
          <w:rtl/>
        </w:rPr>
        <w:t>:</w:t>
      </w:r>
    </w:p>
    <w:p w:rsidR="00236DFB" w:rsidRPr="00DA1C06" w:rsidRDefault="00236DFB" w:rsidP="00236DFB">
      <w:pPr>
        <w:jc w:val="center"/>
        <w:rPr>
          <w:rFonts w:asciiTheme="minorHAnsi" w:hAnsiTheme="minorHAnsi" w:cstheme="minorHAnsi"/>
          <w:b/>
          <w:bCs/>
          <w:sz w:val="22"/>
          <w:szCs w:val="22"/>
          <w:u w:val="single"/>
          <w:rtl/>
        </w:rPr>
      </w:pPr>
    </w:p>
    <w:p w:rsidR="00236DFB" w:rsidRPr="00DA1C06" w:rsidRDefault="00236DFB" w:rsidP="00B66CC0">
      <w:pPr>
        <w:spacing w:after="240"/>
        <w:jc w:val="center"/>
        <w:rPr>
          <w:rFonts w:asciiTheme="minorHAnsi" w:hAnsiTheme="minorHAnsi" w:cstheme="minorHAnsi"/>
          <w:b/>
          <w:bCs/>
          <w:sz w:val="26"/>
          <w:szCs w:val="26"/>
        </w:rPr>
      </w:pPr>
      <w:bookmarkStart w:id="0" w:name="_GoBack"/>
      <w:r w:rsidRPr="00DA1C06">
        <w:rPr>
          <w:rFonts w:asciiTheme="minorHAnsi" w:hAnsiTheme="minorHAnsi" w:cstheme="minorHAnsi"/>
          <w:b/>
          <w:bCs/>
          <w:sz w:val="26"/>
          <w:szCs w:val="26"/>
          <w:rtl/>
        </w:rPr>
        <w:t>החלט</w:t>
      </w:r>
      <w:r w:rsidR="00B66CC0" w:rsidRPr="00DA1C06">
        <w:rPr>
          <w:rFonts w:asciiTheme="minorHAnsi" w:hAnsiTheme="minorHAnsi" w:cstheme="minorHAnsi"/>
          <w:b/>
          <w:bCs/>
          <w:sz w:val="26"/>
          <w:szCs w:val="26"/>
          <w:rtl/>
        </w:rPr>
        <w:t>ו</w:t>
      </w:r>
      <w:r w:rsidRPr="00DA1C06">
        <w:rPr>
          <w:rFonts w:asciiTheme="minorHAnsi" w:hAnsiTheme="minorHAnsi" w:cstheme="minorHAnsi"/>
          <w:b/>
          <w:bCs/>
          <w:sz w:val="26"/>
          <w:szCs w:val="26"/>
          <w:rtl/>
        </w:rPr>
        <w:t>ת ועדת העיצומים לתאגידים בנקאיים בעניין הפר</w:t>
      </w:r>
      <w:r w:rsidR="00B66CC0" w:rsidRPr="00DA1C06">
        <w:rPr>
          <w:rFonts w:asciiTheme="minorHAnsi" w:hAnsiTheme="minorHAnsi" w:cstheme="minorHAnsi"/>
          <w:b/>
          <w:bCs/>
          <w:sz w:val="26"/>
          <w:szCs w:val="26"/>
          <w:rtl/>
        </w:rPr>
        <w:t>ו</w:t>
      </w:r>
      <w:r w:rsidRPr="00DA1C06">
        <w:rPr>
          <w:rFonts w:asciiTheme="minorHAnsi" w:hAnsiTheme="minorHAnsi" w:cstheme="minorHAnsi"/>
          <w:b/>
          <w:bCs/>
          <w:sz w:val="26"/>
          <w:szCs w:val="26"/>
          <w:rtl/>
        </w:rPr>
        <w:t xml:space="preserve">ת הוראות מכוח חוק איסור הלבנת הון </w:t>
      </w:r>
      <w:r w:rsidR="0030102C" w:rsidRPr="00DA1C06">
        <w:rPr>
          <w:rFonts w:asciiTheme="minorHAnsi" w:hAnsiTheme="minorHAnsi" w:cstheme="minorHAnsi"/>
          <w:b/>
          <w:bCs/>
          <w:sz w:val="26"/>
          <w:szCs w:val="26"/>
          <w:rtl/>
        </w:rPr>
        <w:t>ומכוח פקודת הבנקאות</w:t>
      </w:r>
    </w:p>
    <w:bookmarkEnd w:id="0"/>
    <w:p w:rsidR="00A574BA" w:rsidRPr="00DA1C06" w:rsidRDefault="00A574BA" w:rsidP="00EA2F0E">
      <w:pPr>
        <w:rPr>
          <w:rFonts w:asciiTheme="minorHAnsi" w:hAnsiTheme="minorHAnsi" w:cstheme="minorHAnsi"/>
          <w:color w:val="000000"/>
          <w:rtl/>
        </w:rPr>
      </w:pPr>
      <w:r w:rsidRPr="00DA1C06">
        <w:rPr>
          <w:rFonts w:asciiTheme="minorHAnsi" w:hAnsiTheme="minorHAnsi" w:cstheme="minorHAnsi"/>
          <w:color w:val="000000"/>
          <w:rtl/>
        </w:rPr>
        <w:t>ועדת העיצומים לתאגידים בנקאיים (</w:t>
      </w:r>
      <w:r w:rsidRPr="00DA1C06">
        <w:rPr>
          <w:rFonts w:asciiTheme="minorHAnsi" w:hAnsiTheme="minorHAnsi" w:cstheme="minorHAnsi"/>
          <w:rtl/>
        </w:rPr>
        <w:t>להלן - "הוועדה")</w:t>
      </w:r>
      <w:r w:rsidRPr="00DA1C06">
        <w:rPr>
          <w:rFonts w:asciiTheme="minorHAnsi" w:hAnsiTheme="minorHAnsi" w:cstheme="minorHAnsi"/>
          <w:color w:val="000000"/>
          <w:rtl/>
        </w:rPr>
        <w:t xml:space="preserve">, הינה ועדה שהוקמה מכוח חוק </w:t>
      </w:r>
      <w:r w:rsidRPr="00DA1C06">
        <w:rPr>
          <w:rFonts w:asciiTheme="minorHAnsi" w:hAnsiTheme="minorHAnsi" w:cstheme="minorHAnsi"/>
          <w:rtl/>
        </w:rPr>
        <w:t>איסור הלבנת הון, התש"ס-2000 (להלן - "החוק")</w:t>
      </w:r>
      <w:r w:rsidRPr="00DA1C06">
        <w:rPr>
          <w:rFonts w:asciiTheme="minorHAnsi" w:hAnsiTheme="minorHAnsi" w:cstheme="minorHAnsi"/>
          <w:color w:val="000000"/>
          <w:rtl/>
        </w:rPr>
        <w:t xml:space="preserve"> כחלק מאמצעי האכיפה בכל הנוגע ל</w:t>
      </w:r>
      <w:r w:rsidR="00F42A7C" w:rsidRPr="00DA1C06">
        <w:rPr>
          <w:rFonts w:asciiTheme="minorHAnsi" w:hAnsiTheme="minorHAnsi" w:cstheme="minorHAnsi"/>
          <w:color w:val="000000"/>
          <w:rtl/>
        </w:rPr>
        <w:t xml:space="preserve">תחום של </w:t>
      </w:r>
      <w:r w:rsidRPr="00DA1C06">
        <w:rPr>
          <w:rFonts w:asciiTheme="minorHAnsi" w:hAnsiTheme="minorHAnsi" w:cstheme="minorHAnsi"/>
          <w:color w:val="000000"/>
          <w:rtl/>
        </w:rPr>
        <w:t>איסור הלבנת הון</w:t>
      </w:r>
      <w:r w:rsidR="00F42A7C" w:rsidRPr="00DA1C06">
        <w:rPr>
          <w:rFonts w:asciiTheme="minorHAnsi" w:hAnsiTheme="minorHAnsi" w:cstheme="minorHAnsi"/>
          <w:color w:val="000000"/>
          <w:rtl/>
        </w:rPr>
        <w:t xml:space="preserve"> ואיסור מימון טרור</w:t>
      </w:r>
      <w:r w:rsidRPr="00DA1C06">
        <w:rPr>
          <w:rFonts w:asciiTheme="minorHAnsi" w:hAnsiTheme="minorHAnsi" w:cstheme="minorHAnsi"/>
          <w:color w:val="000000"/>
          <w:rtl/>
        </w:rPr>
        <w:t xml:space="preserve">, </w:t>
      </w:r>
      <w:r w:rsidR="00EA2F0E" w:rsidRPr="00DA1C06">
        <w:rPr>
          <w:rFonts w:asciiTheme="minorHAnsi" w:hAnsiTheme="minorHAnsi" w:cstheme="minorHAnsi"/>
          <w:color w:val="000000"/>
          <w:rtl/>
        </w:rPr>
        <w:t xml:space="preserve">ובסמכותה </w:t>
      </w:r>
      <w:r w:rsidRPr="00DA1C06">
        <w:rPr>
          <w:rFonts w:asciiTheme="minorHAnsi" w:hAnsiTheme="minorHAnsi" w:cstheme="minorHAnsi"/>
          <w:color w:val="000000"/>
          <w:rtl/>
        </w:rPr>
        <w:t xml:space="preserve">להטיל עיצומים כספיים על תאגידים בנקאיים (עד לגובה של כ-2.26 מיליוני ש"ח להפרה) בגין הפרות של החוק, </w:t>
      </w:r>
      <w:r w:rsidR="00EA2F0E" w:rsidRPr="00DA1C06">
        <w:rPr>
          <w:rFonts w:asciiTheme="minorHAnsi" w:hAnsiTheme="minorHAnsi" w:cstheme="minorHAnsi"/>
          <w:color w:val="000000"/>
          <w:rtl/>
        </w:rPr>
        <w:t>ה</w:t>
      </w:r>
      <w:r w:rsidRPr="00DA1C06">
        <w:rPr>
          <w:rFonts w:asciiTheme="minorHAnsi" w:hAnsiTheme="minorHAnsi" w:cstheme="minorHAnsi"/>
          <w:color w:val="000000"/>
          <w:rtl/>
        </w:rPr>
        <w:t>צווים ו</w:t>
      </w:r>
      <w:r w:rsidR="00EA2F0E" w:rsidRPr="00DA1C06">
        <w:rPr>
          <w:rFonts w:asciiTheme="minorHAnsi" w:hAnsiTheme="minorHAnsi" w:cstheme="minorHAnsi"/>
          <w:color w:val="000000"/>
          <w:rtl/>
        </w:rPr>
        <w:t>ה</w:t>
      </w:r>
      <w:r w:rsidRPr="00DA1C06">
        <w:rPr>
          <w:rFonts w:asciiTheme="minorHAnsi" w:hAnsiTheme="minorHAnsi" w:cstheme="minorHAnsi"/>
          <w:color w:val="000000"/>
          <w:rtl/>
        </w:rPr>
        <w:t xml:space="preserve">תקנות שהוצאו מכוחו. </w:t>
      </w:r>
    </w:p>
    <w:p w:rsidR="00B66CC0" w:rsidRPr="00DA1C06" w:rsidRDefault="00A574BA" w:rsidP="00EA2F0E">
      <w:pPr>
        <w:rPr>
          <w:rFonts w:asciiTheme="minorHAnsi" w:hAnsiTheme="minorHAnsi" w:cstheme="minorHAnsi"/>
          <w:rtl/>
        </w:rPr>
      </w:pPr>
      <w:r w:rsidRPr="00DA1C06">
        <w:rPr>
          <w:rFonts w:asciiTheme="minorHAnsi" w:hAnsiTheme="minorHAnsi" w:cstheme="minorHAnsi"/>
          <w:color w:val="000000"/>
          <w:rtl/>
        </w:rPr>
        <w:t xml:space="preserve"> </w:t>
      </w:r>
      <w:r w:rsidR="00EA2F0E" w:rsidRPr="00DA1C06">
        <w:rPr>
          <w:rFonts w:asciiTheme="minorHAnsi" w:hAnsiTheme="minorHAnsi" w:cstheme="minorHAnsi"/>
          <w:color w:val="000000"/>
          <w:rtl/>
        </w:rPr>
        <w:t xml:space="preserve">בוועדה שלושה חברים- יו"ר הוועדה, </w:t>
      </w:r>
      <w:r w:rsidRPr="00DA1C06">
        <w:rPr>
          <w:rFonts w:asciiTheme="minorHAnsi" w:hAnsiTheme="minorHAnsi" w:cstheme="minorHAnsi"/>
          <w:color w:val="000000"/>
          <w:rtl/>
        </w:rPr>
        <w:t>המפקח על הבנקים</w:t>
      </w:r>
      <w:r w:rsidR="00EA2F0E" w:rsidRPr="00DA1C06">
        <w:rPr>
          <w:rFonts w:asciiTheme="minorHAnsi" w:hAnsiTheme="minorHAnsi" w:cstheme="minorHAnsi"/>
          <w:color w:val="000000"/>
          <w:rtl/>
        </w:rPr>
        <w:t xml:space="preserve"> </w:t>
      </w:r>
      <w:r w:rsidRPr="00DA1C06">
        <w:rPr>
          <w:rFonts w:asciiTheme="minorHAnsi" w:hAnsiTheme="minorHAnsi" w:cstheme="minorHAnsi"/>
          <w:color w:val="000000"/>
          <w:rtl/>
        </w:rPr>
        <w:t xml:space="preserve">מר </w:t>
      </w:r>
      <w:r w:rsidR="00B66CC0" w:rsidRPr="00DA1C06">
        <w:rPr>
          <w:rFonts w:asciiTheme="minorHAnsi" w:hAnsiTheme="minorHAnsi" w:cstheme="minorHAnsi"/>
          <w:color w:val="000000"/>
          <w:rtl/>
        </w:rPr>
        <w:t>דניאל חחיאשוילי</w:t>
      </w:r>
      <w:r w:rsidR="00EA2F0E" w:rsidRPr="00DA1C06">
        <w:rPr>
          <w:rFonts w:asciiTheme="minorHAnsi" w:hAnsiTheme="minorHAnsi" w:cstheme="minorHAnsi"/>
          <w:color w:val="000000"/>
          <w:rtl/>
        </w:rPr>
        <w:t xml:space="preserve"> (להלן- "המפקח")</w:t>
      </w:r>
      <w:r w:rsidRPr="00DA1C06">
        <w:rPr>
          <w:rFonts w:asciiTheme="minorHAnsi" w:hAnsiTheme="minorHAnsi" w:cstheme="minorHAnsi"/>
          <w:color w:val="000000"/>
          <w:rtl/>
        </w:rPr>
        <w:t xml:space="preserve">, </w:t>
      </w:r>
      <w:r w:rsidR="00EA2F0E" w:rsidRPr="00DA1C06">
        <w:rPr>
          <w:rFonts w:asciiTheme="minorHAnsi" w:hAnsiTheme="minorHAnsi" w:cstheme="minorHAnsi"/>
          <w:color w:val="000000"/>
          <w:rtl/>
        </w:rPr>
        <w:t xml:space="preserve">וחברות הוועדה- </w:t>
      </w:r>
      <w:proofErr w:type="spellStart"/>
      <w:r w:rsidRPr="00DA1C06">
        <w:rPr>
          <w:rFonts w:asciiTheme="minorHAnsi" w:hAnsiTheme="minorHAnsi" w:cstheme="minorHAnsi"/>
          <w:color w:val="000000"/>
          <w:rtl/>
        </w:rPr>
        <w:t>ראשת</w:t>
      </w:r>
      <w:proofErr w:type="spellEnd"/>
      <w:r w:rsidRPr="00DA1C06">
        <w:rPr>
          <w:rFonts w:asciiTheme="minorHAnsi" w:hAnsiTheme="minorHAnsi" w:cstheme="minorHAnsi"/>
          <w:color w:val="000000"/>
          <w:rtl/>
        </w:rPr>
        <w:t xml:space="preserve"> הרשות לאיסור הלבנת הון ומימון טרור, עו"ד </w:t>
      </w:r>
      <w:r w:rsidRPr="00DA1C06">
        <w:rPr>
          <w:rFonts w:asciiTheme="minorHAnsi" w:hAnsiTheme="minorHAnsi" w:cstheme="minorHAnsi"/>
          <w:rtl/>
        </w:rPr>
        <w:t xml:space="preserve">עילית </w:t>
      </w:r>
      <w:proofErr w:type="spellStart"/>
      <w:r w:rsidR="00EA2F0E" w:rsidRPr="00DA1C06">
        <w:rPr>
          <w:rFonts w:asciiTheme="minorHAnsi" w:hAnsiTheme="minorHAnsi" w:cstheme="minorHAnsi"/>
          <w:rtl/>
        </w:rPr>
        <w:t>אוסטרוביץ</w:t>
      </w:r>
      <w:proofErr w:type="spellEnd"/>
      <w:r w:rsidR="00EA2F0E" w:rsidRPr="00DA1C06">
        <w:rPr>
          <w:rFonts w:asciiTheme="minorHAnsi" w:hAnsiTheme="minorHAnsi" w:cstheme="minorHAnsi"/>
          <w:rtl/>
        </w:rPr>
        <w:t>-</w:t>
      </w:r>
      <w:r w:rsidRPr="00DA1C06">
        <w:rPr>
          <w:rFonts w:asciiTheme="minorHAnsi" w:hAnsiTheme="minorHAnsi" w:cstheme="minorHAnsi"/>
          <w:rtl/>
        </w:rPr>
        <w:t>לוי</w:t>
      </w:r>
      <w:r w:rsidR="00B66CC0" w:rsidRPr="00DA1C06">
        <w:rPr>
          <w:rFonts w:asciiTheme="minorHAnsi" w:hAnsiTheme="minorHAnsi" w:cstheme="minorHAnsi"/>
          <w:rtl/>
        </w:rPr>
        <w:t>,</w:t>
      </w:r>
      <w:r w:rsidRPr="00DA1C06">
        <w:rPr>
          <w:rFonts w:asciiTheme="minorHAnsi" w:hAnsiTheme="minorHAnsi" w:cstheme="minorHAnsi"/>
          <w:rtl/>
        </w:rPr>
        <w:t xml:space="preserve"> ו</w:t>
      </w:r>
      <w:r w:rsidR="00B66CC0" w:rsidRPr="00DA1C06">
        <w:rPr>
          <w:rFonts w:asciiTheme="minorHAnsi" w:hAnsiTheme="minorHAnsi" w:cstheme="minorHAnsi"/>
          <w:rtl/>
        </w:rPr>
        <w:t xml:space="preserve">סגנית המפקח על הבנקים, </w:t>
      </w:r>
      <w:r w:rsidRPr="00DA1C06">
        <w:rPr>
          <w:rFonts w:asciiTheme="minorHAnsi" w:hAnsiTheme="minorHAnsi" w:cstheme="minorHAnsi"/>
          <w:rtl/>
        </w:rPr>
        <w:t xml:space="preserve">גב' </w:t>
      </w:r>
      <w:r w:rsidR="00B66CC0" w:rsidRPr="00DA1C06">
        <w:rPr>
          <w:rFonts w:asciiTheme="minorHAnsi" w:hAnsiTheme="minorHAnsi" w:cstheme="minorHAnsi"/>
          <w:rtl/>
        </w:rPr>
        <w:t>רויטל קיסר-סטויה</w:t>
      </w:r>
      <w:r w:rsidRPr="00DA1C06">
        <w:rPr>
          <w:rFonts w:asciiTheme="minorHAnsi" w:hAnsiTheme="minorHAnsi" w:cstheme="minorHAnsi"/>
          <w:rtl/>
        </w:rPr>
        <w:t>.</w:t>
      </w:r>
      <w:r w:rsidRPr="00DA1C06">
        <w:rPr>
          <w:rFonts w:asciiTheme="minorHAnsi" w:hAnsiTheme="minorHAnsi" w:cstheme="minorHAnsi"/>
          <w:color w:val="000000"/>
          <w:rtl/>
        </w:rPr>
        <w:t xml:space="preserve"> </w:t>
      </w:r>
    </w:p>
    <w:p w:rsidR="007111C6" w:rsidRPr="00DA1C06" w:rsidRDefault="007111C6" w:rsidP="00B66CC0">
      <w:pPr>
        <w:rPr>
          <w:rFonts w:asciiTheme="minorHAnsi" w:hAnsiTheme="minorHAnsi" w:cstheme="minorHAnsi"/>
          <w:rtl/>
        </w:rPr>
      </w:pPr>
    </w:p>
    <w:p w:rsidR="007111C6" w:rsidRPr="00DA1C06" w:rsidRDefault="007111C6" w:rsidP="00EA2F0E">
      <w:pPr>
        <w:rPr>
          <w:rFonts w:asciiTheme="minorHAnsi" w:hAnsiTheme="minorHAnsi" w:cstheme="minorHAnsi"/>
          <w:rtl/>
        </w:rPr>
      </w:pPr>
      <w:r w:rsidRPr="00DA1C06">
        <w:rPr>
          <w:rFonts w:asciiTheme="minorHAnsi" w:hAnsiTheme="minorHAnsi" w:cstheme="minorHAnsi"/>
          <w:rtl/>
        </w:rPr>
        <w:t xml:space="preserve">בנוסף, </w:t>
      </w:r>
      <w:r w:rsidR="00EA2F0E" w:rsidRPr="00DA1C06">
        <w:rPr>
          <w:rFonts w:asciiTheme="minorHAnsi" w:hAnsiTheme="minorHAnsi" w:cstheme="minorHAnsi"/>
          <w:rtl/>
        </w:rPr>
        <w:t xml:space="preserve">ובהתאם לסעיף 14ח(א)(1) לפקודת הבנקאות, 1941 ("הפקודה"), </w:t>
      </w:r>
      <w:r w:rsidRPr="00DA1C06">
        <w:rPr>
          <w:rFonts w:asciiTheme="minorHAnsi" w:hAnsiTheme="minorHAnsi" w:cstheme="minorHAnsi"/>
          <w:rtl/>
        </w:rPr>
        <w:t xml:space="preserve">בסמכות המפקח , להטיל עיצום כספי בגין הפרות של הוראות ניהול בנקאי תקין. </w:t>
      </w:r>
    </w:p>
    <w:p w:rsidR="007111C6" w:rsidRPr="00DA1C06" w:rsidRDefault="007111C6" w:rsidP="00B66CC0">
      <w:pPr>
        <w:rPr>
          <w:rFonts w:asciiTheme="minorHAnsi" w:hAnsiTheme="minorHAnsi" w:cstheme="minorHAnsi"/>
          <w:rtl/>
        </w:rPr>
      </w:pPr>
    </w:p>
    <w:p w:rsidR="007111C6" w:rsidRPr="00DA1C06" w:rsidRDefault="00B66CC0" w:rsidP="00B05FB4">
      <w:pPr>
        <w:spacing w:after="240"/>
        <w:rPr>
          <w:rFonts w:asciiTheme="minorHAnsi" w:hAnsiTheme="minorHAnsi" w:cstheme="minorHAnsi"/>
          <w:rtl/>
        </w:rPr>
      </w:pPr>
      <w:r w:rsidRPr="00DA1C06">
        <w:rPr>
          <w:rFonts w:asciiTheme="minorHAnsi" w:hAnsiTheme="minorHAnsi" w:cstheme="minorHAnsi"/>
          <w:rtl/>
        </w:rPr>
        <w:t xml:space="preserve">במסגרת תהליכי </w:t>
      </w:r>
      <w:r w:rsidR="00F42A7C" w:rsidRPr="00DA1C06">
        <w:rPr>
          <w:rFonts w:asciiTheme="minorHAnsi" w:hAnsiTheme="minorHAnsi" w:cstheme="minorHAnsi"/>
          <w:rtl/>
        </w:rPr>
        <w:t xml:space="preserve">ביקורת </w:t>
      </w:r>
      <w:r w:rsidR="00434892" w:rsidRPr="00DA1C06">
        <w:rPr>
          <w:rFonts w:asciiTheme="minorHAnsi" w:hAnsiTheme="minorHAnsi" w:cstheme="minorHAnsi"/>
          <w:rtl/>
        </w:rPr>
        <w:t>שביצע</w:t>
      </w:r>
      <w:r w:rsidR="001E6A90" w:rsidRPr="00DA1C06">
        <w:rPr>
          <w:rFonts w:asciiTheme="minorHAnsi" w:hAnsiTheme="minorHAnsi" w:cstheme="minorHAnsi"/>
          <w:rtl/>
        </w:rPr>
        <w:t xml:space="preserve"> </w:t>
      </w:r>
      <w:r w:rsidR="00F42A7C" w:rsidRPr="00DA1C06">
        <w:rPr>
          <w:rFonts w:asciiTheme="minorHAnsi" w:hAnsiTheme="minorHAnsi" w:cstheme="minorHAnsi"/>
          <w:rtl/>
        </w:rPr>
        <w:t>הפיקוח על הבנקים</w:t>
      </w:r>
      <w:r w:rsidR="00434892" w:rsidRPr="00DA1C06">
        <w:rPr>
          <w:rFonts w:asciiTheme="minorHAnsi" w:hAnsiTheme="minorHAnsi" w:cstheme="minorHAnsi"/>
          <w:rtl/>
        </w:rPr>
        <w:t xml:space="preserve"> ותהליכי בקרה שנערכו על ידי </w:t>
      </w:r>
      <w:r w:rsidR="001E6A90" w:rsidRPr="00DA1C06">
        <w:rPr>
          <w:rFonts w:asciiTheme="minorHAnsi" w:hAnsiTheme="minorHAnsi" w:cstheme="minorHAnsi"/>
          <w:rtl/>
        </w:rPr>
        <w:t xml:space="preserve">התאגידים הבנקאיים </w:t>
      </w:r>
      <w:r w:rsidRPr="00DA1C06">
        <w:rPr>
          <w:rFonts w:asciiTheme="minorHAnsi" w:hAnsiTheme="minorHAnsi" w:cstheme="minorHAnsi"/>
          <w:rtl/>
        </w:rPr>
        <w:t xml:space="preserve">בהיבטי איסור הלבנת הון ומימון טרור, </w:t>
      </w:r>
      <w:r w:rsidR="009D2AB3" w:rsidRPr="00DA1C06">
        <w:rPr>
          <w:rFonts w:asciiTheme="minorHAnsi" w:hAnsiTheme="minorHAnsi" w:cstheme="minorHAnsi"/>
          <w:rtl/>
        </w:rPr>
        <w:t xml:space="preserve">כפי שיפורט להלן, </w:t>
      </w:r>
      <w:r w:rsidRPr="00DA1C06">
        <w:rPr>
          <w:rFonts w:asciiTheme="minorHAnsi" w:hAnsiTheme="minorHAnsi" w:cstheme="minorHAnsi"/>
          <w:rtl/>
        </w:rPr>
        <w:t>נמצאו מספר מקרים בהם התאגידים הבנקאיים הפרו חובות מכוח צו איסור הלבנת הון (חובות זיהוי, דיווח וניהול רישומים של תאגידים בנקאיים למניעת הלבנת הון ומימון טרור), התשס"א-2001</w:t>
      </w:r>
      <w:r w:rsidR="005E10A3" w:rsidRPr="00DA1C06">
        <w:rPr>
          <w:rFonts w:asciiTheme="minorHAnsi" w:hAnsiTheme="minorHAnsi" w:cstheme="minorHAnsi"/>
          <w:rtl/>
        </w:rPr>
        <w:t xml:space="preserve"> (להלן – "הצו")</w:t>
      </w:r>
      <w:r w:rsidR="00C24E0B" w:rsidRPr="00DA1C06">
        <w:rPr>
          <w:rFonts w:asciiTheme="minorHAnsi" w:hAnsiTheme="minorHAnsi" w:cstheme="minorHAnsi"/>
          <w:rtl/>
        </w:rPr>
        <w:t xml:space="preserve"> </w:t>
      </w:r>
      <w:r w:rsidR="009D2AB3" w:rsidRPr="00DA1C06">
        <w:rPr>
          <w:rFonts w:asciiTheme="minorHAnsi" w:hAnsiTheme="minorHAnsi" w:cstheme="minorHAnsi"/>
          <w:rtl/>
        </w:rPr>
        <w:t xml:space="preserve">או הפרות של </w:t>
      </w:r>
      <w:r w:rsidR="00C24E0B" w:rsidRPr="00DA1C06">
        <w:rPr>
          <w:rFonts w:asciiTheme="minorHAnsi" w:hAnsiTheme="minorHAnsi" w:cstheme="minorHAnsi"/>
          <w:rtl/>
        </w:rPr>
        <w:t>הוראת ניהול בנקאי תקין 411 בנושא "ניהול סיכוני איסור הלבנת הון ומימון טרור (להלן – "ההוראה")</w:t>
      </w:r>
      <w:r w:rsidRPr="00DA1C06">
        <w:rPr>
          <w:rFonts w:asciiTheme="minorHAnsi" w:hAnsiTheme="minorHAnsi" w:cstheme="minorHAnsi"/>
          <w:rtl/>
        </w:rPr>
        <w:t xml:space="preserve">. </w:t>
      </w:r>
    </w:p>
    <w:p w:rsidR="00F664DE" w:rsidRPr="00DA1C06" w:rsidRDefault="00B05FB4" w:rsidP="007111C6">
      <w:pPr>
        <w:spacing w:after="240"/>
        <w:rPr>
          <w:rFonts w:asciiTheme="minorHAnsi" w:hAnsiTheme="minorHAnsi" w:cstheme="minorHAnsi"/>
          <w:b/>
          <w:bCs/>
          <w:rtl/>
        </w:rPr>
      </w:pPr>
      <w:r w:rsidRPr="00DA1C06">
        <w:rPr>
          <w:rFonts w:asciiTheme="minorHAnsi" w:hAnsiTheme="minorHAnsi" w:cstheme="minorHAnsi"/>
          <w:rtl/>
        </w:rPr>
        <w:t xml:space="preserve">על רקע </w:t>
      </w:r>
      <w:r w:rsidR="00B66CC0" w:rsidRPr="00DA1C06">
        <w:rPr>
          <w:rFonts w:asciiTheme="minorHAnsi" w:hAnsiTheme="minorHAnsi" w:cstheme="minorHAnsi"/>
          <w:rtl/>
        </w:rPr>
        <w:t xml:space="preserve">האמור, </w:t>
      </w:r>
      <w:r w:rsidR="00A574BA" w:rsidRPr="00DA1C06">
        <w:rPr>
          <w:rFonts w:asciiTheme="minorHAnsi" w:hAnsiTheme="minorHAnsi" w:cstheme="minorHAnsi"/>
          <w:b/>
          <w:bCs/>
          <w:rtl/>
        </w:rPr>
        <w:t>הוועדה</w:t>
      </w:r>
      <w:r w:rsidR="007111C6" w:rsidRPr="00DA1C06">
        <w:rPr>
          <w:rFonts w:asciiTheme="minorHAnsi" w:hAnsiTheme="minorHAnsi" w:cstheme="minorHAnsi"/>
          <w:b/>
          <w:bCs/>
          <w:rtl/>
        </w:rPr>
        <w:t xml:space="preserve"> והמפקח</w:t>
      </w:r>
      <w:r w:rsidR="00F664DE" w:rsidRPr="00DA1C06">
        <w:rPr>
          <w:rFonts w:asciiTheme="minorHAnsi" w:hAnsiTheme="minorHAnsi" w:cstheme="minorHAnsi"/>
          <w:b/>
          <w:bCs/>
          <w:rtl/>
        </w:rPr>
        <w:t xml:space="preserve"> החליט</w:t>
      </w:r>
      <w:r w:rsidR="007111C6" w:rsidRPr="00DA1C06">
        <w:rPr>
          <w:rFonts w:asciiTheme="minorHAnsi" w:hAnsiTheme="minorHAnsi" w:cstheme="minorHAnsi"/>
          <w:b/>
          <w:bCs/>
          <w:rtl/>
        </w:rPr>
        <w:t>ו</w:t>
      </w:r>
      <w:r w:rsidR="00B66CC0" w:rsidRPr="00DA1C06">
        <w:rPr>
          <w:rFonts w:asciiTheme="minorHAnsi" w:hAnsiTheme="minorHAnsi" w:cstheme="minorHAnsi"/>
          <w:b/>
          <w:bCs/>
          <w:rtl/>
        </w:rPr>
        <w:t xml:space="preserve"> על הטלת העיצומים הכספיים להלן</w:t>
      </w:r>
      <w:r w:rsidR="00B66CC0" w:rsidRPr="00DA1C06">
        <w:rPr>
          <w:rFonts w:asciiTheme="minorHAnsi" w:hAnsiTheme="minorHAnsi" w:cstheme="minorHAnsi"/>
          <w:rtl/>
        </w:rPr>
        <w:t>:</w:t>
      </w:r>
      <w:r w:rsidR="00F664DE" w:rsidRPr="00DA1C06">
        <w:rPr>
          <w:rFonts w:asciiTheme="minorHAnsi" w:hAnsiTheme="minorHAnsi" w:cstheme="minorHAnsi"/>
          <w:rtl/>
        </w:rPr>
        <w:t xml:space="preserve"> </w:t>
      </w:r>
    </w:p>
    <w:p w:rsidR="003D0BDA" w:rsidRPr="00DA1C06" w:rsidRDefault="003D0BDA" w:rsidP="003D0BDA">
      <w:pPr>
        <w:pStyle w:val="ae"/>
        <w:numPr>
          <w:ilvl w:val="0"/>
          <w:numId w:val="4"/>
        </w:numPr>
        <w:tabs>
          <w:tab w:val="clear" w:pos="567"/>
          <w:tab w:val="left" w:pos="651"/>
        </w:tabs>
        <w:spacing w:after="240"/>
        <w:rPr>
          <w:rFonts w:asciiTheme="minorHAnsi" w:hAnsiTheme="minorHAnsi" w:cstheme="minorHAnsi"/>
          <w:b/>
          <w:bCs/>
          <w:u w:val="single"/>
        </w:rPr>
      </w:pPr>
      <w:r w:rsidRPr="00DA1C06">
        <w:rPr>
          <w:rFonts w:asciiTheme="minorHAnsi" w:hAnsiTheme="minorHAnsi" w:cstheme="minorHAnsi"/>
          <w:b/>
          <w:bCs/>
          <w:u w:val="single"/>
          <w:rtl/>
        </w:rPr>
        <w:t xml:space="preserve">בנק לאומי לישראל בע"מ - הפרות של הוראת סעיף 8(א)(7) לצו, בגינן הוחלט על הטלת עיצום כספי בסך 3,300,000 ש"ח. </w:t>
      </w:r>
    </w:p>
    <w:p w:rsidR="003D0BDA" w:rsidRPr="00DA1C06" w:rsidRDefault="003D0BDA" w:rsidP="003D0BDA">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 xml:space="preserve">במסגרת תהליכי ביקורת שביצע הפיקוח על הבנקים </w:t>
      </w:r>
      <w:r w:rsidRPr="00DA1C06">
        <w:rPr>
          <w:rFonts w:asciiTheme="minorHAnsi" w:hAnsiTheme="minorHAnsi" w:cstheme="minorHAnsi"/>
          <w:rtl/>
          <w:lang w:eastAsia="he-IL"/>
        </w:rPr>
        <w:t xml:space="preserve">בנוגע לדיווחים שדווחו לרשות לאיסור הלבנת הון ומימון טרור, נמצאו שתי הפרות של סעיף 8(א)(7) לצו, וזאת משום שהבנק לא </w:t>
      </w:r>
      <w:r w:rsidRPr="00DA1C06">
        <w:rPr>
          <w:rFonts w:asciiTheme="minorHAnsi" w:hAnsiTheme="minorHAnsi" w:cstheme="minorHAnsi"/>
          <w:rtl/>
        </w:rPr>
        <w:t xml:space="preserve">העביר, בשתי </w:t>
      </w:r>
      <w:r w:rsidRPr="00DA1C06">
        <w:rPr>
          <w:rFonts w:asciiTheme="minorHAnsi" w:hAnsiTheme="minorHAnsi" w:cstheme="minorHAnsi"/>
          <w:rtl/>
        </w:rPr>
        <w:lastRenderedPageBreak/>
        <w:t>תקופות שונות, דיווחים לפי גודל הפעולה בהתייחס להעברות מחוץ לארץ, בהן הבנק שימש הן כקורספונדנט והן כבנק הנעבר שהוא יעדו הסופי של סכום הכספים שהועברו מחוץ לארץ לישראל. אי העברת הדיווחים בתקופה הראשונה נבעה</w:t>
      </w:r>
      <w:r w:rsidRPr="00DA1C06">
        <w:rPr>
          <w:rFonts w:asciiTheme="minorHAnsi" w:hAnsiTheme="minorHAnsi" w:cstheme="minorHAnsi"/>
          <w:rtl/>
          <w:lang w:eastAsia="he-IL"/>
        </w:rPr>
        <w:t xml:space="preserve"> מפרשנות הבנק בהתייחס לחובת הדיווח, ובתקופה השנייה נבעה מכשל </w:t>
      </w:r>
      <w:proofErr w:type="spellStart"/>
      <w:r w:rsidRPr="00DA1C06">
        <w:rPr>
          <w:rFonts w:asciiTheme="minorHAnsi" w:hAnsiTheme="minorHAnsi" w:cstheme="minorHAnsi"/>
          <w:rtl/>
          <w:lang w:eastAsia="he-IL"/>
        </w:rPr>
        <w:t>מיכוני</w:t>
      </w:r>
      <w:proofErr w:type="spellEnd"/>
      <w:r w:rsidRPr="00DA1C06">
        <w:rPr>
          <w:rFonts w:asciiTheme="minorHAnsi" w:hAnsiTheme="minorHAnsi" w:cstheme="minorHAnsi"/>
          <w:rtl/>
          <w:lang w:eastAsia="he-IL"/>
        </w:rPr>
        <w:t xml:space="preserve"> בתהליכי הניטור והבקרה בבנק.</w:t>
      </w:r>
      <w:r w:rsidRPr="00DA1C06">
        <w:rPr>
          <w:rFonts w:asciiTheme="minorHAnsi" w:hAnsiTheme="minorHAnsi" w:cstheme="minorHAnsi"/>
          <w:rtl/>
        </w:rPr>
        <w:t xml:space="preserve"> על רקע ממצאים אלו, החליטה הוועדה להטיל על הבנק עיצום כספי, בנוגע לשתי התקופות השונות, בסך כולל של 3,300,000 ש"ח.</w:t>
      </w:r>
    </w:p>
    <w:p w:rsidR="003D0BDA" w:rsidRPr="00DA1C06" w:rsidRDefault="003D0BDA" w:rsidP="00AD0E23">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לעיון בהחלטה ופירוט ההפרות שאותרו, שיקולי ההחלטה והטעמים להטלת העיצום ראו: החלטה על הטלת עיצום כספי בשל הפרות של צו איסור הלבנת הון</w:t>
      </w:r>
      <w:r w:rsidR="00AD0E23" w:rsidRPr="00DA1C06">
        <w:rPr>
          <w:rFonts w:asciiTheme="minorHAnsi" w:hAnsiTheme="minorHAnsi" w:cstheme="minorHAnsi"/>
          <w:rtl/>
        </w:rPr>
        <w:t>.</w:t>
      </w:r>
    </w:p>
    <w:p w:rsidR="003D0BDA" w:rsidRPr="00DA1C06" w:rsidRDefault="003D0BDA" w:rsidP="003D0BDA">
      <w:pPr>
        <w:pStyle w:val="ae"/>
        <w:numPr>
          <w:ilvl w:val="0"/>
          <w:numId w:val="4"/>
        </w:numPr>
        <w:tabs>
          <w:tab w:val="clear" w:pos="567"/>
          <w:tab w:val="left" w:pos="651"/>
        </w:tabs>
        <w:spacing w:after="240"/>
        <w:rPr>
          <w:rFonts w:asciiTheme="minorHAnsi" w:hAnsiTheme="minorHAnsi" w:cstheme="minorHAnsi"/>
          <w:b/>
          <w:bCs/>
          <w:u w:val="single"/>
        </w:rPr>
      </w:pPr>
      <w:r w:rsidRPr="00DA1C06">
        <w:rPr>
          <w:rFonts w:asciiTheme="minorHAnsi" w:hAnsiTheme="minorHAnsi" w:cstheme="minorHAnsi"/>
          <w:b/>
          <w:bCs/>
          <w:u w:val="single"/>
          <w:rtl/>
        </w:rPr>
        <w:t xml:space="preserve"> בנק ירושלים בע"מ - הפרה של הוראות סעיף 2א, 9 ו-13א לצו, ואת הוראת סעיף 32 להוראה, בגינן הוחלט על הטלת עיצום כספי בסך כולל של 2,850,000 מיליון ש"ח.</w:t>
      </w:r>
    </w:p>
    <w:p w:rsidR="003D0BDA" w:rsidRPr="00DA1C06" w:rsidRDefault="003D0BDA" w:rsidP="003D0BDA">
      <w:pPr>
        <w:tabs>
          <w:tab w:val="clear" w:pos="567"/>
          <w:tab w:val="left" w:pos="651"/>
        </w:tabs>
        <w:spacing w:after="240"/>
        <w:rPr>
          <w:rFonts w:asciiTheme="minorHAnsi" w:hAnsiTheme="minorHAnsi" w:cstheme="minorHAnsi"/>
          <w:b/>
          <w:bCs/>
          <w:u w:val="single"/>
          <w:rtl/>
        </w:rPr>
      </w:pPr>
      <w:r w:rsidRPr="00DA1C06">
        <w:rPr>
          <w:rFonts w:asciiTheme="minorHAnsi" w:hAnsiTheme="minorHAnsi" w:cstheme="minorHAnsi"/>
          <w:rtl/>
        </w:rPr>
        <w:t xml:space="preserve">במסגרת תהליכי ביקורת שביצע הפיקוח על הבנקים בנושא איסור מימון טרור, נמצאו בבנק מספר הפרות של הוראות הצו והפרה של ההוראה. בתוך כך עלה, כי הבנק הפר את סעיף 2א לצו לעניין "הכר את הלקוח", היות ונמצאו שני חשבונות שבהם שאלוני הכר את הלקוח לא שיקפו את הפעילות הקיימת בחשבון. בנוסף, נמצא כי הבנק הפר את סעיף 9 לצו לעניין דיווח על פעילות בלתי רגילה לרשות, בארבע הפרות שונות בהן הבנק לא דיווח על </w:t>
      </w:r>
      <w:r w:rsidRPr="00DA1C06">
        <w:rPr>
          <w:rFonts w:asciiTheme="minorHAnsi" w:hAnsiTheme="minorHAnsi" w:cstheme="minorHAnsi"/>
          <w:rtl/>
          <w:lang w:eastAsia="he-IL"/>
        </w:rPr>
        <w:t>פעולות בלתי רגילות שהתנהלו בארבעה חשבונות, על אף שניתן היה לזהותן ככאלה בהתאם לתבחינים שונים המנויים בתוספת השנייה לצו.</w:t>
      </w:r>
      <w:r w:rsidRPr="00DA1C06">
        <w:rPr>
          <w:rFonts w:asciiTheme="minorHAnsi" w:hAnsiTheme="minorHAnsi" w:cstheme="minorHAnsi"/>
          <w:rtl/>
        </w:rPr>
        <w:t xml:space="preserve"> כמו כן נמצא, שהבנק הפר שתי הפרות של סעיף 13א(3) לצו לעניין חובת בדיקה מול הרשימה. על רקע ממצאים אלו, ולאור העובדה שננקטו פעולות לתיקון ההפרות, החליטה הוועדה להטיל על הבנק עיצום כספי בסך של 2,600,000 ש"ח.</w:t>
      </w:r>
    </w:p>
    <w:p w:rsidR="003D0BDA" w:rsidRPr="00DA1C06" w:rsidRDefault="003D0BDA" w:rsidP="003D0BDA">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 xml:space="preserve">בנוסף, נמצא כי הבנק הפר את סעיף 32 להוראה לעניין ניהול מערכת ממוחשבת לאיתור פעילות חריגה בכל חשבונות הלקוחות וכן לפעולות שלא נרשמות בחשבון לקוח, כך שכ-1,200 חשבונות נגרעו ממאגר הלקוחות </w:t>
      </w:r>
      <w:proofErr w:type="spellStart"/>
      <w:r w:rsidRPr="00DA1C06">
        <w:rPr>
          <w:rFonts w:asciiTheme="minorHAnsi" w:hAnsiTheme="minorHAnsi" w:cstheme="minorHAnsi"/>
          <w:rtl/>
        </w:rPr>
        <w:t>המנוטרים</w:t>
      </w:r>
      <w:proofErr w:type="spellEnd"/>
      <w:r w:rsidRPr="00DA1C06">
        <w:rPr>
          <w:rFonts w:asciiTheme="minorHAnsi" w:hAnsiTheme="minorHAnsi" w:cstheme="minorHAnsi"/>
          <w:rtl/>
        </w:rPr>
        <w:t xml:space="preserve"> על-ידי המערכת הממוחשבת של הבנק. על רקע ממצאים אלו, ולאור העובדה שננקטו פעולות לתיקון ההפרה, החליט המפקח להטיל עיצום כספי בסך של 250,000 ש"ח.</w:t>
      </w:r>
    </w:p>
    <w:p w:rsidR="003D0BDA" w:rsidRPr="00DA1C06" w:rsidRDefault="003D0BDA" w:rsidP="00AD0E23">
      <w:pPr>
        <w:tabs>
          <w:tab w:val="clear" w:pos="567"/>
          <w:tab w:val="left" w:pos="651"/>
        </w:tabs>
        <w:spacing w:after="240"/>
        <w:rPr>
          <w:rFonts w:asciiTheme="minorHAnsi" w:hAnsiTheme="minorHAnsi" w:cstheme="minorHAnsi"/>
        </w:rPr>
      </w:pPr>
      <w:r w:rsidRPr="00DA1C06">
        <w:rPr>
          <w:rFonts w:asciiTheme="minorHAnsi" w:hAnsiTheme="minorHAnsi" w:cstheme="minorHAnsi"/>
          <w:rtl/>
        </w:rPr>
        <w:t>לעיון בהחלטה ופירוט ההפרות שאותרו, שיקולי ההחלטה והטעמים להטלת העיצום ראו: החלטה על הטלת עיצום כספי בשל הפרות של צו איסור הלבנת הון</w:t>
      </w:r>
      <w:r w:rsidR="00AD0E23" w:rsidRPr="00DA1C06">
        <w:rPr>
          <w:rFonts w:asciiTheme="minorHAnsi" w:hAnsiTheme="minorHAnsi" w:cstheme="minorHAnsi"/>
          <w:rtl/>
        </w:rPr>
        <w:t>.</w:t>
      </w:r>
    </w:p>
    <w:p w:rsidR="003D0BDA" w:rsidRPr="00DA1C06" w:rsidRDefault="003D0BDA" w:rsidP="00AD0E23">
      <w:pPr>
        <w:tabs>
          <w:tab w:val="clear" w:pos="567"/>
          <w:tab w:val="left" w:pos="651"/>
        </w:tabs>
        <w:spacing w:after="240"/>
        <w:rPr>
          <w:rFonts w:asciiTheme="minorHAnsi" w:hAnsiTheme="minorHAnsi" w:cstheme="minorHAnsi"/>
        </w:rPr>
      </w:pPr>
      <w:r w:rsidRPr="00DA1C06">
        <w:rPr>
          <w:rFonts w:asciiTheme="minorHAnsi" w:hAnsiTheme="minorHAnsi" w:cstheme="minorHAnsi"/>
          <w:rtl/>
        </w:rPr>
        <w:t>לעיון בהחלטה ופירוט ההפרה שאותרה, שיקולי ההחלטה והטעמים להטלת העיצום ראו: החלטה על הטלת עיצום כספי בשל הפרות של הוראת ניהול בנקאי תקין 411</w:t>
      </w:r>
      <w:r w:rsidR="00AD0E23" w:rsidRPr="00DA1C06">
        <w:rPr>
          <w:rFonts w:asciiTheme="minorHAnsi" w:hAnsiTheme="minorHAnsi" w:cstheme="minorHAnsi"/>
          <w:rtl/>
        </w:rPr>
        <w:t>.</w:t>
      </w:r>
    </w:p>
    <w:p w:rsidR="003D0BDA" w:rsidRPr="00DA1C06" w:rsidRDefault="003D0BDA" w:rsidP="003D0BDA">
      <w:pPr>
        <w:pStyle w:val="ae"/>
        <w:numPr>
          <w:ilvl w:val="0"/>
          <w:numId w:val="4"/>
        </w:numPr>
        <w:tabs>
          <w:tab w:val="clear" w:pos="567"/>
          <w:tab w:val="left" w:pos="651"/>
        </w:tabs>
        <w:spacing w:after="240"/>
        <w:rPr>
          <w:rFonts w:asciiTheme="minorHAnsi" w:hAnsiTheme="minorHAnsi" w:cstheme="minorHAnsi"/>
          <w:b/>
          <w:bCs/>
          <w:u w:val="single"/>
        </w:rPr>
      </w:pPr>
      <w:r w:rsidRPr="00DA1C06">
        <w:rPr>
          <w:rFonts w:asciiTheme="minorHAnsi" w:hAnsiTheme="minorHAnsi" w:cstheme="minorHAnsi"/>
          <w:b/>
          <w:bCs/>
          <w:u w:val="single"/>
          <w:rtl/>
        </w:rPr>
        <w:lastRenderedPageBreak/>
        <w:t>בנק דיסקונט בע"מ - הפרה של הוראות סעיף 2א ו- 13א(3) לצו, בגינן הוחלט על הטלת עיצום כספי בסך 2,400,000 ש"ח.</w:t>
      </w:r>
    </w:p>
    <w:p w:rsidR="003D0BDA" w:rsidRPr="00DA1C06" w:rsidRDefault="003D0BDA" w:rsidP="003D0BDA">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במסגרת תהליכי ביקורת שביצע הפיקוח על הבנקים בנושא איסור מימון טרור, נמצאו בבנק מספר הפרות של הוראות הצו. בתוך כך עלה, כי הבנק הפר את הוראות סעיף 2א לצו לעניין "הכר את הלקוח", לנוכח העדר נהלים ותהליכי עבודה המתייחסים לטיפול בצווי תפיסה.</w:t>
      </w:r>
      <w:r w:rsidRPr="00DA1C06" w:rsidDel="001C5C35">
        <w:rPr>
          <w:rStyle w:val="22"/>
          <w:rFonts w:asciiTheme="minorHAnsi" w:hAnsiTheme="minorHAnsi" w:cstheme="minorHAnsi"/>
          <w:rtl/>
        </w:rPr>
        <w:t xml:space="preserve"> </w:t>
      </w:r>
      <w:r w:rsidRPr="00DA1C06">
        <w:rPr>
          <w:rFonts w:asciiTheme="minorHAnsi" w:hAnsiTheme="minorHAnsi" w:cstheme="minorHAnsi"/>
          <w:rtl/>
        </w:rPr>
        <w:t>בנוסף, נ</w:t>
      </w:r>
      <w:r w:rsidRPr="00DA1C06">
        <w:rPr>
          <w:rFonts w:asciiTheme="minorHAnsi" w:hAnsiTheme="minorHAnsi" w:cstheme="minorHAnsi"/>
          <w:rtl/>
          <w:lang w:eastAsia="he-IL"/>
        </w:rPr>
        <w:t xml:space="preserve">מצאו שתי הפרות של סעיף 13א(3) לצו, שמקורן בשתי תקלות טכנולוגיות נפרדות, אשר הביאו לכך שהבנק סרק את שמות הצדדים הנגדיים בעת ביצוע העברות בינלאומיות אל מול רשימות שאינן מעודכנות. </w:t>
      </w:r>
      <w:r w:rsidRPr="00DA1C06">
        <w:rPr>
          <w:rFonts w:asciiTheme="minorHAnsi" w:hAnsiTheme="minorHAnsi" w:cstheme="minorHAnsi"/>
          <w:rtl/>
        </w:rPr>
        <w:t>על רקע ממצאים אלו, ולאור העובדה שננקטו פעולות לתיקון ההפרה, החליטה הוועדה להטיל על הבנק עיצום כספי בסך כולל של 2,400,000 ש"ח.</w:t>
      </w:r>
    </w:p>
    <w:p w:rsidR="003D0BDA" w:rsidRPr="00DA1C06" w:rsidRDefault="003D0BDA" w:rsidP="00AD0E23">
      <w:pPr>
        <w:tabs>
          <w:tab w:val="clear" w:pos="567"/>
          <w:tab w:val="left" w:pos="651"/>
        </w:tabs>
        <w:spacing w:after="240"/>
        <w:rPr>
          <w:rFonts w:asciiTheme="minorHAnsi" w:hAnsiTheme="minorHAnsi" w:cstheme="minorHAnsi"/>
        </w:rPr>
      </w:pPr>
      <w:r w:rsidRPr="00DA1C06">
        <w:rPr>
          <w:rFonts w:asciiTheme="minorHAnsi" w:hAnsiTheme="minorHAnsi" w:cstheme="minorHAnsi"/>
          <w:rtl/>
        </w:rPr>
        <w:t>לעיון בהחלטה ופירוט ההפרות שאותרו, שיקולי ההחלטה והטעמים להטלת העיצום ראו: החלטה על הטלת עיצום כספי בשל הפרות של צו איסור הלבנת הון</w:t>
      </w:r>
      <w:r w:rsidR="00AD0E23" w:rsidRPr="00DA1C06">
        <w:rPr>
          <w:rFonts w:asciiTheme="minorHAnsi" w:hAnsiTheme="minorHAnsi" w:cstheme="minorHAnsi"/>
          <w:rtl/>
        </w:rPr>
        <w:t>.</w:t>
      </w:r>
    </w:p>
    <w:p w:rsidR="00B66CC0" w:rsidRPr="00DA1C06" w:rsidRDefault="005E10A3" w:rsidP="003D0BDA">
      <w:pPr>
        <w:pStyle w:val="ae"/>
        <w:numPr>
          <w:ilvl w:val="0"/>
          <w:numId w:val="4"/>
        </w:numPr>
        <w:tabs>
          <w:tab w:val="clear" w:pos="567"/>
          <w:tab w:val="left" w:pos="651"/>
        </w:tabs>
        <w:spacing w:after="240"/>
        <w:rPr>
          <w:rFonts w:asciiTheme="minorHAnsi" w:hAnsiTheme="minorHAnsi" w:cstheme="minorHAnsi"/>
          <w:b/>
          <w:bCs/>
          <w:u w:val="single"/>
        </w:rPr>
      </w:pPr>
      <w:r w:rsidRPr="00DA1C06">
        <w:rPr>
          <w:rFonts w:asciiTheme="minorHAnsi" w:hAnsiTheme="minorHAnsi" w:cstheme="minorHAnsi"/>
          <w:b/>
          <w:bCs/>
          <w:u w:val="single"/>
        </w:rPr>
        <w:t>Citibank N.A</w:t>
      </w:r>
      <w:r w:rsidRPr="00DA1C06">
        <w:rPr>
          <w:rFonts w:asciiTheme="minorHAnsi" w:hAnsiTheme="minorHAnsi" w:cstheme="minorHAnsi"/>
          <w:b/>
          <w:bCs/>
          <w:u w:val="single"/>
          <w:rtl/>
        </w:rPr>
        <w:t xml:space="preserve"> </w:t>
      </w:r>
      <w:r w:rsidR="00B05FB4" w:rsidRPr="00DA1C06">
        <w:rPr>
          <w:rFonts w:asciiTheme="minorHAnsi" w:hAnsiTheme="minorHAnsi" w:cstheme="minorHAnsi"/>
          <w:b/>
          <w:bCs/>
          <w:u w:val="single"/>
          <w:rtl/>
        </w:rPr>
        <w:t>- הפרה של</w:t>
      </w:r>
      <w:r w:rsidRPr="00DA1C06">
        <w:rPr>
          <w:rFonts w:asciiTheme="minorHAnsi" w:hAnsiTheme="minorHAnsi" w:cstheme="minorHAnsi"/>
          <w:b/>
          <w:bCs/>
          <w:u w:val="single"/>
          <w:rtl/>
        </w:rPr>
        <w:t xml:space="preserve"> הוראת סעיף 8(א</w:t>
      </w:r>
      <w:proofErr w:type="gramStart"/>
      <w:r w:rsidRPr="00DA1C06">
        <w:rPr>
          <w:rFonts w:asciiTheme="minorHAnsi" w:hAnsiTheme="minorHAnsi" w:cstheme="minorHAnsi"/>
          <w:b/>
          <w:bCs/>
          <w:u w:val="single"/>
          <w:rtl/>
        </w:rPr>
        <w:t>)(</w:t>
      </w:r>
      <w:proofErr w:type="gramEnd"/>
      <w:r w:rsidRPr="00DA1C06">
        <w:rPr>
          <w:rFonts w:asciiTheme="minorHAnsi" w:hAnsiTheme="minorHAnsi" w:cstheme="minorHAnsi"/>
          <w:b/>
          <w:bCs/>
          <w:u w:val="single"/>
          <w:rtl/>
        </w:rPr>
        <w:t xml:space="preserve">7) לצו, בגינה הוחלט על הטלת עיצום כספי בסך </w:t>
      </w:r>
      <w:r w:rsidR="007D5044" w:rsidRPr="00DA1C06">
        <w:rPr>
          <w:rFonts w:asciiTheme="minorHAnsi" w:hAnsiTheme="minorHAnsi" w:cstheme="minorHAnsi"/>
          <w:b/>
          <w:bCs/>
          <w:u w:val="single"/>
          <w:rtl/>
        </w:rPr>
        <w:t>1,650,000</w:t>
      </w:r>
      <w:r w:rsidRPr="00DA1C06">
        <w:rPr>
          <w:rFonts w:asciiTheme="minorHAnsi" w:hAnsiTheme="minorHAnsi" w:cstheme="minorHAnsi"/>
          <w:b/>
          <w:bCs/>
          <w:u w:val="single"/>
          <w:rtl/>
        </w:rPr>
        <w:t xml:space="preserve"> ש"ח. </w:t>
      </w:r>
    </w:p>
    <w:p w:rsidR="001E6A90" w:rsidRPr="00DA1C06" w:rsidRDefault="001E6A90" w:rsidP="00B05FB4">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במסגרת תהליכי בקרה ומעקב</w:t>
      </w:r>
      <w:r w:rsidR="00F42A7C" w:rsidRPr="00DA1C06">
        <w:rPr>
          <w:rFonts w:asciiTheme="minorHAnsi" w:hAnsiTheme="minorHAnsi" w:cstheme="minorHAnsi"/>
          <w:rtl/>
        </w:rPr>
        <w:t xml:space="preserve"> פנימיים</w:t>
      </w:r>
      <w:r w:rsidRPr="00DA1C06">
        <w:rPr>
          <w:rFonts w:asciiTheme="minorHAnsi" w:hAnsiTheme="minorHAnsi" w:cstheme="minorHAnsi"/>
          <w:rtl/>
        </w:rPr>
        <w:t xml:space="preserve"> ש</w:t>
      </w:r>
      <w:r w:rsidR="009D2AB3" w:rsidRPr="00DA1C06">
        <w:rPr>
          <w:rFonts w:asciiTheme="minorHAnsi" w:hAnsiTheme="minorHAnsi" w:cstheme="minorHAnsi"/>
          <w:rtl/>
        </w:rPr>
        <w:t xml:space="preserve">ביצע </w:t>
      </w:r>
      <w:r w:rsidRPr="00DA1C06">
        <w:rPr>
          <w:rFonts w:asciiTheme="minorHAnsi" w:hAnsiTheme="minorHAnsi" w:cstheme="minorHAnsi"/>
          <w:rtl/>
        </w:rPr>
        <w:t xml:space="preserve">הבנק, התגלה כי הבנק </w:t>
      </w:r>
      <w:r w:rsidR="009D2AB3" w:rsidRPr="00DA1C06">
        <w:rPr>
          <w:rFonts w:asciiTheme="minorHAnsi" w:hAnsiTheme="minorHAnsi" w:cstheme="minorHAnsi"/>
          <w:rtl/>
        </w:rPr>
        <w:t xml:space="preserve">מעולם </w:t>
      </w:r>
      <w:r w:rsidRPr="00DA1C06">
        <w:rPr>
          <w:rFonts w:asciiTheme="minorHAnsi" w:hAnsiTheme="minorHAnsi" w:cstheme="minorHAnsi"/>
          <w:rtl/>
        </w:rPr>
        <w:t xml:space="preserve">לא העביר דיווח לפי גודל הפעולה בהתאם לסעיף 8(א)(7) לצו בהתייחס להעברות שקליות בין חשבונות של אותה חברה או בין חשבונות של חברות השייכות לאותה קבוצת חברות, זאת כתוצאה מכשל </w:t>
      </w:r>
      <w:proofErr w:type="spellStart"/>
      <w:r w:rsidRPr="00DA1C06">
        <w:rPr>
          <w:rFonts w:asciiTheme="minorHAnsi" w:hAnsiTheme="minorHAnsi" w:cstheme="minorHAnsi"/>
          <w:rtl/>
        </w:rPr>
        <w:t>מיכוני</w:t>
      </w:r>
      <w:proofErr w:type="spellEnd"/>
      <w:r w:rsidRPr="00DA1C06">
        <w:rPr>
          <w:rFonts w:asciiTheme="minorHAnsi" w:hAnsiTheme="minorHAnsi" w:cstheme="minorHAnsi"/>
          <w:rtl/>
        </w:rPr>
        <w:t xml:space="preserve"> בתהליכי הניטור והבקרה בבנק לעניין דיווחים לרשות לאיסור הלבנת הון (להלן – "הרשות"). מדובר בהפרה חמורה ומערכתית, שארעה לאורך תקופה ארוכה. </w:t>
      </w:r>
      <w:r w:rsidR="00B05FB4" w:rsidRPr="00DA1C06">
        <w:rPr>
          <w:rFonts w:asciiTheme="minorHAnsi" w:hAnsiTheme="minorHAnsi" w:cstheme="minorHAnsi"/>
          <w:rtl/>
        </w:rPr>
        <w:t xml:space="preserve">על רקע </w:t>
      </w:r>
      <w:r w:rsidRPr="00DA1C06">
        <w:rPr>
          <w:rFonts w:asciiTheme="minorHAnsi" w:hAnsiTheme="minorHAnsi" w:cstheme="minorHAnsi"/>
          <w:rtl/>
        </w:rPr>
        <w:t>ממצאים אלו, החליטה הוועדה להטיל על הבנק עיצום כספי בסך 1,650,000 ש"ח.</w:t>
      </w:r>
    </w:p>
    <w:p w:rsidR="005E10A3" w:rsidRPr="00DA1C06" w:rsidRDefault="00543425" w:rsidP="00AD0E23">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ל</w:t>
      </w:r>
      <w:r w:rsidR="001E6A90" w:rsidRPr="00DA1C06">
        <w:rPr>
          <w:rFonts w:asciiTheme="minorHAnsi" w:hAnsiTheme="minorHAnsi" w:cstheme="minorHAnsi"/>
          <w:rtl/>
        </w:rPr>
        <w:t>עיון בהחלטה ופירוט ההפרות שאותרו, שיקולי ההחלטה והטעמים להטלת העיצום ראו: החלטה על הטלת עיצום כספי בשל הפרות של צו איסור הלבנת הון</w:t>
      </w:r>
      <w:r w:rsidR="00AD0E23" w:rsidRPr="00DA1C06">
        <w:rPr>
          <w:rFonts w:asciiTheme="minorHAnsi" w:hAnsiTheme="minorHAnsi" w:cstheme="minorHAnsi"/>
          <w:rtl/>
        </w:rPr>
        <w:t>.</w:t>
      </w:r>
    </w:p>
    <w:p w:rsidR="005E10A3" w:rsidRPr="00DA1C06" w:rsidRDefault="005E10A3" w:rsidP="003D0BDA">
      <w:pPr>
        <w:pStyle w:val="ae"/>
        <w:numPr>
          <w:ilvl w:val="0"/>
          <w:numId w:val="4"/>
        </w:numPr>
        <w:tabs>
          <w:tab w:val="clear" w:pos="567"/>
          <w:tab w:val="left" w:pos="651"/>
        </w:tabs>
        <w:spacing w:after="240"/>
        <w:rPr>
          <w:rFonts w:asciiTheme="minorHAnsi" w:hAnsiTheme="minorHAnsi" w:cstheme="minorHAnsi"/>
          <w:b/>
          <w:bCs/>
          <w:u w:val="single"/>
        </w:rPr>
      </w:pPr>
      <w:r w:rsidRPr="00DA1C06">
        <w:rPr>
          <w:rFonts w:asciiTheme="minorHAnsi" w:hAnsiTheme="minorHAnsi" w:cstheme="minorHAnsi"/>
          <w:b/>
          <w:bCs/>
          <w:u w:val="single"/>
        </w:rPr>
        <w:t>HSBC Bank plc</w:t>
      </w:r>
      <w:r w:rsidRPr="00DA1C06">
        <w:rPr>
          <w:rFonts w:asciiTheme="minorHAnsi" w:hAnsiTheme="minorHAnsi" w:cstheme="minorHAnsi"/>
          <w:b/>
          <w:bCs/>
          <w:u w:val="single"/>
          <w:rtl/>
        </w:rPr>
        <w:t xml:space="preserve"> </w:t>
      </w:r>
      <w:r w:rsidR="00B05FB4" w:rsidRPr="00DA1C06">
        <w:rPr>
          <w:rFonts w:asciiTheme="minorHAnsi" w:hAnsiTheme="minorHAnsi" w:cstheme="minorHAnsi"/>
          <w:b/>
          <w:bCs/>
          <w:u w:val="single"/>
          <w:rtl/>
        </w:rPr>
        <w:t xml:space="preserve">- הפרה של </w:t>
      </w:r>
      <w:r w:rsidRPr="00DA1C06">
        <w:rPr>
          <w:rFonts w:asciiTheme="minorHAnsi" w:hAnsiTheme="minorHAnsi" w:cstheme="minorHAnsi"/>
          <w:b/>
          <w:bCs/>
          <w:u w:val="single"/>
          <w:rtl/>
        </w:rPr>
        <w:t>הוראת סעיף 8(א</w:t>
      </w:r>
      <w:proofErr w:type="gramStart"/>
      <w:r w:rsidRPr="00DA1C06">
        <w:rPr>
          <w:rFonts w:asciiTheme="minorHAnsi" w:hAnsiTheme="minorHAnsi" w:cstheme="minorHAnsi"/>
          <w:b/>
          <w:bCs/>
          <w:u w:val="single"/>
          <w:rtl/>
        </w:rPr>
        <w:t>)(</w:t>
      </w:r>
      <w:proofErr w:type="gramEnd"/>
      <w:r w:rsidRPr="00DA1C06">
        <w:rPr>
          <w:rFonts w:asciiTheme="minorHAnsi" w:hAnsiTheme="minorHAnsi" w:cstheme="minorHAnsi"/>
          <w:b/>
          <w:bCs/>
          <w:u w:val="single"/>
          <w:rtl/>
        </w:rPr>
        <w:t>7) לצו, בגינה הוחלט על הטלת עיצום כספי בסך 200</w:t>
      </w:r>
      <w:r w:rsidR="000D4D5E" w:rsidRPr="00DA1C06">
        <w:rPr>
          <w:rFonts w:asciiTheme="minorHAnsi" w:hAnsiTheme="minorHAnsi" w:cstheme="minorHAnsi"/>
          <w:b/>
          <w:bCs/>
          <w:u w:val="single"/>
          <w:rtl/>
        </w:rPr>
        <w:t xml:space="preserve">,000 </w:t>
      </w:r>
      <w:r w:rsidRPr="00DA1C06">
        <w:rPr>
          <w:rFonts w:asciiTheme="minorHAnsi" w:hAnsiTheme="minorHAnsi" w:cstheme="minorHAnsi"/>
          <w:b/>
          <w:bCs/>
          <w:u w:val="single"/>
          <w:rtl/>
        </w:rPr>
        <w:t>ש"ח.</w:t>
      </w:r>
    </w:p>
    <w:p w:rsidR="001E6A90" w:rsidRPr="00DA1C06" w:rsidRDefault="000D4D5E" w:rsidP="00B05FB4">
      <w:pPr>
        <w:tabs>
          <w:tab w:val="clear" w:pos="567"/>
          <w:tab w:val="left" w:pos="651"/>
        </w:tabs>
        <w:spacing w:after="240"/>
        <w:rPr>
          <w:rFonts w:asciiTheme="minorHAnsi" w:hAnsiTheme="minorHAnsi" w:cstheme="minorHAnsi"/>
          <w:rtl/>
        </w:rPr>
      </w:pPr>
      <w:r w:rsidRPr="00DA1C06">
        <w:rPr>
          <w:rFonts w:asciiTheme="minorHAnsi" w:hAnsiTheme="minorHAnsi" w:cstheme="minorHAnsi"/>
          <w:rtl/>
        </w:rPr>
        <w:t xml:space="preserve">במסגרת תהליכי בקרה ומעקב </w:t>
      </w:r>
      <w:r w:rsidR="00D92F8A" w:rsidRPr="00DA1C06">
        <w:rPr>
          <w:rFonts w:asciiTheme="minorHAnsi" w:hAnsiTheme="minorHAnsi" w:cstheme="minorHAnsi"/>
          <w:rtl/>
        </w:rPr>
        <w:t xml:space="preserve">פנימיים </w:t>
      </w:r>
      <w:r w:rsidRPr="00DA1C06">
        <w:rPr>
          <w:rFonts w:asciiTheme="minorHAnsi" w:hAnsiTheme="minorHAnsi" w:cstheme="minorHAnsi"/>
          <w:rtl/>
        </w:rPr>
        <w:t>ש</w:t>
      </w:r>
      <w:r w:rsidR="009D2AB3" w:rsidRPr="00DA1C06">
        <w:rPr>
          <w:rFonts w:asciiTheme="minorHAnsi" w:hAnsiTheme="minorHAnsi" w:cstheme="minorHAnsi"/>
          <w:rtl/>
        </w:rPr>
        <w:t xml:space="preserve">ביצע </w:t>
      </w:r>
      <w:r w:rsidRPr="00DA1C06">
        <w:rPr>
          <w:rFonts w:asciiTheme="minorHAnsi" w:hAnsiTheme="minorHAnsi" w:cstheme="minorHAnsi"/>
          <w:rtl/>
        </w:rPr>
        <w:t xml:space="preserve">הבנק, התגלה כי הבנק לא העביר דיווחים לפי גודל הפעולה בהתאם לסעיף 8(א)(7) לצו בהתייחס לארבע פעולות העברה מחוץ לארץ לישראל, זאת כתוצאה מכשל </w:t>
      </w:r>
      <w:proofErr w:type="spellStart"/>
      <w:r w:rsidRPr="00DA1C06">
        <w:rPr>
          <w:rFonts w:asciiTheme="minorHAnsi" w:hAnsiTheme="minorHAnsi" w:cstheme="minorHAnsi"/>
          <w:rtl/>
        </w:rPr>
        <w:t>מיכוני</w:t>
      </w:r>
      <w:proofErr w:type="spellEnd"/>
      <w:r w:rsidRPr="00DA1C06">
        <w:rPr>
          <w:rFonts w:asciiTheme="minorHAnsi" w:hAnsiTheme="minorHAnsi" w:cstheme="minorHAnsi"/>
          <w:rtl/>
        </w:rPr>
        <w:t xml:space="preserve"> במערכת הדיווחים לרשות. </w:t>
      </w:r>
      <w:r w:rsidR="009D2AB3" w:rsidRPr="00DA1C06">
        <w:rPr>
          <w:rFonts w:asciiTheme="minorHAnsi" w:hAnsiTheme="minorHAnsi" w:cstheme="minorHAnsi"/>
          <w:rtl/>
        </w:rPr>
        <w:t>הוועדה קבעה, כי</w:t>
      </w:r>
      <w:r w:rsidRPr="00DA1C06">
        <w:rPr>
          <w:rFonts w:asciiTheme="minorHAnsi" w:hAnsiTheme="minorHAnsi" w:cstheme="minorHAnsi"/>
          <w:rtl/>
        </w:rPr>
        <w:t xml:space="preserve"> מקור ההפרה הוא בכשל מקומי ומדובר בהפרה בהיקף נמוך. </w:t>
      </w:r>
      <w:r w:rsidR="00B05FB4" w:rsidRPr="00DA1C06">
        <w:rPr>
          <w:rFonts w:asciiTheme="minorHAnsi" w:hAnsiTheme="minorHAnsi" w:cstheme="minorHAnsi"/>
          <w:rtl/>
        </w:rPr>
        <w:t xml:space="preserve">על רקע </w:t>
      </w:r>
      <w:r w:rsidRPr="00DA1C06">
        <w:rPr>
          <w:rFonts w:asciiTheme="minorHAnsi" w:hAnsiTheme="minorHAnsi" w:cstheme="minorHAnsi"/>
          <w:rtl/>
        </w:rPr>
        <w:t>ממצאים אלו, ו</w:t>
      </w:r>
      <w:r w:rsidR="00B05FB4" w:rsidRPr="00DA1C06">
        <w:rPr>
          <w:rFonts w:asciiTheme="minorHAnsi" w:hAnsiTheme="minorHAnsi" w:cstheme="minorHAnsi"/>
          <w:rtl/>
        </w:rPr>
        <w:t>לאור</w:t>
      </w:r>
      <w:r w:rsidRPr="00DA1C06">
        <w:rPr>
          <w:rFonts w:asciiTheme="minorHAnsi" w:hAnsiTheme="minorHAnsi" w:cstheme="minorHAnsi"/>
          <w:rtl/>
        </w:rPr>
        <w:t xml:space="preserve"> העובדה שננקטו פעולות לתיקון ההפרה, החליטה הוועדה להטיל על הבנק עיצום כספי בסך של 200,000 ש"ח.</w:t>
      </w:r>
    </w:p>
    <w:p w:rsidR="000D4D5E" w:rsidRPr="00DA1C06" w:rsidRDefault="00543425" w:rsidP="00AD0E23">
      <w:pPr>
        <w:tabs>
          <w:tab w:val="clear" w:pos="567"/>
          <w:tab w:val="left" w:pos="651"/>
        </w:tabs>
        <w:spacing w:after="240"/>
        <w:rPr>
          <w:rFonts w:asciiTheme="minorHAnsi" w:hAnsiTheme="minorHAnsi" w:cstheme="minorHAnsi"/>
        </w:rPr>
      </w:pPr>
      <w:r w:rsidRPr="00DA1C06">
        <w:rPr>
          <w:rFonts w:asciiTheme="minorHAnsi" w:hAnsiTheme="minorHAnsi" w:cstheme="minorHAnsi"/>
          <w:rtl/>
        </w:rPr>
        <w:lastRenderedPageBreak/>
        <w:t>ל</w:t>
      </w:r>
      <w:r w:rsidR="000D4D5E" w:rsidRPr="00DA1C06">
        <w:rPr>
          <w:rFonts w:asciiTheme="minorHAnsi" w:hAnsiTheme="minorHAnsi" w:cstheme="minorHAnsi"/>
          <w:rtl/>
        </w:rPr>
        <w:t>עיון בהחלטה ופירוט ההפרות שאותרו, שיקולי ההחלטה והטעמים להטלת העיצום ראו: החלטה על הטלת עיצום כספי בשל הפרות של צו איסור הלבנת הון</w:t>
      </w:r>
      <w:r w:rsidR="00AD0E23" w:rsidRPr="00DA1C06">
        <w:rPr>
          <w:rFonts w:asciiTheme="minorHAnsi" w:hAnsiTheme="minorHAnsi" w:cstheme="minorHAnsi"/>
          <w:rtl/>
        </w:rPr>
        <w:t>.</w:t>
      </w:r>
    </w:p>
    <w:p w:rsidR="001C457D" w:rsidRPr="00DA1C06" w:rsidRDefault="001C457D">
      <w:pPr>
        <w:rPr>
          <w:rFonts w:asciiTheme="minorHAnsi" w:hAnsiTheme="minorHAnsi" w:cstheme="minorHAnsi"/>
        </w:rPr>
      </w:pPr>
    </w:p>
    <w:sectPr w:rsidR="001C457D" w:rsidRPr="00DA1C06" w:rsidSect="00E62F2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05" w:rsidRDefault="00E40F05" w:rsidP="00B66CC0">
      <w:pPr>
        <w:spacing w:line="240" w:lineRule="auto"/>
      </w:pPr>
      <w:r>
        <w:separator/>
      </w:r>
    </w:p>
  </w:endnote>
  <w:endnote w:type="continuationSeparator" w:id="0">
    <w:p w:rsidR="00E40F05" w:rsidRDefault="00E40F05" w:rsidP="00B66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C0" w:rsidRDefault="00B66C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C0" w:rsidRDefault="00B66CC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C0" w:rsidRDefault="00B66C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05" w:rsidRDefault="00E40F05" w:rsidP="00B66CC0">
      <w:pPr>
        <w:spacing w:line="240" w:lineRule="auto"/>
      </w:pPr>
      <w:r>
        <w:separator/>
      </w:r>
    </w:p>
  </w:footnote>
  <w:footnote w:type="continuationSeparator" w:id="0">
    <w:p w:rsidR="00E40F05" w:rsidRDefault="00E40F05" w:rsidP="00B66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C0" w:rsidRDefault="00B66C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C0" w:rsidRDefault="00B66C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C0" w:rsidRDefault="00B66C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071"/>
    <w:multiLevelType w:val="hybridMultilevel"/>
    <w:tmpl w:val="2940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044A4"/>
    <w:multiLevelType w:val="hybridMultilevel"/>
    <w:tmpl w:val="ACF4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07851"/>
    <w:multiLevelType w:val="multilevel"/>
    <w:tmpl w:val="8F9AB302"/>
    <w:lvl w:ilvl="0">
      <w:start w:val="1"/>
      <w:numFmt w:val="decimal"/>
      <w:pStyle w:val="1"/>
      <w:lvlText w:val="%1."/>
      <w:lvlJc w:val="left"/>
      <w:pPr>
        <w:tabs>
          <w:tab w:val="num" w:pos="562"/>
        </w:tabs>
        <w:ind w:left="562" w:hanging="562"/>
      </w:pPr>
      <w:rPr>
        <w:rFonts w:cs="Times New Roman" w:hint="default"/>
      </w:rPr>
    </w:lvl>
    <w:lvl w:ilvl="1">
      <w:start w:val="1"/>
      <w:numFmt w:val="decimal"/>
      <w:pStyle w:val="2"/>
      <w:lvlText w:val="%1.%2."/>
      <w:lvlJc w:val="left"/>
      <w:pPr>
        <w:tabs>
          <w:tab w:val="num" w:pos="1138"/>
        </w:tabs>
        <w:ind w:left="1138" w:hanging="576"/>
      </w:pPr>
      <w:rPr>
        <w:rFonts w:cs="Times New Roman" w:hint="default"/>
      </w:rPr>
    </w:lvl>
    <w:lvl w:ilvl="2">
      <w:start w:val="1"/>
      <w:numFmt w:val="decimal"/>
      <w:pStyle w:val="3"/>
      <w:lvlText w:val="%1.%2.%3."/>
      <w:lvlJc w:val="left"/>
      <w:pPr>
        <w:tabs>
          <w:tab w:val="num" w:pos="1872"/>
        </w:tabs>
        <w:ind w:left="1872" w:hanging="734"/>
      </w:pPr>
      <w:rPr>
        <w:rFonts w:cs="Times New Roman" w:hint="default"/>
      </w:rPr>
    </w:lvl>
    <w:lvl w:ilvl="3">
      <w:start w:val="1"/>
      <w:numFmt w:val="decimal"/>
      <w:pStyle w:val="4"/>
      <w:lvlText w:val="%1.%2.%3.%4."/>
      <w:lvlJc w:val="left"/>
      <w:pPr>
        <w:tabs>
          <w:tab w:val="num" w:pos="2779"/>
        </w:tabs>
        <w:ind w:left="2779" w:hanging="907"/>
      </w:pPr>
      <w:rPr>
        <w:rFonts w:cs="Times New Roman" w:hint="default"/>
        <w:sz w:val="24"/>
        <w:szCs w:val="24"/>
      </w:rPr>
    </w:lvl>
    <w:lvl w:ilvl="4">
      <w:start w:val="1"/>
      <w:numFmt w:val="decimal"/>
      <w:lvlText w:val="%1.%2.%3.%4.%5."/>
      <w:lvlJc w:val="center"/>
      <w:pPr>
        <w:tabs>
          <w:tab w:val="num" w:pos="2799"/>
        </w:tabs>
        <w:ind w:left="2799" w:hanging="792"/>
      </w:pPr>
      <w:rPr>
        <w:rFonts w:cs="Times New Roman" w:hint="default"/>
      </w:rPr>
    </w:lvl>
    <w:lvl w:ilvl="5">
      <w:start w:val="1"/>
      <w:numFmt w:val="decimal"/>
      <w:lvlText w:val="%1.%2.%3.%4.%5.%6."/>
      <w:lvlJc w:val="center"/>
      <w:pPr>
        <w:tabs>
          <w:tab w:val="num" w:pos="3303"/>
        </w:tabs>
        <w:ind w:left="3303" w:hanging="936"/>
      </w:pPr>
      <w:rPr>
        <w:rFonts w:cs="Times New Roman" w:hint="default"/>
      </w:rPr>
    </w:lvl>
    <w:lvl w:ilvl="6">
      <w:start w:val="1"/>
      <w:numFmt w:val="decimal"/>
      <w:lvlText w:val="%1.%2.%3.%4.%5.%6.%7."/>
      <w:lvlJc w:val="center"/>
      <w:pPr>
        <w:tabs>
          <w:tab w:val="num" w:pos="3807"/>
        </w:tabs>
        <w:ind w:left="3807" w:hanging="1080"/>
      </w:pPr>
      <w:rPr>
        <w:rFonts w:cs="Times New Roman" w:hint="default"/>
      </w:rPr>
    </w:lvl>
    <w:lvl w:ilvl="7">
      <w:start w:val="1"/>
      <w:numFmt w:val="decimal"/>
      <w:lvlText w:val="%1.%2.%3.%4.%5.%6.%7.%8."/>
      <w:lvlJc w:val="center"/>
      <w:pPr>
        <w:tabs>
          <w:tab w:val="num" w:pos="4311"/>
        </w:tabs>
        <w:ind w:left="4311" w:hanging="1224"/>
      </w:pPr>
      <w:rPr>
        <w:rFonts w:cs="Times New Roman" w:hint="default"/>
      </w:rPr>
    </w:lvl>
    <w:lvl w:ilvl="8">
      <w:start w:val="1"/>
      <w:numFmt w:val="decimal"/>
      <w:lvlText w:val="%1.%2.%3.%4.%5.%6.%7.%8.%9."/>
      <w:lvlJc w:val="center"/>
      <w:pPr>
        <w:tabs>
          <w:tab w:val="num" w:pos="4887"/>
        </w:tabs>
        <w:ind w:left="4887" w:hanging="1440"/>
      </w:pPr>
      <w:rPr>
        <w:rFonts w:cs="Times New Roman" w:hint="default"/>
      </w:rPr>
    </w:lvl>
  </w:abstractNum>
  <w:abstractNum w:abstractNumId="3" w15:restartNumberingAfterBreak="0">
    <w:nsid w:val="67D22757"/>
    <w:multiLevelType w:val="hybridMultilevel"/>
    <w:tmpl w:val="C98E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A54C9"/>
    <w:multiLevelType w:val="hybridMultilevel"/>
    <w:tmpl w:val="6094A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04E43"/>
    <w:multiLevelType w:val="hybridMultilevel"/>
    <w:tmpl w:val="03E4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139BF"/>
    <w:multiLevelType w:val="hybridMultilevel"/>
    <w:tmpl w:val="39F25E4A"/>
    <w:lvl w:ilvl="0" w:tplc="FFFFFFFF">
      <w:start w:val="1"/>
      <w:numFmt w:val="chosung"/>
      <w:lvlText w:val=""/>
      <w:legacy w:legacy="1" w:legacySpace="0" w:legacyIndent="360"/>
      <w:lvlJc w:val="center"/>
      <w:pPr>
        <w:ind w:left="360" w:hanging="360"/>
      </w:pPr>
      <w:rPr>
        <w:rFonts w:ascii="Symbol" w:hAnsi="Symbol" w:hint="default"/>
      </w:rPr>
    </w:lvl>
    <w:lvl w:ilvl="1" w:tplc="EB28F6C4">
      <w:start w:val="1"/>
      <w:numFmt w:val="bullet"/>
      <w:lvlText w:val="­"/>
      <w:lvlJc w:val="left"/>
      <w:pPr>
        <w:tabs>
          <w:tab w:val="num" w:pos="1100"/>
        </w:tabs>
        <w:ind w:left="1100" w:hanging="360"/>
      </w:pPr>
      <w:rPr>
        <w:rFonts w:ascii="Courier New" w:hAnsi="Courier New" w:hint="default"/>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5D"/>
    <w:rsid w:val="00060A0C"/>
    <w:rsid w:val="000922F2"/>
    <w:rsid w:val="000932C4"/>
    <w:rsid w:val="000D4D5E"/>
    <w:rsid w:val="00114116"/>
    <w:rsid w:val="00160AA3"/>
    <w:rsid w:val="0016576F"/>
    <w:rsid w:val="00167E64"/>
    <w:rsid w:val="00177C5D"/>
    <w:rsid w:val="001C457D"/>
    <w:rsid w:val="001C5C35"/>
    <w:rsid w:val="001E3AF5"/>
    <w:rsid w:val="001E6A90"/>
    <w:rsid w:val="00236DFB"/>
    <w:rsid w:val="002A5A57"/>
    <w:rsid w:val="002A609E"/>
    <w:rsid w:val="002C732E"/>
    <w:rsid w:val="002D5DCE"/>
    <w:rsid w:val="0030102C"/>
    <w:rsid w:val="00310A04"/>
    <w:rsid w:val="00315E82"/>
    <w:rsid w:val="00377F35"/>
    <w:rsid w:val="00382F3C"/>
    <w:rsid w:val="003D0BDA"/>
    <w:rsid w:val="003D39A2"/>
    <w:rsid w:val="003E7B61"/>
    <w:rsid w:val="003F5A69"/>
    <w:rsid w:val="00401239"/>
    <w:rsid w:val="00434892"/>
    <w:rsid w:val="004F2D23"/>
    <w:rsid w:val="00541AE1"/>
    <w:rsid w:val="00543425"/>
    <w:rsid w:val="0054432C"/>
    <w:rsid w:val="00564912"/>
    <w:rsid w:val="0059745A"/>
    <w:rsid w:val="005E10A3"/>
    <w:rsid w:val="00626B08"/>
    <w:rsid w:val="00653604"/>
    <w:rsid w:val="00674BFC"/>
    <w:rsid w:val="00676311"/>
    <w:rsid w:val="007111C6"/>
    <w:rsid w:val="00724E25"/>
    <w:rsid w:val="00762CFA"/>
    <w:rsid w:val="007A1EA1"/>
    <w:rsid w:val="007D5044"/>
    <w:rsid w:val="007E052E"/>
    <w:rsid w:val="007F7CE7"/>
    <w:rsid w:val="0081046D"/>
    <w:rsid w:val="00837917"/>
    <w:rsid w:val="0086261C"/>
    <w:rsid w:val="008C42C5"/>
    <w:rsid w:val="008F4860"/>
    <w:rsid w:val="0090767A"/>
    <w:rsid w:val="0099601D"/>
    <w:rsid w:val="009D28C6"/>
    <w:rsid w:val="009D2AB3"/>
    <w:rsid w:val="009E2A5D"/>
    <w:rsid w:val="00A2241B"/>
    <w:rsid w:val="00A4226B"/>
    <w:rsid w:val="00A4534E"/>
    <w:rsid w:val="00A53E0A"/>
    <w:rsid w:val="00A56E52"/>
    <w:rsid w:val="00A574BA"/>
    <w:rsid w:val="00A64EAE"/>
    <w:rsid w:val="00A655ED"/>
    <w:rsid w:val="00A703FE"/>
    <w:rsid w:val="00AD0E23"/>
    <w:rsid w:val="00B057B5"/>
    <w:rsid w:val="00B05FB4"/>
    <w:rsid w:val="00B13531"/>
    <w:rsid w:val="00B17E10"/>
    <w:rsid w:val="00B42582"/>
    <w:rsid w:val="00B57C1A"/>
    <w:rsid w:val="00B66CC0"/>
    <w:rsid w:val="00C04011"/>
    <w:rsid w:val="00C24E0B"/>
    <w:rsid w:val="00C42ADF"/>
    <w:rsid w:val="00C544ED"/>
    <w:rsid w:val="00C5595E"/>
    <w:rsid w:val="00C92032"/>
    <w:rsid w:val="00CA0F8E"/>
    <w:rsid w:val="00CA5B85"/>
    <w:rsid w:val="00CC1C24"/>
    <w:rsid w:val="00CC4C91"/>
    <w:rsid w:val="00CC70DA"/>
    <w:rsid w:val="00D92F8A"/>
    <w:rsid w:val="00D95906"/>
    <w:rsid w:val="00D95FC5"/>
    <w:rsid w:val="00DA1C06"/>
    <w:rsid w:val="00DA789C"/>
    <w:rsid w:val="00DD10CB"/>
    <w:rsid w:val="00DE0A1F"/>
    <w:rsid w:val="00E16F8C"/>
    <w:rsid w:val="00E304FA"/>
    <w:rsid w:val="00E31D25"/>
    <w:rsid w:val="00E40F05"/>
    <w:rsid w:val="00E57395"/>
    <w:rsid w:val="00E62F2D"/>
    <w:rsid w:val="00E73406"/>
    <w:rsid w:val="00E816D7"/>
    <w:rsid w:val="00E95236"/>
    <w:rsid w:val="00EA2F0E"/>
    <w:rsid w:val="00EE243C"/>
    <w:rsid w:val="00F1305B"/>
    <w:rsid w:val="00F25093"/>
    <w:rsid w:val="00F32B96"/>
    <w:rsid w:val="00F42A7C"/>
    <w:rsid w:val="00F579BE"/>
    <w:rsid w:val="00F63CB0"/>
    <w:rsid w:val="00F664DE"/>
    <w:rsid w:val="00F97301"/>
    <w:rsid w:val="00FD6B8E"/>
    <w:rsid w:val="00FE3A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EB842"/>
  <w15:chartTrackingRefBased/>
  <w15:docId w15:val="{A2EF0D6A-EED4-413C-9495-22507D03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FB"/>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paragraph" w:styleId="1">
    <w:name w:val="heading 1"/>
    <w:basedOn w:val="a"/>
    <w:link w:val="10"/>
    <w:qFormat/>
    <w:rsid w:val="00DE0A1F"/>
    <w:pPr>
      <w:numPr>
        <w:numId w:val="2"/>
      </w:numPr>
      <w:tabs>
        <w:tab w:val="clear" w:pos="1134"/>
      </w:tabs>
      <w:outlineLvl w:val="0"/>
    </w:pPr>
    <w:rPr>
      <w:kern w:val="28"/>
      <w:sz w:val="22"/>
    </w:rPr>
  </w:style>
  <w:style w:type="paragraph" w:styleId="2">
    <w:name w:val="heading 2"/>
    <w:basedOn w:val="1"/>
    <w:link w:val="20"/>
    <w:qFormat/>
    <w:rsid w:val="00DE0A1F"/>
    <w:pPr>
      <w:numPr>
        <w:ilvl w:val="1"/>
      </w:numPr>
      <w:tabs>
        <w:tab w:val="clear" w:pos="1814"/>
        <w:tab w:val="clear" w:pos="2665"/>
      </w:tabs>
      <w:outlineLvl w:val="1"/>
    </w:pPr>
  </w:style>
  <w:style w:type="paragraph" w:styleId="3">
    <w:name w:val="heading 3"/>
    <w:basedOn w:val="2"/>
    <w:link w:val="30"/>
    <w:qFormat/>
    <w:rsid w:val="00DE0A1F"/>
    <w:pPr>
      <w:numPr>
        <w:ilvl w:val="2"/>
      </w:numPr>
      <w:outlineLvl w:val="2"/>
    </w:pPr>
  </w:style>
  <w:style w:type="paragraph" w:styleId="4">
    <w:name w:val="heading 4"/>
    <w:basedOn w:val="3"/>
    <w:link w:val="40"/>
    <w:qFormat/>
    <w:rsid w:val="00DE0A1F"/>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DFB"/>
    <w:pPr>
      <w:tabs>
        <w:tab w:val="center" w:pos="4153"/>
        <w:tab w:val="right" w:pos="8306"/>
      </w:tabs>
    </w:pPr>
  </w:style>
  <w:style w:type="character" w:customStyle="1" w:styleId="a4">
    <w:name w:val="כותרת עליונה תו"/>
    <w:basedOn w:val="a0"/>
    <w:link w:val="a3"/>
    <w:rsid w:val="00236DFB"/>
    <w:rPr>
      <w:rFonts w:ascii="Times New Roman" w:eastAsia="Times New Roman" w:hAnsi="Times New Roman" w:cs="David"/>
      <w:sz w:val="24"/>
      <w:szCs w:val="24"/>
    </w:rPr>
  </w:style>
  <w:style w:type="character" w:customStyle="1" w:styleId="10">
    <w:name w:val="כותרת 1 תו"/>
    <w:basedOn w:val="a0"/>
    <w:link w:val="1"/>
    <w:rsid w:val="00DE0A1F"/>
    <w:rPr>
      <w:rFonts w:ascii="Times New Roman" w:eastAsia="Times New Roman" w:hAnsi="Times New Roman" w:cs="David"/>
      <w:kern w:val="28"/>
      <w:szCs w:val="24"/>
    </w:rPr>
  </w:style>
  <w:style w:type="character" w:customStyle="1" w:styleId="20">
    <w:name w:val="כותרת 2 תו"/>
    <w:basedOn w:val="a0"/>
    <w:link w:val="2"/>
    <w:rsid w:val="00DE0A1F"/>
    <w:rPr>
      <w:rFonts w:ascii="Times New Roman" w:eastAsia="Times New Roman" w:hAnsi="Times New Roman" w:cs="David"/>
      <w:kern w:val="28"/>
      <w:szCs w:val="24"/>
    </w:rPr>
  </w:style>
  <w:style w:type="character" w:customStyle="1" w:styleId="30">
    <w:name w:val="כותרת 3 תו"/>
    <w:basedOn w:val="a0"/>
    <w:link w:val="3"/>
    <w:rsid w:val="00DE0A1F"/>
    <w:rPr>
      <w:rFonts w:ascii="Times New Roman" w:eastAsia="Times New Roman" w:hAnsi="Times New Roman" w:cs="David"/>
      <w:kern w:val="28"/>
      <w:szCs w:val="24"/>
    </w:rPr>
  </w:style>
  <w:style w:type="character" w:customStyle="1" w:styleId="40">
    <w:name w:val="כותרת 4 תו"/>
    <w:basedOn w:val="a0"/>
    <w:link w:val="4"/>
    <w:rsid w:val="00DE0A1F"/>
    <w:rPr>
      <w:rFonts w:ascii="Times New Roman" w:eastAsia="Times New Roman" w:hAnsi="Times New Roman" w:cs="David"/>
      <w:kern w:val="28"/>
      <w:szCs w:val="24"/>
    </w:rPr>
  </w:style>
  <w:style w:type="character" w:styleId="a5">
    <w:name w:val="annotation reference"/>
    <w:basedOn w:val="a0"/>
    <w:uiPriority w:val="99"/>
    <w:semiHidden/>
    <w:unhideWhenUsed/>
    <w:rsid w:val="00167E64"/>
    <w:rPr>
      <w:sz w:val="16"/>
      <w:szCs w:val="16"/>
    </w:rPr>
  </w:style>
  <w:style w:type="paragraph" w:styleId="a6">
    <w:name w:val="annotation text"/>
    <w:basedOn w:val="a"/>
    <w:link w:val="a7"/>
    <w:uiPriority w:val="99"/>
    <w:semiHidden/>
    <w:unhideWhenUsed/>
    <w:rsid w:val="00167E64"/>
    <w:pPr>
      <w:spacing w:line="240" w:lineRule="auto"/>
    </w:pPr>
    <w:rPr>
      <w:sz w:val="20"/>
      <w:szCs w:val="20"/>
    </w:rPr>
  </w:style>
  <w:style w:type="character" w:customStyle="1" w:styleId="a7">
    <w:name w:val="טקסט הערה תו"/>
    <w:basedOn w:val="a0"/>
    <w:link w:val="a6"/>
    <w:uiPriority w:val="99"/>
    <w:semiHidden/>
    <w:rsid w:val="00167E64"/>
    <w:rPr>
      <w:rFonts w:ascii="Times New Roman" w:eastAsia="Times New Roman" w:hAnsi="Times New Roman" w:cs="David"/>
      <w:sz w:val="20"/>
      <w:szCs w:val="20"/>
    </w:rPr>
  </w:style>
  <w:style w:type="paragraph" w:styleId="a8">
    <w:name w:val="annotation subject"/>
    <w:basedOn w:val="a6"/>
    <w:next w:val="a6"/>
    <w:link w:val="a9"/>
    <w:uiPriority w:val="99"/>
    <w:semiHidden/>
    <w:unhideWhenUsed/>
    <w:rsid w:val="00167E64"/>
    <w:rPr>
      <w:b/>
      <w:bCs/>
    </w:rPr>
  </w:style>
  <w:style w:type="character" w:customStyle="1" w:styleId="a9">
    <w:name w:val="נושא הערה תו"/>
    <w:basedOn w:val="a7"/>
    <w:link w:val="a8"/>
    <w:uiPriority w:val="99"/>
    <w:semiHidden/>
    <w:rsid w:val="00167E64"/>
    <w:rPr>
      <w:rFonts w:ascii="Times New Roman" w:eastAsia="Times New Roman" w:hAnsi="Times New Roman" w:cs="David"/>
      <w:b/>
      <w:bCs/>
      <w:sz w:val="20"/>
      <w:szCs w:val="20"/>
    </w:rPr>
  </w:style>
  <w:style w:type="paragraph" w:styleId="aa">
    <w:name w:val="Balloon Text"/>
    <w:basedOn w:val="a"/>
    <w:link w:val="ab"/>
    <w:uiPriority w:val="99"/>
    <w:semiHidden/>
    <w:unhideWhenUsed/>
    <w:rsid w:val="00167E64"/>
    <w:pPr>
      <w:spacing w:line="240" w:lineRule="auto"/>
    </w:pPr>
    <w:rPr>
      <w:rFonts w:ascii="Tahoma" w:hAnsi="Tahoma" w:cs="Tahoma"/>
      <w:sz w:val="18"/>
      <w:szCs w:val="18"/>
    </w:rPr>
  </w:style>
  <w:style w:type="character" w:customStyle="1" w:styleId="ab">
    <w:name w:val="טקסט בלונים תו"/>
    <w:basedOn w:val="a0"/>
    <w:link w:val="aa"/>
    <w:uiPriority w:val="99"/>
    <w:semiHidden/>
    <w:rsid w:val="00167E64"/>
    <w:rPr>
      <w:rFonts w:ascii="Tahoma" w:eastAsia="Times New Roman" w:hAnsi="Tahoma" w:cs="Tahoma"/>
      <w:sz w:val="18"/>
      <w:szCs w:val="18"/>
    </w:rPr>
  </w:style>
  <w:style w:type="paragraph" w:styleId="ac">
    <w:name w:val="footer"/>
    <w:basedOn w:val="a"/>
    <w:link w:val="ad"/>
    <w:uiPriority w:val="99"/>
    <w:unhideWhenUsed/>
    <w:rsid w:val="00B66CC0"/>
    <w:pPr>
      <w:tabs>
        <w:tab w:val="clear" w:pos="567"/>
        <w:tab w:val="clear" w:pos="1134"/>
        <w:tab w:val="clear" w:pos="1814"/>
        <w:tab w:val="clear" w:pos="2665"/>
        <w:tab w:val="center" w:pos="4153"/>
        <w:tab w:val="right" w:pos="8306"/>
      </w:tabs>
      <w:spacing w:line="240" w:lineRule="auto"/>
    </w:pPr>
  </w:style>
  <w:style w:type="character" w:customStyle="1" w:styleId="ad">
    <w:name w:val="כותרת תחתונה תו"/>
    <w:basedOn w:val="a0"/>
    <w:link w:val="ac"/>
    <w:uiPriority w:val="99"/>
    <w:rsid w:val="00B66CC0"/>
    <w:rPr>
      <w:rFonts w:ascii="Times New Roman" w:eastAsia="Times New Roman" w:hAnsi="Times New Roman" w:cs="David"/>
      <w:sz w:val="24"/>
      <w:szCs w:val="24"/>
    </w:rPr>
  </w:style>
  <w:style w:type="paragraph" w:styleId="ae">
    <w:name w:val="List Paragraph"/>
    <w:basedOn w:val="a"/>
    <w:uiPriority w:val="34"/>
    <w:qFormat/>
    <w:rsid w:val="00B66CC0"/>
    <w:pPr>
      <w:ind w:left="720"/>
      <w:contextualSpacing/>
    </w:pPr>
  </w:style>
  <w:style w:type="character" w:customStyle="1" w:styleId="22">
    <w:name w:val="כותרת 2 תו2"/>
    <w:aliases w:val="Heading 2 תו תו תו תו1,Heading 2 תו תו תו תו תו,Heading 2 תו תו1 תו1,Heading 2 תו תו1 תו תו,Heading 2 תו1 תו תו1,Heading 2 תו1 תו תו תו,Heading 2 תו1 תו1 תו,Heading 2 תו2 תו1,Heading 2 תו2 תו תו,Heading 2_0 תו,כותרת 2 תו תו1,כותרת 2 תו1 תו"/>
    <w:rsid w:val="001C5C35"/>
    <w:rPr>
      <w:rFonts w:cs="David"/>
      <w:kern w:val="2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541">
      <w:bodyDiv w:val="1"/>
      <w:marLeft w:val="0"/>
      <w:marRight w:val="0"/>
      <w:marTop w:val="0"/>
      <w:marBottom w:val="0"/>
      <w:divBdr>
        <w:top w:val="none" w:sz="0" w:space="0" w:color="auto"/>
        <w:left w:val="none" w:sz="0" w:space="0" w:color="auto"/>
        <w:bottom w:val="none" w:sz="0" w:space="0" w:color="auto"/>
        <w:right w:val="none" w:sz="0" w:space="0" w:color="auto"/>
      </w:divBdr>
    </w:div>
    <w:div w:id="10352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6E65-3DA8-4A69-B47B-5AA3F620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4814</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אושרית</dc:creator>
  <cp:keywords/>
  <dc:description/>
  <cp:lastModifiedBy>לירון דהן</cp:lastModifiedBy>
  <cp:revision>2</cp:revision>
  <dcterms:created xsi:type="dcterms:W3CDTF">2024-10-29T08:24:00Z</dcterms:created>
  <dcterms:modified xsi:type="dcterms:W3CDTF">2024-10-29T08:24:00Z</dcterms:modified>
</cp:coreProperties>
</file>