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570C50" w:rsidTr="0029736D">
        <w:tc>
          <w:tcPr>
            <w:tcW w:w="3343" w:type="dxa"/>
            <w:tcBorders>
              <w:top w:val="nil"/>
              <w:left w:val="nil"/>
              <w:bottom w:val="nil"/>
              <w:right w:val="nil"/>
            </w:tcBorders>
            <w:vAlign w:val="center"/>
          </w:tcPr>
          <w:p w:rsidR="009005BA" w:rsidRPr="00570C50" w:rsidRDefault="009005BA" w:rsidP="0029736D">
            <w:pPr>
              <w:rPr>
                <w:rFonts w:cstheme="minorHAnsi"/>
                <w:b/>
                <w:bCs/>
                <w:rtl/>
              </w:rPr>
            </w:pPr>
            <w:r w:rsidRPr="00570C50">
              <w:rPr>
                <w:rFonts w:cstheme="minorHAnsi"/>
                <w:b/>
                <w:bCs/>
                <w:rtl/>
              </w:rPr>
              <w:t>בנק ישראל</w:t>
            </w:r>
          </w:p>
          <w:p w:rsidR="009005BA" w:rsidRPr="00570C50" w:rsidRDefault="009005BA" w:rsidP="0029736D">
            <w:pPr>
              <w:rPr>
                <w:rFonts w:cstheme="minorHAnsi"/>
                <w:b/>
                <w:bCs/>
              </w:rPr>
            </w:pPr>
            <w:r w:rsidRPr="00570C50">
              <w:rPr>
                <w:rFonts w:cstheme="minorHAnsi"/>
                <w:rtl/>
              </w:rPr>
              <w:t>דוברות והסברה כלכלית</w:t>
            </w:r>
          </w:p>
        </w:tc>
        <w:tc>
          <w:tcPr>
            <w:tcW w:w="2596" w:type="dxa"/>
            <w:tcBorders>
              <w:top w:val="nil"/>
              <w:left w:val="nil"/>
              <w:bottom w:val="nil"/>
              <w:right w:val="nil"/>
            </w:tcBorders>
            <w:shd w:val="clear" w:color="auto" w:fill="FFFFFF"/>
          </w:tcPr>
          <w:p w:rsidR="009005BA" w:rsidRPr="00570C50" w:rsidRDefault="009005BA" w:rsidP="0029736D">
            <w:pPr>
              <w:jc w:val="center"/>
              <w:rPr>
                <w:rFonts w:cstheme="minorHAnsi"/>
              </w:rPr>
            </w:pPr>
            <w:r w:rsidRPr="00570C50">
              <w:rPr>
                <w:rFonts w:cstheme="minorHAns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570C50" w:rsidRDefault="009005BA" w:rsidP="009005BA">
            <w:pPr>
              <w:jc w:val="right"/>
              <w:rPr>
                <w:rFonts w:cstheme="minorHAnsi"/>
                <w:rtl/>
              </w:rPr>
            </w:pPr>
            <w:r w:rsidRPr="00570C50">
              <w:rPr>
                <w:rFonts w:cstheme="minorHAnsi"/>
                <w:highlight w:val="green"/>
                <w:rtl/>
              </w:rPr>
              <w:t>‏</w:t>
            </w:r>
            <w:r w:rsidRPr="00570C50">
              <w:rPr>
                <w:rFonts w:cstheme="minorHAnsi"/>
                <w:rtl/>
              </w:rPr>
              <w:t xml:space="preserve">ירושלים, </w:t>
            </w:r>
            <w:r w:rsidRPr="00570C50">
              <w:rPr>
                <w:rFonts w:cstheme="minorHAnsi"/>
                <w:rtl/>
              </w:rPr>
              <w:fldChar w:fldCharType="begin"/>
            </w:r>
            <w:r w:rsidRPr="00570C50">
              <w:rPr>
                <w:rFonts w:cstheme="minorHAnsi"/>
                <w:rtl/>
              </w:rPr>
              <w:instrText xml:space="preserve"> </w:instrText>
            </w:r>
            <w:r w:rsidRPr="00570C50">
              <w:rPr>
                <w:rFonts w:cstheme="minorHAnsi"/>
              </w:rPr>
              <w:instrText>DATE</w:instrText>
            </w:r>
            <w:r w:rsidRPr="00570C50">
              <w:rPr>
                <w:rFonts w:cstheme="minorHAnsi"/>
                <w:rtl/>
              </w:rPr>
              <w:instrText xml:space="preserve"> \@ "</w:instrText>
            </w:r>
            <w:r w:rsidRPr="00570C50">
              <w:rPr>
                <w:rFonts w:cstheme="minorHAnsi"/>
              </w:rPr>
              <w:instrText>d MMMM, yyyy" \h</w:instrText>
            </w:r>
            <w:r w:rsidRPr="00570C50">
              <w:rPr>
                <w:rFonts w:cstheme="minorHAnsi"/>
                <w:rtl/>
              </w:rPr>
              <w:instrText xml:space="preserve"> </w:instrText>
            </w:r>
            <w:r w:rsidRPr="00570C50">
              <w:rPr>
                <w:rFonts w:cstheme="minorHAnsi"/>
                <w:rtl/>
              </w:rPr>
              <w:fldChar w:fldCharType="separate"/>
            </w:r>
            <w:r w:rsidR="00570C50" w:rsidRPr="00570C50">
              <w:rPr>
                <w:rFonts w:cstheme="minorHAnsi"/>
                <w:noProof/>
                <w:rtl/>
              </w:rPr>
              <w:t>‏כ"א סיון, תשפ"ה</w:t>
            </w:r>
            <w:r w:rsidRPr="00570C50">
              <w:rPr>
                <w:rFonts w:cstheme="minorHAnsi"/>
                <w:rtl/>
              </w:rPr>
              <w:fldChar w:fldCharType="end"/>
            </w:r>
          </w:p>
          <w:p w:rsidR="009005BA" w:rsidRPr="00570C50" w:rsidRDefault="009005BA" w:rsidP="009005BA">
            <w:pPr>
              <w:jc w:val="right"/>
              <w:rPr>
                <w:rFonts w:cstheme="minorHAnsi"/>
                <w:highlight w:val="green"/>
              </w:rPr>
            </w:pPr>
            <w:r w:rsidRPr="00570C50">
              <w:rPr>
                <w:rFonts w:cstheme="minorHAnsi"/>
                <w:rtl/>
              </w:rPr>
              <w:fldChar w:fldCharType="begin"/>
            </w:r>
            <w:r w:rsidRPr="00570C50">
              <w:rPr>
                <w:rFonts w:cstheme="minorHAnsi"/>
                <w:rtl/>
              </w:rPr>
              <w:instrText xml:space="preserve"> </w:instrText>
            </w:r>
            <w:r w:rsidRPr="00570C50">
              <w:rPr>
                <w:rFonts w:cstheme="minorHAnsi"/>
              </w:rPr>
              <w:instrText>DATE</w:instrText>
            </w:r>
            <w:r w:rsidRPr="00570C50">
              <w:rPr>
                <w:rFonts w:cstheme="minorHAnsi"/>
                <w:rtl/>
              </w:rPr>
              <w:instrText xml:space="preserve"> \@ "</w:instrText>
            </w:r>
            <w:r w:rsidRPr="00570C50">
              <w:rPr>
                <w:rFonts w:cstheme="minorHAnsi"/>
              </w:rPr>
              <w:instrText>d MMMM, yyyy</w:instrText>
            </w:r>
            <w:r w:rsidRPr="00570C50">
              <w:rPr>
                <w:rFonts w:cstheme="minorHAnsi"/>
                <w:rtl/>
              </w:rPr>
              <w:instrText xml:space="preserve">" </w:instrText>
            </w:r>
            <w:r w:rsidRPr="00570C50">
              <w:rPr>
                <w:rFonts w:cstheme="minorHAnsi"/>
                <w:rtl/>
              </w:rPr>
              <w:fldChar w:fldCharType="separate"/>
            </w:r>
            <w:r w:rsidR="00570C50" w:rsidRPr="00570C50">
              <w:rPr>
                <w:rFonts w:cstheme="minorHAnsi"/>
                <w:noProof/>
                <w:rtl/>
              </w:rPr>
              <w:t>‏17 יוני, 2025</w:t>
            </w:r>
            <w:r w:rsidRPr="00570C50">
              <w:rPr>
                <w:rFonts w:cstheme="minorHAnsi"/>
                <w:rtl/>
              </w:rPr>
              <w:fldChar w:fldCharType="end"/>
            </w:r>
          </w:p>
        </w:tc>
      </w:tr>
    </w:tbl>
    <w:p w:rsidR="009005BA" w:rsidRPr="00570C50" w:rsidRDefault="009005BA" w:rsidP="007B0741">
      <w:pPr>
        <w:tabs>
          <w:tab w:val="left" w:pos="2315"/>
        </w:tabs>
        <w:rPr>
          <w:rFonts w:cstheme="minorHAnsi"/>
          <w:rtl/>
        </w:rPr>
      </w:pPr>
    </w:p>
    <w:p w:rsidR="00D66255" w:rsidRPr="00570C50" w:rsidRDefault="008E761A" w:rsidP="009005BA">
      <w:pPr>
        <w:tabs>
          <w:tab w:val="left" w:pos="2315"/>
        </w:tabs>
        <w:rPr>
          <w:rFonts w:cstheme="minorHAnsi"/>
          <w:rtl/>
        </w:rPr>
      </w:pPr>
      <w:r w:rsidRPr="00570C50">
        <w:rPr>
          <w:rFonts w:cstheme="minorHAnsi"/>
          <w:rtl/>
        </w:rPr>
        <w:t>הודעה לעיתונות:</w:t>
      </w:r>
    </w:p>
    <w:p w:rsidR="00570C50" w:rsidRPr="00570C50" w:rsidRDefault="00570C50" w:rsidP="00570C50">
      <w:pPr>
        <w:tabs>
          <w:tab w:val="left" w:pos="2315"/>
        </w:tabs>
        <w:spacing w:after="0" w:line="360" w:lineRule="auto"/>
        <w:jc w:val="center"/>
        <w:rPr>
          <w:rFonts w:cstheme="minorHAnsi"/>
          <w:b/>
          <w:bCs/>
          <w:sz w:val="24"/>
          <w:szCs w:val="24"/>
          <w:rtl/>
        </w:rPr>
      </w:pPr>
      <w:bookmarkStart w:id="0" w:name="_GoBack"/>
      <w:r w:rsidRPr="00570C50">
        <w:rPr>
          <w:rFonts w:cstheme="minorHAnsi"/>
          <w:b/>
          <w:bCs/>
          <w:sz w:val="24"/>
          <w:szCs w:val="24"/>
          <w:rtl/>
        </w:rPr>
        <w:t>בנק ישראל גיבש מתווה סיוע שאומץ על ידי הבנקים</w:t>
      </w:r>
      <w:r>
        <w:rPr>
          <w:rFonts w:cstheme="minorHAnsi" w:hint="cs"/>
          <w:b/>
          <w:bCs/>
          <w:sz w:val="24"/>
          <w:szCs w:val="24"/>
          <w:rtl/>
        </w:rPr>
        <w:t xml:space="preserve"> </w:t>
      </w:r>
      <w:r w:rsidRPr="00570C50">
        <w:rPr>
          <w:rFonts w:cstheme="minorHAnsi"/>
          <w:b/>
          <w:bCs/>
          <w:sz w:val="24"/>
          <w:szCs w:val="24"/>
          <w:rtl/>
        </w:rPr>
        <w:t xml:space="preserve">במטרה לתמוך בלקוחות המתמודדים עם השלכות מבצע "עם כלביא"  </w:t>
      </w:r>
    </w:p>
    <w:bookmarkEnd w:id="0"/>
    <w:p w:rsidR="00570C50" w:rsidRPr="00570C50" w:rsidRDefault="00570C50" w:rsidP="00570C50">
      <w:pPr>
        <w:tabs>
          <w:tab w:val="left" w:pos="2315"/>
        </w:tabs>
        <w:spacing w:after="0" w:line="360" w:lineRule="auto"/>
        <w:jc w:val="center"/>
        <w:rPr>
          <w:rFonts w:cstheme="minorHAnsi"/>
          <w:b/>
          <w:bCs/>
          <w:rtl/>
        </w:rPr>
      </w:pPr>
    </w:p>
    <w:p w:rsidR="00570C50" w:rsidRPr="00570C50" w:rsidRDefault="00570C50" w:rsidP="00570C50">
      <w:pPr>
        <w:spacing w:line="360" w:lineRule="auto"/>
        <w:ind w:right="-102"/>
        <w:jc w:val="both"/>
        <w:rPr>
          <w:rFonts w:cstheme="minorHAnsi"/>
          <w:color w:val="000000" w:themeColor="text1"/>
          <w:shd w:val="clear" w:color="auto" w:fill="FFFFFF"/>
          <w:rtl/>
        </w:rPr>
      </w:pPr>
      <w:r w:rsidRPr="00570C50">
        <w:rPr>
          <w:rFonts w:cstheme="minorHAnsi"/>
          <w:b/>
          <w:bCs/>
          <w:color w:val="000000" w:themeColor="text1"/>
          <w:shd w:val="clear" w:color="auto" w:fill="FFFFFF"/>
          <w:rtl/>
        </w:rPr>
        <w:t xml:space="preserve">נגיד בנק ישראל, פרופ' אמיר ירון: </w:t>
      </w:r>
      <w:r w:rsidRPr="00570C50">
        <w:rPr>
          <w:rFonts w:cstheme="minorHAnsi"/>
          <w:color w:val="000000" w:themeColor="text1"/>
          <w:shd w:val="clear" w:color="auto" w:fill="FFFFFF"/>
          <w:rtl/>
        </w:rPr>
        <w:t>"למבצע "עם כלביא" השלכות על המשק הישראלי בשל הפגיעה הפיזית ובשל צמצום הפעילות באזורים מסוימים ברחבי הארץ. בנק ישראל פועל לסייע לאוכלוסיות שנפגעו מהאירועים ובכך לסייע למשק לחזור לשגרת פעילות כלכלית מיד עם שוך האירועים. במסגרת זו, בנק ישראל הוביל מתווה סיוע נוסף לאוכלוסיות שנפגעות באופן ישיר מנזקי הלחימה ובכללם משקי בית שנפצעו או שביתם נפגע מירי טילים ונאלצו להתפנות מביתם, בעלי עסקים קטנים וזעירים שפעילותם נפגעה וחיילי המילואים שנקראו לדגל. המתווה הבנקאי הנוסף, מצטרף למתווים הקודמים שגובשו בשנים האחרונות. בנק ישראל ימשיך לעקוב ולפעול ככל שיידרש על מנת לסייע לאוכלוסיות שנפגעו ולתמוך בחזרה של המשק לפעילות מהר ככל הניתן."</w:t>
      </w:r>
    </w:p>
    <w:p w:rsidR="00570C50" w:rsidRPr="00570C50" w:rsidRDefault="00570C50" w:rsidP="00570C50">
      <w:pPr>
        <w:spacing w:line="360" w:lineRule="auto"/>
        <w:ind w:right="-102"/>
        <w:jc w:val="both"/>
        <w:rPr>
          <w:rFonts w:cstheme="minorHAnsi"/>
          <w:color w:val="000000" w:themeColor="text1"/>
          <w:shd w:val="clear" w:color="auto" w:fill="FFFFFF"/>
          <w:rtl/>
        </w:rPr>
      </w:pPr>
      <w:r w:rsidRPr="00570C50">
        <w:rPr>
          <w:rFonts w:cstheme="minorHAnsi"/>
          <w:b/>
          <w:bCs/>
          <w:color w:val="000000" w:themeColor="text1"/>
          <w:shd w:val="clear" w:color="auto" w:fill="FFFFFF"/>
          <w:rtl/>
        </w:rPr>
        <w:t xml:space="preserve">המפקח על הבנקים, דניאל </w:t>
      </w:r>
      <w:proofErr w:type="spellStart"/>
      <w:r w:rsidRPr="00570C50">
        <w:rPr>
          <w:rFonts w:cstheme="minorHAnsi"/>
          <w:b/>
          <w:bCs/>
          <w:color w:val="000000" w:themeColor="text1"/>
          <w:shd w:val="clear" w:color="auto" w:fill="FFFFFF"/>
          <w:rtl/>
        </w:rPr>
        <w:t>חחיאשווילי</w:t>
      </w:r>
      <w:proofErr w:type="spellEnd"/>
      <w:r w:rsidRPr="00570C50">
        <w:rPr>
          <w:rFonts w:cstheme="minorHAnsi"/>
          <w:b/>
          <w:bCs/>
          <w:color w:val="000000" w:themeColor="text1"/>
          <w:shd w:val="clear" w:color="auto" w:fill="FFFFFF"/>
          <w:rtl/>
        </w:rPr>
        <w:t xml:space="preserve">: </w:t>
      </w:r>
      <w:r w:rsidRPr="00570C50">
        <w:rPr>
          <w:rFonts w:cstheme="minorHAnsi"/>
          <w:color w:val="000000" w:themeColor="text1"/>
          <w:shd w:val="clear" w:color="auto" w:fill="FFFFFF"/>
          <w:rtl/>
        </w:rPr>
        <w:t xml:space="preserve">"למצב הביטחוני המורכב שנוצר בעקבות פרוץ מבצע "עם כלביא", ישנן השלכות כלכליות על משקי בית ועסקים רבים, ובין היתר קשיים </w:t>
      </w:r>
      <w:proofErr w:type="spellStart"/>
      <w:r w:rsidRPr="00570C50">
        <w:rPr>
          <w:rFonts w:cstheme="minorHAnsi"/>
          <w:color w:val="000000" w:themeColor="text1"/>
          <w:shd w:val="clear" w:color="auto" w:fill="FFFFFF"/>
          <w:rtl/>
        </w:rPr>
        <w:t>תזרימיים</w:t>
      </w:r>
      <w:proofErr w:type="spellEnd"/>
      <w:r w:rsidRPr="00570C50">
        <w:rPr>
          <w:rFonts w:cstheme="minorHAnsi"/>
          <w:color w:val="000000" w:themeColor="text1"/>
          <w:shd w:val="clear" w:color="auto" w:fill="FFFFFF"/>
          <w:rtl/>
        </w:rPr>
        <w:t xml:space="preserve">. המתווה שגיבשנו, ואומץ ע"י המערכת הבנקאית, מהווה שכבה ראשונה ומהירה לסיוע בפן הפיננסי באמצעות הקלה </w:t>
      </w:r>
      <w:proofErr w:type="spellStart"/>
      <w:r w:rsidRPr="00570C50">
        <w:rPr>
          <w:rFonts w:cstheme="minorHAnsi"/>
          <w:color w:val="000000" w:themeColor="text1"/>
          <w:shd w:val="clear" w:color="auto" w:fill="FFFFFF"/>
          <w:rtl/>
        </w:rPr>
        <w:t>תזרימית</w:t>
      </w:r>
      <w:proofErr w:type="spellEnd"/>
      <w:r w:rsidRPr="00570C50">
        <w:rPr>
          <w:rFonts w:cstheme="minorHAnsi"/>
          <w:color w:val="000000" w:themeColor="text1"/>
          <w:shd w:val="clear" w:color="auto" w:fill="FFFFFF"/>
          <w:rtl/>
        </w:rPr>
        <w:t xml:space="preserve"> </w:t>
      </w:r>
      <w:r w:rsidRPr="00570C50">
        <w:rPr>
          <w:rFonts w:cstheme="minorHAnsi"/>
          <w:rtl/>
        </w:rPr>
        <w:t>לתקופה הקרובה לזקוקים לכך. מעבר לצעדי המתווה הרוחבי בהחלט ראוי שהבנקים השונים יוסיפו מענה ייעודי ומותאם לאופי וצרכי לקוחותיהם. אני מברך את הבנקים על הצטרפותם למתווה הנוכחי שגובש ועל ההירתמות המהירה לטובת הסיוע ללקוחות שנפגעו.</w:t>
      </w:r>
      <w:r w:rsidRPr="00570C50">
        <w:rPr>
          <w:rFonts w:cstheme="minorHAnsi"/>
          <w:color w:val="000000" w:themeColor="text1"/>
          <w:shd w:val="clear" w:color="auto" w:fill="FFFFFF"/>
          <w:rtl/>
        </w:rPr>
        <w:t xml:space="preserve"> נמשיך לעקוב כל העת אחר ההתפתחויות וככל שיידרש נפעל לקידום צעדים נוספים לתמיכה בציבור במישור הבנקאי."</w:t>
      </w:r>
    </w:p>
    <w:p w:rsidR="00570C50" w:rsidRPr="00570C50" w:rsidRDefault="00570C50" w:rsidP="00570C50">
      <w:pPr>
        <w:spacing w:line="360" w:lineRule="auto"/>
        <w:ind w:right="-102"/>
        <w:jc w:val="both"/>
        <w:rPr>
          <w:rFonts w:cstheme="minorHAnsi"/>
          <w:color w:val="000000" w:themeColor="text1"/>
          <w:shd w:val="clear" w:color="auto" w:fill="FFFFFF"/>
        </w:rPr>
      </w:pPr>
      <w:r w:rsidRPr="00570C50">
        <w:rPr>
          <w:rFonts w:cstheme="minorHAnsi"/>
          <w:color w:val="000000" w:themeColor="text1"/>
          <w:shd w:val="clear" w:color="auto" w:fill="FFFFFF"/>
          <w:rtl/>
        </w:rPr>
        <w:t>על רקע השלכות מבצע  "עם כלביא" על המשק הישראלי ועל רקע ההשבתה של אזורים נרחבים ברחבי הארץ בהתאם להוראות פיקוד העורף, גיבש בנק ישראל מול המערכת הבנקאית מתווה וולונטרי לסיוע לאוכלוסיות שנפגעות באופן ישיר מנזקי הלחימה ובכללם בעלי עסקים קטנים וזעירים, משקי בית שביתם נפגע מירי טילים ונאלצו להתפנות מביתם וחיילי המילואים שנקראו לדגל.</w:t>
      </w:r>
    </w:p>
    <w:p w:rsidR="00570C50" w:rsidRPr="00570C50" w:rsidRDefault="00570C50" w:rsidP="00570C50">
      <w:pPr>
        <w:spacing w:after="40" w:line="360" w:lineRule="auto"/>
        <w:jc w:val="both"/>
        <w:rPr>
          <w:rFonts w:cstheme="minorHAnsi"/>
          <w:rtl/>
        </w:rPr>
      </w:pPr>
      <w:r w:rsidRPr="00570C50">
        <w:rPr>
          <w:rFonts w:cstheme="minorHAnsi"/>
          <w:color w:val="000000" w:themeColor="text1"/>
          <w:shd w:val="clear" w:color="auto" w:fill="FFFFFF"/>
          <w:rtl/>
        </w:rPr>
        <w:t xml:space="preserve">מטרת המתווה לתת הקלה </w:t>
      </w:r>
      <w:proofErr w:type="spellStart"/>
      <w:r w:rsidRPr="00570C50">
        <w:rPr>
          <w:rFonts w:cstheme="minorHAnsi"/>
          <w:color w:val="000000" w:themeColor="text1"/>
          <w:shd w:val="clear" w:color="auto" w:fill="FFFFFF"/>
          <w:rtl/>
        </w:rPr>
        <w:t>תזרימית</w:t>
      </w:r>
      <w:proofErr w:type="spellEnd"/>
      <w:r w:rsidRPr="00570C50">
        <w:rPr>
          <w:rFonts w:cstheme="minorHAnsi"/>
          <w:color w:val="000000" w:themeColor="text1"/>
          <w:shd w:val="clear" w:color="auto" w:fill="FFFFFF"/>
          <w:rtl/>
        </w:rPr>
        <w:t xml:space="preserve"> מהירה לאוכלוסיות שנפגעו ובכך לסייע להם לצלוח את התקופה הקרובה, עד לחזרה לפעילות סדורה, זאת לצד האתגרים השונים על רקע המצב הביטחוני. </w:t>
      </w:r>
      <w:r w:rsidRPr="00570C50">
        <w:rPr>
          <w:rFonts w:cstheme="minorHAnsi"/>
          <w:rtl/>
        </w:rPr>
        <w:t xml:space="preserve">יובהר, כי המתווה שגובש מציג את </w:t>
      </w:r>
      <w:r w:rsidRPr="00570C50">
        <w:rPr>
          <w:rFonts w:cstheme="minorHAnsi"/>
          <w:b/>
          <w:bCs/>
          <w:rtl/>
        </w:rPr>
        <w:t xml:space="preserve">תנאי המינימום </w:t>
      </w:r>
      <w:r w:rsidRPr="00570C50">
        <w:rPr>
          <w:rFonts w:cstheme="minorHAnsi"/>
          <w:rtl/>
        </w:rPr>
        <w:t>בדחיית ההלוואות וכל בנק רשאי להרחיבו לטובת לקוחותיו ולבקשתם.</w:t>
      </w:r>
    </w:p>
    <w:p w:rsidR="00570C50" w:rsidRPr="00570C50" w:rsidRDefault="00570C50" w:rsidP="00570C50">
      <w:pPr>
        <w:spacing w:after="40" w:line="360" w:lineRule="auto"/>
        <w:jc w:val="both"/>
        <w:rPr>
          <w:rFonts w:cstheme="minorHAnsi"/>
          <w:rtl/>
        </w:rPr>
      </w:pPr>
    </w:p>
    <w:p w:rsidR="00570C50" w:rsidRPr="00570C50" w:rsidRDefault="00570C50" w:rsidP="00570C50">
      <w:pPr>
        <w:spacing w:line="360" w:lineRule="auto"/>
        <w:ind w:right="-102"/>
        <w:jc w:val="both"/>
        <w:rPr>
          <w:rFonts w:cstheme="minorHAnsi"/>
          <w:color w:val="000000" w:themeColor="text1"/>
          <w:shd w:val="clear" w:color="auto" w:fill="FFFFFF"/>
          <w:rtl/>
        </w:rPr>
      </w:pPr>
      <w:r w:rsidRPr="00570C50">
        <w:rPr>
          <w:rFonts w:cstheme="minorHAnsi"/>
          <w:color w:val="000000" w:themeColor="text1"/>
          <w:shd w:val="clear" w:color="auto" w:fill="FFFFFF"/>
          <w:rtl/>
        </w:rPr>
        <w:t>המתווה יחל בתאריך 1.7.25</w:t>
      </w:r>
      <w:r w:rsidRPr="00570C50">
        <w:rPr>
          <w:rStyle w:val="af2"/>
          <w:rFonts w:cstheme="minorHAnsi"/>
          <w:color w:val="000000" w:themeColor="text1"/>
          <w:shd w:val="clear" w:color="auto" w:fill="FFFFFF"/>
          <w:rtl/>
        </w:rPr>
        <w:footnoteReference w:id="1"/>
      </w:r>
      <w:r w:rsidRPr="00570C50">
        <w:rPr>
          <w:rFonts w:cstheme="minorHAnsi"/>
          <w:color w:val="000000" w:themeColor="text1"/>
          <w:shd w:val="clear" w:color="auto" w:fill="FFFFFF"/>
          <w:rtl/>
        </w:rPr>
        <w:t xml:space="preserve"> ויהיה בתוקף עד לתאריך 31.7.25. יצוין כי בנקים המעוניינים להקדים את כניסת המתווה לתוקף, או את מועד הגשת הבקשה, רשאים לעשות כן. יובהר כי לקוח יוכל להגיש בקשה להיכלל במתווה עד לתאריך 31.7.25.</w:t>
      </w:r>
    </w:p>
    <w:p w:rsidR="00570C50" w:rsidRPr="00570C50" w:rsidRDefault="00570C50" w:rsidP="00570C50">
      <w:pPr>
        <w:spacing w:line="360" w:lineRule="auto"/>
        <w:ind w:right="-102"/>
        <w:jc w:val="both"/>
        <w:rPr>
          <w:rFonts w:cstheme="minorHAnsi"/>
          <w:color w:val="000000" w:themeColor="text1"/>
          <w:shd w:val="clear" w:color="auto" w:fill="FFFFFF"/>
          <w:rtl/>
        </w:rPr>
      </w:pPr>
      <w:r w:rsidRPr="00570C50">
        <w:rPr>
          <w:rFonts w:cstheme="minorHAnsi"/>
          <w:color w:val="000000" w:themeColor="text1"/>
          <w:shd w:val="clear" w:color="auto" w:fill="FFFFFF"/>
          <w:rtl/>
        </w:rPr>
        <w:lastRenderedPageBreak/>
        <w:t>אוכלוסיות הנכללות במתווה וההטבות עבורן</w:t>
      </w:r>
      <w:r w:rsidRPr="00570C50">
        <w:rPr>
          <w:rStyle w:val="af2"/>
          <w:rFonts w:cstheme="minorHAnsi"/>
          <w:color w:val="000000" w:themeColor="text1"/>
          <w:shd w:val="clear" w:color="auto" w:fill="FFFFFF"/>
          <w:rtl/>
        </w:rPr>
        <w:footnoteReference w:id="2"/>
      </w:r>
      <w:r w:rsidRPr="00570C50">
        <w:rPr>
          <w:rFonts w:cstheme="minorHAnsi"/>
          <w:color w:val="000000" w:themeColor="text1"/>
          <w:shd w:val="clear" w:color="auto" w:fill="FFFFFF"/>
          <w:rtl/>
        </w:rPr>
        <w:t>:</w:t>
      </w:r>
    </w:p>
    <w:p w:rsidR="00570C50" w:rsidRPr="00570C50" w:rsidRDefault="00570C50" w:rsidP="00570C50">
      <w:pPr>
        <w:numPr>
          <w:ilvl w:val="0"/>
          <w:numId w:val="25"/>
        </w:numPr>
        <w:spacing w:line="360" w:lineRule="auto"/>
        <w:ind w:right="-102"/>
        <w:jc w:val="both"/>
        <w:rPr>
          <w:rFonts w:cstheme="minorHAnsi"/>
          <w:color w:val="000000" w:themeColor="text1"/>
          <w:shd w:val="clear" w:color="auto" w:fill="FFFFFF"/>
          <w:rtl/>
        </w:rPr>
      </w:pPr>
      <w:r w:rsidRPr="00570C50">
        <w:rPr>
          <w:rFonts w:cstheme="minorHAnsi"/>
          <w:b/>
          <w:bCs/>
          <w:color w:val="000000" w:themeColor="text1"/>
          <w:shd w:val="clear" w:color="auto" w:fill="FFFFFF"/>
          <w:rtl/>
        </w:rPr>
        <w:t xml:space="preserve">משקי בית שבעקבות מבצע "עם כלביא" ביתם נפגע והם מפונים או משקי בית שנפצעו בעקבות המבצע </w:t>
      </w:r>
    </w:p>
    <w:p w:rsidR="00570C50" w:rsidRPr="00570C50" w:rsidRDefault="00570C50" w:rsidP="00570C50">
      <w:pPr>
        <w:numPr>
          <w:ilvl w:val="1"/>
          <w:numId w:val="25"/>
        </w:numPr>
        <w:spacing w:line="360" w:lineRule="auto"/>
        <w:ind w:right="-102"/>
        <w:jc w:val="both"/>
        <w:rPr>
          <w:rFonts w:cstheme="minorHAnsi"/>
          <w:color w:val="000000" w:themeColor="text1"/>
          <w:shd w:val="clear" w:color="auto" w:fill="FFFFFF"/>
          <w:rtl/>
        </w:rPr>
      </w:pPr>
      <w:r w:rsidRPr="00570C50">
        <w:rPr>
          <w:rFonts w:cstheme="minorHAnsi"/>
          <w:color w:val="000000" w:themeColor="text1"/>
          <w:shd w:val="clear" w:color="auto" w:fill="FFFFFF"/>
          <w:rtl/>
        </w:rPr>
        <w:t xml:space="preserve">דחייה של תשלום משכנתאות ללא הגבלת סכום, לתקופה של שלושה חודשים, </w:t>
      </w:r>
      <w:r w:rsidRPr="00570C50">
        <w:rPr>
          <w:rFonts w:cstheme="minorHAnsi"/>
          <w:b/>
          <w:bCs/>
          <w:color w:val="000000" w:themeColor="text1"/>
          <w:shd w:val="clear" w:color="auto" w:fill="FFFFFF"/>
          <w:rtl/>
        </w:rPr>
        <w:t>ללא חיוב בריבית ועמלות.</w:t>
      </w:r>
    </w:p>
    <w:p w:rsidR="00570C50" w:rsidRPr="00570C50" w:rsidRDefault="00570C50" w:rsidP="00570C50">
      <w:pPr>
        <w:numPr>
          <w:ilvl w:val="1"/>
          <w:numId w:val="25"/>
        </w:numPr>
        <w:spacing w:line="360" w:lineRule="auto"/>
        <w:ind w:right="-102"/>
        <w:jc w:val="both"/>
        <w:rPr>
          <w:rFonts w:cstheme="minorHAnsi"/>
          <w:color w:val="000000" w:themeColor="text1"/>
          <w:shd w:val="clear" w:color="auto" w:fill="FFFFFF"/>
          <w:rtl/>
        </w:rPr>
      </w:pPr>
      <w:r w:rsidRPr="00570C50">
        <w:rPr>
          <w:rFonts w:cstheme="minorHAnsi"/>
          <w:color w:val="000000" w:themeColor="text1"/>
          <w:shd w:val="clear" w:color="auto" w:fill="FFFFFF"/>
          <w:rtl/>
        </w:rPr>
        <w:t xml:space="preserve">דחייה של החזרי הלוואות צרכניות בסכום מצטבר של עד 100,000 ש"ח לתקופה של שלושה חודשים, </w:t>
      </w:r>
      <w:r w:rsidRPr="00570C50">
        <w:rPr>
          <w:rFonts w:cstheme="minorHAnsi"/>
          <w:b/>
          <w:bCs/>
          <w:color w:val="000000" w:themeColor="text1"/>
          <w:shd w:val="clear" w:color="auto" w:fill="FFFFFF"/>
          <w:rtl/>
        </w:rPr>
        <w:t>ללא חיוב בריבית ועמלות</w:t>
      </w:r>
      <w:r w:rsidRPr="00570C50">
        <w:rPr>
          <w:rFonts w:cstheme="minorHAnsi"/>
          <w:color w:val="000000" w:themeColor="text1"/>
          <w:shd w:val="clear" w:color="auto" w:fill="FFFFFF"/>
          <w:rtl/>
        </w:rPr>
        <w:t>.</w:t>
      </w:r>
    </w:p>
    <w:p w:rsidR="00570C50" w:rsidRPr="00570C50" w:rsidRDefault="00570C50" w:rsidP="00570C50">
      <w:pPr>
        <w:numPr>
          <w:ilvl w:val="0"/>
          <w:numId w:val="25"/>
        </w:numPr>
        <w:spacing w:line="360" w:lineRule="auto"/>
        <w:ind w:right="-102"/>
        <w:jc w:val="both"/>
        <w:rPr>
          <w:rFonts w:cstheme="minorHAnsi"/>
          <w:color w:val="000000" w:themeColor="text1"/>
          <w:shd w:val="clear" w:color="auto" w:fill="FFFFFF"/>
        </w:rPr>
      </w:pPr>
      <w:r w:rsidRPr="00570C50">
        <w:rPr>
          <w:rFonts w:cstheme="minorHAnsi"/>
          <w:b/>
          <w:bCs/>
          <w:color w:val="000000" w:themeColor="text1"/>
          <w:shd w:val="clear" w:color="auto" w:fill="FFFFFF"/>
          <w:rtl/>
        </w:rPr>
        <w:t>עסקים זעירים וקטנים</w:t>
      </w:r>
      <w:r w:rsidRPr="00570C50">
        <w:rPr>
          <w:rStyle w:val="af2"/>
          <w:rFonts w:cstheme="minorHAnsi"/>
          <w:b/>
          <w:bCs/>
          <w:color w:val="000000" w:themeColor="text1"/>
          <w:shd w:val="clear" w:color="auto" w:fill="FFFFFF"/>
          <w:rtl/>
        </w:rPr>
        <w:footnoteReference w:id="3"/>
      </w:r>
      <w:r w:rsidRPr="00570C50">
        <w:rPr>
          <w:rFonts w:cstheme="minorHAnsi"/>
          <w:b/>
          <w:bCs/>
          <w:color w:val="000000" w:themeColor="text1"/>
          <w:shd w:val="clear" w:color="auto" w:fill="FFFFFF"/>
          <w:rtl/>
        </w:rPr>
        <w:t xml:space="preserve"> שנפגעו בעקבות מבצע "עם כלביא" </w:t>
      </w:r>
      <w:r w:rsidRPr="00570C50">
        <w:rPr>
          <w:rFonts w:cstheme="minorHAnsi"/>
          <w:color w:val="000000" w:themeColor="text1"/>
          <w:shd w:val="clear" w:color="auto" w:fill="FFFFFF"/>
          <w:rtl/>
        </w:rPr>
        <w:t xml:space="preserve">(פיזית או כספית – בהתאם לקריטריונים המפורטים בהמשך) </w:t>
      </w:r>
    </w:p>
    <w:p w:rsidR="00570C50" w:rsidRPr="00570C50" w:rsidRDefault="00570C50" w:rsidP="00570C50">
      <w:pPr>
        <w:numPr>
          <w:ilvl w:val="1"/>
          <w:numId w:val="25"/>
        </w:numPr>
        <w:spacing w:line="360" w:lineRule="auto"/>
        <w:ind w:right="-102"/>
        <w:jc w:val="both"/>
        <w:rPr>
          <w:rFonts w:cstheme="minorHAnsi"/>
          <w:color w:val="000000" w:themeColor="text1"/>
          <w:shd w:val="clear" w:color="auto" w:fill="FFFFFF"/>
          <w:rtl/>
        </w:rPr>
      </w:pPr>
      <w:r w:rsidRPr="00570C50">
        <w:rPr>
          <w:rFonts w:cstheme="minorHAnsi"/>
          <w:color w:val="000000" w:themeColor="text1"/>
          <w:shd w:val="clear" w:color="auto" w:fill="FFFFFF"/>
          <w:rtl/>
        </w:rPr>
        <w:t xml:space="preserve">דחייה של חודשיים להחזרי הלוואות בסכום מצטבר של עד 2 מיליון ש"ח לבית עסק שיבקש זאת, </w:t>
      </w:r>
      <w:r w:rsidRPr="00570C50">
        <w:rPr>
          <w:rFonts w:cstheme="minorHAnsi"/>
          <w:b/>
          <w:bCs/>
          <w:color w:val="000000" w:themeColor="text1"/>
          <w:shd w:val="clear" w:color="auto" w:fill="FFFFFF"/>
          <w:rtl/>
        </w:rPr>
        <w:t>ללא חיוב בריבית ועמלות</w:t>
      </w:r>
      <w:r w:rsidRPr="00570C50">
        <w:rPr>
          <w:rFonts w:cstheme="minorHAnsi"/>
          <w:color w:val="000000" w:themeColor="text1"/>
          <w:shd w:val="clear" w:color="auto" w:fill="FFFFFF"/>
          <w:rtl/>
        </w:rPr>
        <w:t xml:space="preserve">. </w:t>
      </w:r>
    </w:p>
    <w:p w:rsidR="00570C50" w:rsidRPr="00570C50" w:rsidRDefault="00570C50" w:rsidP="00570C50">
      <w:pPr>
        <w:numPr>
          <w:ilvl w:val="1"/>
          <w:numId w:val="25"/>
        </w:numPr>
        <w:spacing w:line="360" w:lineRule="auto"/>
        <w:ind w:right="-102"/>
        <w:jc w:val="both"/>
        <w:rPr>
          <w:rFonts w:cstheme="minorHAnsi"/>
          <w:color w:val="000000" w:themeColor="text1"/>
          <w:shd w:val="clear" w:color="auto" w:fill="FFFFFF"/>
          <w:rtl/>
        </w:rPr>
      </w:pPr>
      <w:r w:rsidRPr="00570C50">
        <w:rPr>
          <w:rFonts w:cstheme="minorHAnsi"/>
          <w:color w:val="000000" w:themeColor="text1"/>
          <w:u w:val="single"/>
          <w:shd w:val="clear" w:color="auto" w:fill="FFFFFF"/>
          <w:rtl/>
        </w:rPr>
        <w:t>בנוסף, עבור בתי עסק של חיילי מילואים</w:t>
      </w:r>
      <w:r w:rsidRPr="00570C50">
        <w:rPr>
          <w:rFonts w:cstheme="minorHAnsi"/>
          <w:color w:val="000000" w:themeColor="text1"/>
          <w:shd w:val="clear" w:color="auto" w:fill="FFFFFF"/>
          <w:rtl/>
        </w:rPr>
        <w:t xml:space="preserve"> -  יינתן פטור לתקופה של חודשיים מחיוב ריבית על מינוס בעו"ש בחשבון העסקי (עד 30,000 ש"ח במינוס) – הטבה שתינתן אוטומטית לבעלי עסק שמזוהים ע"י הבנק כמשרתי מילואים בפועל או כאלו אשר עדכנו את הבנק בקשר לכך.</w:t>
      </w:r>
    </w:p>
    <w:p w:rsidR="00570C50" w:rsidRPr="00570C50" w:rsidRDefault="00570C50" w:rsidP="00570C50">
      <w:pPr>
        <w:numPr>
          <w:ilvl w:val="1"/>
          <w:numId w:val="25"/>
        </w:numPr>
        <w:spacing w:line="360" w:lineRule="auto"/>
        <w:ind w:right="-102"/>
        <w:jc w:val="both"/>
        <w:rPr>
          <w:rFonts w:cstheme="minorHAnsi"/>
          <w:color w:val="000000" w:themeColor="text1"/>
          <w:shd w:val="clear" w:color="auto" w:fill="FFFFFF"/>
          <w:rtl/>
        </w:rPr>
      </w:pPr>
      <w:r w:rsidRPr="00570C50">
        <w:rPr>
          <w:rFonts w:cstheme="minorHAnsi"/>
          <w:color w:val="000000" w:themeColor="text1"/>
          <w:shd w:val="clear" w:color="auto" w:fill="FFFFFF"/>
          <w:rtl/>
        </w:rPr>
        <w:t>בתי עסק שלא עומדים בקריטריונים שהוגדרו ("מעגל שני") יוכלו לבצע דחיית החזרי הלוואות בסכום מצטבר של עד 2 מיליון ש"ח לבית העסק לתקופה של חודשיים ובריבית ההסכמית.</w:t>
      </w:r>
    </w:p>
    <w:p w:rsidR="00570C50" w:rsidRPr="00570C50" w:rsidRDefault="00570C50" w:rsidP="00570C50">
      <w:pPr>
        <w:spacing w:line="360" w:lineRule="auto"/>
        <w:ind w:right="-102"/>
        <w:jc w:val="both"/>
        <w:rPr>
          <w:rFonts w:cstheme="minorHAnsi"/>
          <w:color w:val="000000" w:themeColor="text1"/>
          <w:shd w:val="clear" w:color="auto" w:fill="FFFFFF"/>
          <w:rtl/>
        </w:rPr>
      </w:pPr>
    </w:p>
    <w:p w:rsidR="00570C50" w:rsidRPr="00570C50" w:rsidRDefault="00570C50" w:rsidP="00570C50">
      <w:pPr>
        <w:spacing w:line="360" w:lineRule="auto"/>
        <w:ind w:right="-102"/>
        <w:jc w:val="both"/>
        <w:rPr>
          <w:rFonts w:cstheme="minorHAnsi"/>
          <w:color w:val="000000" w:themeColor="text1"/>
          <w:shd w:val="clear" w:color="auto" w:fill="FFFFFF"/>
          <w:rtl/>
        </w:rPr>
      </w:pPr>
      <w:r w:rsidRPr="00570C50">
        <w:rPr>
          <w:rFonts w:cstheme="minorHAnsi"/>
          <w:color w:val="000000" w:themeColor="text1"/>
          <w:shd w:val="clear" w:color="auto" w:fill="FFFFFF"/>
          <w:rtl/>
        </w:rPr>
        <w:t>להלן מידע מסייע נלווה:</w:t>
      </w:r>
    </w:p>
    <w:p w:rsidR="00570C50" w:rsidRPr="00570C50" w:rsidRDefault="00570C50" w:rsidP="00570C50">
      <w:pPr>
        <w:pStyle w:val="a5"/>
        <w:numPr>
          <w:ilvl w:val="0"/>
          <w:numId w:val="24"/>
        </w:numPr>
        <w:spacing w:line="360" w:lineRule="auto"/>
        <w:ind w:right="-102"/>
        <w:jc w:val="both"/>
        <w:rPr>
          <w:rFonts w:cstheme="minorHAnsi"/>
          <w:color w:val="000000" w:themeColor="text1"/>
          <w:shd w:val="clear" w:color="auto" w:fill="FFFFFF"/>
          <w:rtl/>
        </w:rPr>
      </w:pPr>
      <w:r w:rsidRPr="00570C50">
        <w:rPr>
          <w:rFonts w:cstheme="minorHAnsi"/>
          <w:color w:val="000000" w:themeColor="text1"/>
          <w:shd w:val="clear" w:color="auto" w:fill="FFFFFF"/>
          <w:rtl/>
        </w:rPr>
        <w:t>היחידה לפניות הציבור ולבקרה צרכנית בפיקוח על הבנקים: 02-6552680 או 9086*</w:t>
      </w:r>
    </w:p>
    <w:p w:rsidR="00570C50" w:rsidRPr="00570C50" w:rsidRDefault="00570C50" w:rsidP="00570C50">
      <w:pPr>
        <w:pStyle w:val="a5"/>
        <w:numPr>
          <w:ilvl w:val="0"/>
          <w:numId w:val="24"/>
        </w:numPr>
        <w:spacing w:line="360" w:lineRule="auto"/>
        <w:ind w:right="-102"/>
        <w:jc w:val="both"/>
        <w:rPr>
          <w:rFonts w:cstheme="minorHAnsi"/>
          <w:color w:val="000000" w:themeColor="text1"/>
          <w:shd w:val="clear" w:color="auto" w:fill="FFFFFF"/>
        </w:rPr>
      </w:pPr>
      <w:r w:rsidRPr="00570C50">
        <w:rPr>
          <w:rFonts w:cstheme="minorHAnsi"/>
          <w:color w:val="000000" w:themeColor="text1"/>
          <w:shd w:val="clear" w:color="auto" w:fill="FFFFFF"/>
          <w:rtl/>
        </w:rPr>
        <w:t>מוקד הממונה על נתוני אשראי בבנק ישראל: 6194*</w:t>
      </w:r>
    </w:p>
    <w:p w:rsidR="00570C50" w:rsidRPr="00570C50" w:rsidRDefault="00570C50" w:rsidP="00570C50">
      <w:pPr>
        <w:pStyle w:val="a5"/>
        <w:numPr>
          <w:ilvl w:val="0"/>
          <w:numId w:val="24"/>
        </w:numPr>
        <w:spacing w:line="360" w:lineRule="auto"/>
        <w:ind w:right="-102"/>
        <w:jc w:val="both"/>
        <w:rPr>
          <w:rFonts w:cstheme="minorHAnsi"/>
          <w:color w:val="000000" w:themeColor="text1"/>
          <w:shd w:val="clear" w:color="auto" w:fill="FFFFFF"/>
        </w:rPr>
      </w:pPr>
      <w:r w:rsidRPr="00570C50">
        <w:rPr>
          <w:rFonts w:cstheme="minorHAnsi"/>
          <w:color w:val="000000" w:themeColor="text1"/>
          <w:shd w:val="clear" w:color="auto" w:fill="FFFFFF"/>
          <w:rtl/>
        </w:rPr>
        <w:t xml:space="preserve">לדף המידע המרכז בנושאי בנקאות  </w:t>
      </w:r>
      <w:hyperlink r:id="rId9" w:history="1">
        <w:r w:rsidRPr="00570C50">
          <w:rPr>
            <w:rStyle w:val="Hyperlink"/>
            <w:rFonts w:cstheme="minorHAnsi"/>
            <w:shd w:val="clear" w:color="auto" w:fill="FFFFFF"/>
            <w:rtl/>
          </w:rPr>
          <w:t>שבאתר בנק ישראל</w:t>
        </w:r>
      </w:hyperlink>
      <w:r w:rsidRPr="00570C50">
        <w:rPr>
          <w:rFonts w:cstheme="minorHAnsi"/>
          <w:color w:val="000000" w:themeColor="text1"/>
          <w:shd w:val="clear" w:color="auto" w:fill="FFFFFF"/>
          <w:rtl/>
        </w:rPr>
        <w:t xml:space="preserve"> . </w:t>
      </w:r>
    </w:p>
    <w:p w:rsidR="00570C50" w:rsidRPr="00570C50" w:rsidRDefault="00570C50" w:rsidP="009005BA">
      <w:pPr>
        <w:tabs>
          <w:tab w:val="left" w:pos="2315"/>
        </w:tabs>
        <w:rPr>
          <w:rFonts w:cstheme="minorHAnsi"/>
          <w:rtl/>
        </w:rPr>
      </w:pPr>
    </w:p>
    <w:sectPr w:rsidR="00570C50" w:rsidRPr="00570C50"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570C50" w:rsidRPr="00570C50" w:rsidRDefault="00570C50" w:rsidP="00570C50">
      <w:pPr>
        <w:pStyle w:val="af0"/>
        <w:jc w:val="both"/>
        <w:rPr>
          <w:rFonts w:cstheme="minorHAnsi"/>
          <w:rtl/>
        </w:rPr>
      </w:pPr>
      <w:r w:rsidRPr="00570C50">
        <w:rPr>
          <w:rStyle w:val="af2"/>
          <w:rFonts w:cstheme="minorHAnsi"/>
        </w:rPr>
        <w:footnoteRef/>
      </w:r>
      <w:r w:rsidRPr="00570C50">
        <w:rPr>
          <w:rFonts w:cstheme="minorHAnsi"/>
          <w:rtl/>
        </w:rPr>
        <w:t xml:space="preserve"> </w:t>
      </w:r>
      <w:r w:rsidRPr="00570C50">
        <w:rPr>
          <w:rFonts w:cstheme="minorHAnsi"/>
          <w:color w:val="000000" w:themeColor="text1"/>
          <w:sz w:val="18"/>
          <w:szCs w:val="18"/>
          <w:shd w:val="clear" w:color="auto" w:fill="FFFFFF"/>
          <w:rtl/>
        </w:rPr>
        <w:t xml:space="preserve">בשל ההיערכות הנדרשת, המצב המיוחד ותקופת הזמן הקצרה עד להחלת המתווה, במידה ובנק </w:t>
      </w:r>
      <w:proofErr w:type="spellStart"/>
      <w:r w:rsidRPr="00570C50">
        <w:rPr>
          <w:rFonts w:cstheme="minorHAnsi"/>
          <w:color w:val="000000" w:themeColor="text1"/>
          <w:sz w:val="18"/>
          <w:szCs w:val="18"/>
          <w:shd w:val="clear" w:color="auto" w:fill="FFFFFF"/>
          <w:rtl/>
        </w:rPr>
        <w:t>מסויים</w:t>
      </w:r>
      <w:proofErr w:type="spellEnd"/>
      <w:r w:rsidRPr="00570C50">
        <w:rPr>
          <w:rFonts w:cstheme="minorHAnsi"/>
          <w:color w:val="000000" w:themeColor="text1"/>
          <w:sz w:val="18"/>
          <w:szCs w:val="18"/>
          <w:shd w:val="clear" w:color="auto" w:fill="FFFFFF"/>
          <w:rtl/>
        </w:rPr>
        <w:t xml:space="preserve"> לא יסיים את היערכותו להפעלת חלקים מהמתווה, הוא יעדכן על כך באתר את לקוחותיו ויפעל </w:t>
      </w:r>
      <w:proofErr w:type="spellStart"/>
      <w:r w:rsidRPr="00570C50">
        <w:rPr>
          <w:rFonts w:cstheme="minorHAnsi"/>
          <w:color w:val="000000" w:themeColor="text1"/>
          <w:sz w:val="18"/>
          <w:szCs w:val="18"/>
          <w:shd w:val="clear" w:color="auto" w:fill="FFFFFF"/>
          <w:rtl/>
        </w:rPr>
        <w:t>להשמישו</w:t>
      </w:r>
      <w:proofErr w:type="spellEnd"/>
      <w:r w:rsidRPr="00570C50">
        <w:rPr>
          <w:rFonts w:cstheme="minorHAnsi"/>
          <w:color w:val="000000" w:themeColor="text1"/>
          <w:sz w:val="18"/>
          <w:szCs w:val="18"/>
          <w:shd w:val="clear" w:color="auto" w:fill="FFFFFF"/>
          <w:rtl/>
        </w:rPr>
        <w:t xml:space="preserve"> בהקדם האפשרי.</w:t>
      </w:r>
    </w:p>
  </w:footnote>
  <w:footnote w:id="2">
    <w:p w:rsidR="00570C50" w:rsidRPr="00570C50" w:rsidRDefault="00570C50" w:rsidP="00570C50">
      <w:pPr>
        <w:pStyle w:val="af0"/>
        <w:rPr>
          <w:rFonts w:ascii="Calibri" w:hAnsi="Calibri" w:cs="Calibri"/>
        </w:rPr>
      </w:pPr>
      <w:r w:rsidRPr="00570C50">
        <w:rPr>
          <w:rStyle w:val="af2"/>
          <w:rFonts w:ascii="Calibri" w:hAnsi="Calibri" w:cs="Calibri"/>
        </w:rPr>
        <w:footnoteRef/>
      </w:r>
      <w:r w:rsidRPr="00570C50">
        <w:rPr>
          <w:rFonts w:ascii="Calibri" w:hAnsi="Calibri" w:cs="Calibri"/>
          <w:rtl/>
        </w:rPr>
        <w:t xml:space="preserve"> </w:t>
      </w:r>
      <w:r w:rsidRPr="00570C50">
        <w:rPr>
          <w:rFonts w:ascii="Calibri" w:hAnsi="Calibri" w:cs="Calibri"/>
          <w:color w:val="000000" w:themeColor="text1"/>
          <w:sz w:val="18"/>
          <w:szCs w:val="18"/>
          <w:shd w:val="clear" w:color="auto" w:fill="FFFFFF"/>
          <w:rtl/>
        </w:rPr>
        <w:t>ראה גם נספח והגדרות בסוף ההודעה</w:t>
      </w:r>
      <w:r w:rsidRPr="00570C50">
        <w:rPr>
          <w:rFonts w:ascii="Calibri" w:hAnsi="Calibri" w:cs="Calibri"/>
          <w:rtl/>
        </w:rPr>
        <w:t>.</w:t>
      </w:r>
    </w:p>
  </w:footnote>
  <w:footnote w:id="3">
    <w:p w:rsidR="00570C50" w:rsidRPr="00291840" w:rsidRDefault="00570C50" w:rsidP="00570C50">
      <w:pPr>
        <w:pStyle w:val="af0"/>
        <w:rPr>
          <w:rFonts w:ascii="David" w:hAnsi="David" w:cs="David"/>
          <w:color w:val="000000" w:themeColor="text1"/>
          <w:sz w:val="18"/>
          <w:szCs w:val="18"/>
          <w:shd w:val="clear" w:color="auto" w:fill="FFFFFF"/>
        </w:rPr>
      </w:pPr>
      <w:r w:rsidRPr="00570C50">
        <w:rPr>
          <w:rStyle w:val="af2"/>
          <w:rFonts w:ascii="Calibri" w:hAnsi="Calibri" w:cs="Calibri"/>
        </w:rPr>
        <w:footnoteRef/>
      </w:r>
      <w:r w:rsidRPr="00570C50">
        <w:rPr>
          <w:rFonts w:ascii="Calibri" w:hAnsi="Calibri" w:cs="Calibri"/>
          <w:rtl/>
        </w:rPr>
        <w:t xml:space="preserve"> </w:t>
      </w:r>
      <w:r w:rsidRPr="00570C50">
        <w:rPr>
          <w:rFonts w:ascii="Calibri" w:hAnsi="Calibri" w:cs="Calibri"/>
          <w:color w:val="000000" w:themeColor="text1"/>
          <w:sz w:val="18"/>
          <w:szCs w:val="18"/>
          <w:shd w:val="clear" w:color="auto" w:fill="FFFFFF"/>
          <w:rtl/>
        </w:rPr>
        <w:t>עם מחזור פעילות שנתי של עד 25 מיליון ש"ח.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E60E9F"/>
    <w:multiLevelType w:val="hybridMultilevel"/>
    <w:tmpl w:val="33606C72"/>
    <w:lvl w:ilvl="0" w:tplc="C4C8AB0E">
      <w:start w:val="1"/>
      <w:numFmt w:val="decimal"/>
      <w:lvlText w:val="%1."/>
      <w:lvlJc w:val="left"/>
      <w:pPr>
        <w:tabs>
          <w:tab w:val="num" w:pos="720"/>
        </w:tabs>
        <w:ind w:left="720" w:hanging="360"/>
      </w:pPr>
    </w:lvl>
    <w:lvl w:ilvl="1" w:tplc="C30C1A26">
      <w:start w:val="1"/>
      <w:numFmt w:val="hebrew2"/>
      <w:lvlText w:val="%2-"/>
      <w:lvlJc w:val="left"/>
      <w:pPr>
        <w:tabs>
          <w:tab w:val="num" w:pos="1440"/>
        </w:tabs>
        <w:ind w:left="1440" w:hanging="360"/>
      </w:pPr>
    </w:lvl>
    <w:lvl w:ilvl="2" w:tplc="81EA5B78" w:tentative="1">
      <w:start w:val="1"/>
      <w:numFmt w:val="decimal"/>
      <w:lvlText w:val="%3."/>
      <w:lvlJc w:val="left"/>
      <w:pPr>
        <w:tabs>
          <w:tab w:val="num" w:pos="2160"/>
        </w:tabs>
        <w:ind w:left="2160" w:hanging="360"/>
      </w:pPr>
    </w:lvl>
    <w:lvl w:ilvl="3" w:tplc="60F4CBE4" w:tentative="1">
      <w:start w:val="1"/>
      <w:numFmt w:val="decimal"/>
      <w:lvlText w:val="%4."/>
      <w:lvlJc w:val="left"/>
      <w:pPr>
        <w:tabs>
          <w:tab w:val="num" w:pos="2880"/>
        </w:tabs>
        <w:ind w:left="2880" w:hanging="360"/>
      </w:pPr>
    </w:lvl>
    <w:lvl w:ilvl="4" w:tplc="A7840580" w:tentative="1">
      <w:start w:val="1"/>
      <w:numFmt w:val="decimal"/>
      <w:lvlText w:val="%5."/>
      <w:lvlJc w:val="left"/>
      <w:pPr>
        <w:tabs>
          <w:tab w:val="num" w:pos="3600"/>
        </w:tabs>
        <w:ind w:left="3600" w:hanging="360"/>
      </w:pPr>
    </w:lvl>
    <w:lvl w:ilvl="5" w:tplc="49828028" w:tentative="1">
      <w:start w:val="1"/>
      <w:numFmt w:val="decimal"/>
      <w:lvlText w:val="%6."/>
      <w:lvlJc w:val="left"/>
      <w:pPr>
        <w:tabs>
          <w:tab w:val="num" w:pos="4320"/>
        </w:tabs>
        <w:ind w:left="4320" w:hanging="360"/>
      </w:pPr>
    </w:lvl>
    <w:lvl w:ilvl="6" w:tplc="13D63AC2" w:tentative="1">
      <w:start w:val="1"/>
      <w:numFmt w:val="decimal"/>
      <w:lvlText w:val="%7."/>
      <w:lvlJc w:val="left"/>
      <w:pPr>
        <w:tabs>
          <w:tab w:val="num" w:pos="5040"/>
        </w:tabs>
        <w:ind w:left="5040" w:hanging="360"/>
      </w:pPr>
    </w:lvl>
    <w:lvl w:ilvl="7" w:tplc="9D00938A" w:tentative="1">
      <w:start w:val="1"/>
      <w:numFmt w:val="decimal"/>
      <w:lvlText w:val="%8."/>
      <w:lvlJc w:val="left"/>
      <w:pPr>
        <w:tabs>
          <w:tab w:val="num" w:pos="5760"/>
        </w:tabs>
        <w:ind w:left="5760" w:hanging="360"/>
      </w:pPr>
    </w:lvl>
    <w:lvl w:ilvl="8" w:tplc="C23AC158" w:tentative="1">
      <w:start w:val="1"/>
      <w:numFmt w:val="decimal"/>
      <w:lvlText w:val="%9."/>
      <w:lvlJc w:val="left"/>
      <w:pPr>
        <w:tabs>
          <w:tab w:val="num" w:pos="6480"/>
        </w:tabs>
        <w:ind w:left="6480" w:hanging="360"/>
      </w:pPr>
    </w:lvl>
  </w:abstractNum>
  <w:abstractNum w:abstractNumId="13"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4"/>
  </w:num>
  <w:num w:numId="8">
    <w:abstractNumId w:val="18"/>
  </w:num>
  <w:num w:numId="9">
    <w:abstractNumId w:val="21"/>
  </w:num>
  <w:num w:numId="10">
    <w:abstractNumId w:val="15"/>
  </w:num>
  <w:num w:numId="11">
    <w:abstractNumId w:val="13"/>
  </w:num>
  <w:num w:numId="12">
    <w:abstractNumId w:val="16"/>
  </w:num>
  <w:num w:numId="13">
    <w:abstractNumId w:val="11"/>
  </w:num>
  <w:num w:numId="14">
    <w:abstractNumId w:val="3"/>
  </w:num>
  <w:num w:numId="15">
    <w:abstractNumId w:val="17"/>
  </w:num>
  <w:num w:numId="16">
    <w:abstractNumId w:val="1"/>
  </w:num>
  <w:num w:numId="17">
    <w:abstractNumId w:val="24"/>
  </w:num>
  <w:num w:numId="18">
    <w:abstractNumId w:val="22"/>
  </w:num>
  <w:num w:numId="19">
    <w:abstractNumId w:val="20"/>
  </w:num>
  <w:num w:numId="20">
    <w:abstractNumId w:val="19"/>
  </w:num>
  <w:num w:numId="21">
    <w:abstractNumId w:val="0"/>
  </w:num>
  <w:num w:numId="22">
    <w:abstractNumId w:val="8"/>
  </w:num>
  <w:num w:numId="23">
    <w:abstractNumId w:val="23"/>
  </w:num>
  <w:num w:numId="24">
    <w:abstractNumId w:val="10"/>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ocumentProtection w:edit="trackedChange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0C50"/>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B25"/>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14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roles/supervisionregulation/am_kelavi/"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DF262-BFB1-4FBA-BCB1-36750831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2940</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2025-06-17T09:13:00Z</dcterms:created>
  <dcterms:modified xsi:type="dcterms:W3CDTF">2025-06-17T09:13:00Z</dcterms:modified>
</cp:coreProperties>
</file>