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B7C49" w:rsidRPr="00DB1CBC" w:rsidTr="00CE1E94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CE1E9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CE1E94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9D0D73" w:rsidP="009B7C49">
            <w:pPr>
              <w:jc w:val="center"/>
            </w:pPr>
            <w:r>
              <w:rPr>
                <w:noProof/>
                <w:rtl/>
              </w:rPr>
              <w:drawing>
                <wp:inline distT="0" distB="0" distL="0" distR="0" wp14:anchorId="0F0EAE48" wp14:editId="4140AE03">
                  <wp:extent cx="772761" cy="769620"/>
                  <wp:effectExtent l="0" t="0" r="8890" b="0"/>
                  <wp:docPr id="3" name="תמונה 3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Default="009B7C49" w:rsidP="000F4B9F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4014AE">
              <w:rPr>
                <w:rFonts w:cs="David" w:hint="cs"/>
                <w:sz w:val="24"/>
                <w:szCs w:val="24"/>
                <w:rtl/>
              </w:rPr>
              <w:t>י"א</w:t>
            </w:r>
            <w:r w:rsidR="00796FC0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0F4B9F">
              <w:rPr>
                <w:rFonts w:cs="David" w:hint="cs"/>
                <w:sz w:val="24"/>
                <w:szCs w:val="24"/>
                <w:rtl/>
              </w:rPr>
              <w:t>ניסן</w:t>
            </w:r>
            <w:r w:rsidR="00796FC0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="00796FC0">
              <w:rPr>
                <w:rFonts w:cs="David" w:hint="cs"/>
                <w:sz w:val="24"/>
                <w:szCs w:val="24"/>
                <w:rtl/>
              </w:rPr>
              <w:t>התשע"ו</w:t>
            </w:r>
            <w:proofErr w:type="spellEnd"/>
          </w:p>
          <w:p w:rsidR="009B7C49" w:rsidRPr="00DF107C" w:rsidRDefault="009B7C49" w:rsidP="004014AE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C9095D">
              <w:rPr>
                <w:rFonts w:cs="David" w:hint="cs"/>
                <w:sz w:val="24"/>
                <w:szCs w:val="24"/>
                <w:rtl/>
              </w:rPr>
              <w:t>19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4014AE">
              <w:rPr>
                <w:rFonts w:cs="David" w:hint="cs"/>
                <w:sz w:val="24"/>
                <w:szCs w:val="24"/>
                <w:rtl/>
              </w:rPr>
              <w:t>אפ</w:t>
            </w:r>
            <w:r w:rsidR="00796FC0">
              <w:rPr>
                <w:rFonts w:cs="David" w:hint="cs"/>
                <w:sz w:val="24"/>
                <w:szCs w:val="24"/>
                <w:rtl/>
              </w:rPr>
              <w:t>ר</w:t>
            </w:r>
            <w:r w:rsidR="004014AE">
              <w:rPr>
                <w:rFonts w:cs="David" w:hint="cs"/>
                <w:sz w:val="24"/>
                <w:szCs w:val="24"/>
                <w:rtl/>
              </w:rPr>
              <w:t>יל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201</w:t>
            </w:r>
            <w:r w:rsidR="00C9095D"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</w:tr>
    </w:tbl>
    <w:p w:rsidR="009B7C49" w:rsidRDefault="009B7C49" w:rsidP="009B7C49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9D0D73" w:rsidRPr="009B7C49" w:rsidRDefault="009D0D73" w:rsidP="009B7C49">
      <w:pPr>
        <w:spacing w:line="360" w:lineRule="auto"/>
        <w:ind w:right="-101"/>
        <w:rPr>
          <w:rFonts w:cs="David"/>
          <w:sz w:val="24"/>
          <w:szCs w:val="24"/>
          <w:rtl/>
        </w:rPr>
      </w:pPr>
    </w:p>
    <w:p w:rsidR="009748AB" w:rsidRPr="00931BCF" w:rsidRDefault="00D61634" w:rsidP="00931BCF">
      <w:pPr>
        <w:pStyle w:val="af3"/>
        <w:rPr>
          <w:rtl/>
        </w:rPr>
      </w:pPr>
      <w:r w:rsidRPr="00931BCF">
        <w:rPr>
          <w:rFonts w:hint="cs"/>
          <w:rtl/>
        </w:rPr>
        <w:t>ה</w:t>
      </w:r>
      <w:r w:rsidR="009748AB" w:rsidRPr="00931BCF">
        <w:rPr>
          <w:rFonts w:hint="cs"/>
          <w:rtl/>
        </w:rPr>
        <w:t>ממצאים</w:t>
      </w:r>
      <w:r w:rsidR="00343A7D" w:rsidRPr="00931BCF">
        <w:rPr>
          <w:rFonts w:hint="cs"/>
          <w:rtl/>
        </w:rPr>
        <w:t xml:space="preserve"> </w:t>
      </w:r>
      <w:r w:rsidRPr="00931BCF">
        <w:rPr>
          <w:rFonts w:hint="cs"/>
          <w:rtl/>
        </w:rPr>
        <w:t>ה</w:t>
      </w:r>
      <w:r w:rsidR="00343A7D" w:rsidRPr="00931BCF">
        <w:rPr>
          <w:rFonts w:hint="cs"/>
          <w:rtl/>
        </w:rPr>
        <w:t>עיקריים</w:t>
      </w:r>
      <w:r w:rsidR="009748AB" w:rsidRPr="00931BCF">
        <w:rPr>
          <w:rFonts w:hint="cs"/>
          <w:rtl/>
        </w:rPr>
        <w:t xml:space="preserve"> מסקר החברות </w:t>
      </w:r>
      <w:r w:rsidRPr="00931BCF">
        <w:rPr>
          <w:rFonts w:hint="cs"/>
          <w:rtl/>
        </w:rPr>
        <w:t>לרבעון</w:t>
      </w:r>
      <w:r w:rsidR="009748AB" w:rsidRPr="00931BCF">
        <w:rPr>
          <w:rFonts w:hint="cs"/>
          <w:rtl/>
        </w:rPr>
        <w:t xml:space="preserve"> ה</w:t>
      </w:r>
      <w:r w:rsidR="00C9095D" w:rsidRPr="00931BCF">
        <w:rPr>
          <w:rFonts w:hint="cs"/>
          <w:rtl/>
        </w:rPr>
        <w:t>ר</w:t>
      </w:r>
      <w:r w:rsidR="004014AE" w:rsidRPr="00931BCF">
        <w:rPr>
          <w:rFonts w:hint="cs"/>
          <w:rtl/>
        </w:rPr>
        <w:t>אשון</w:t>
      </w:r>
      <w:r w:rsidR="00B4322B" w:rsidRPr="00931BCF">
        <w:rPr>
          <w:rFonts w:hint="cs"/>
          <w:rtl/>
        </w:rPr>
        <w:t xml:space="preserve"> </w:t>
      </w:r>
      <w:r w:rsidR="009748AB" w:rsidRPr="00931BCF">
        <w:rPr>
          <w:rFonts w:hint="cs"/>
          <w:rtl/>
        </w:rPr>
        <w:t>של שנת 201</w:t>
      </w:r>
      <w:r w:rsidR="004014AE" w:rsidRPr="00931BCF">
        <w:rPr>
          <w:rFonts w:hint="cs"/>
          <w:rtl/>
        </w:rPr>
        <w:t>6</w:t>
      </w:r>
    </w:p>
    <w:p w:rsidR="007F1C28" w:rsidRDefault="00E43738" w:rsidP="00931BCF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לפי 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>
        <w:rPr>
          <w:rFonts w:cs="David" w:hint="cs"/>
          <w:b/>
          <w:bCs/>
          <w:sz w:val="24"/>
          <w:szCs w:val="24"/>
          <w:rtl/>
        </w:rPr>
        <w:t>לרבעון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ה</w:t>
      </w:r>
      <w:r>
        <w:rPr>
          <w:rFonts w:cs="David" w:hint="cs"/>
          <w:b/>
          <w:bCs/>
          <w:sz w:val="24"/>
          <w:szCs w:val="24"/>
          <w:rtl/>
        </w:rPr>
        <w:t>ראשון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של 201</w:t>
      </w:r>
      <w:r>
        <w:rPr>
          <w:rFonts w:cs="David" w:hint="cs"/>
          <w:b/>
          <w:bCs/>
          <w:sz w:val="24"/>
          <w:szCs w:val="24"/>
          <w:rtl/>
        </w:rPr>
        <w:t>6,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מאזן הנטו המשוקלל </w:t>
      </w:r>
      <w:r>
        <w:rPr>
          <w:rFonts w:cs="David" w:hint="cs"/>
          <w:b/>
          <w:bCs/>
          <w:sz w:val="24"/>
          <w:szCs w:val="24"/>
          <w:rtl/>
        </w:rPr>
        <w:t>נמצא בקרבת האפס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(איור 1 ולוח 1)</w:t>
      </w:r>
      <w:r>
        <w:rPr>
          <w:rFonts w:cs="David" w:hint="cs"/>
          <w:b/>
          <w:bCs/>
          <w:sz w:val="24"/>
          <w:szCs w:val="24"/>
          <w:rtl/>
        </w:rPr>
        <w:t xml:space="preserve"> ומכך עולה שהפעילות ב</w:t>
      </w:r>
      <w:r w:rsidRPr="00B93664">
        <w:rPr>
          <w:rFonts w:cs="David" w:hint="cs"/>
          <w:b/>
          <w:bCs/>
          <w:sz w:val="24"/>
          <w:szCs w:val="24"/>
          <w:rtl/>
        </w:rPr>
        <w:t>מגזר העסקי</w:t>
      </w:r>
      <w:r>
        <w:rPr>
          <w:rFonts w:cs="David" w:hint="cs"/>
          <w:b/>
          <w:bCs/>
          <w:sz w:val="24"/>
          <w:szCs w:val="24"/>
          <w:rtl/>
        </w:rPr>
        <w:t xml:space="preserve"> שבה להתרחב בקצב מתון</w:t>
      </w:r>
      <w:r w:rsidR="009D0D73">
        <w:rPr>
          <w:rFonts w:cs="David" w:hint="cs"/>
          <w:b/>
          <w:bCs/>
          <w:sz w:val="24"/>
          <w:szCs w:val="24"/>
          <w:rtl/>
        </w:rPr>
        <w:t xml:space="preserve"> לאחר האצה קלה ברבעון הקודם</w:t>
      </w:r>
      <w:r w:rsidRPr="00B93664">
        <w:rPr>
          <w:rFonts w:cs="David" w:hint="cs"/>
          <w:b/>
          <w:bCs/>
          <w:sz w:val="24"/>
          <w:szCs w:val="24"/>
          <w:rtl/>
        </w:rPr>
        <w:t>.</w:t>
      </w:r>
      <w:r>
        <w:rPr>
          <w:rFonts w:cs="David" w:hint="cs"/>
          <w:b/>
          <w:bCs/>
          <w:sz w:val="24"/>
          <w:szCs w:val="24"/>
          <w:rtl/>
        </w:rPr>
        <w:t xml:space="preserve"> עם זאת </w:t>
      </w:r>
      <w:r w:rsidR="007F1C28">
        <w:rPr>
          <w:rFonts w:cs="David" w:hint="cs"/>
          <w:b/>
          <w:bCs/>
          <w:sz w:val="24"/>
          <w:szCs w:val="24"/>
          <w:rtl/>
        </w:rPr>
        <w:t xml:space="preserve">ניכרת שונות בין ענפי המשק: בענפי המסחר והשירותים מאזני הנטו שליליים, בענפי הבנייה והתחבורה והתקשורת מאזני הנטו חיוביים, ובענפי התעשייה והמלונאות המאזנים </w:t>
      </w:r>
      <w:r w:rsidR="00F406A6">
        <w:rPr>
          <w:rFonts w:cs="David" w:hint="cs"/>
          <w:b/>
          <w:bCs/>
          <w:sz w:val="24"/>
          <w:szCs w:val="24"/>
          <w:rtl/>
        </w:rPr>
        <w:t>מעידים</w:t>
      </w:r>
      <w:r w:rsidR="007F1C28">
        <w:rPr>
          <w:rFonts w:cs="David" w:hint="cs"/>
          <w:b/>
          <w:bCs/>
          <w:sz w:val="24"/>
          <w:szCs w:val="24"/>
          <w:rtl/>
        </w:rPr>
        <w:t xml:space="preserve"> </w:t>
      </w:r>
      <w:r w:rsidR="00F406A6">
        <w:rPr>
          <w:rFonts w:cs="David" w:hint="cs"/>
          <w:b/>
          <w:bCs/>
          <w:sz w:val="24"/>
          <w:szCs w:val="24"/>
          <w:rtl/>
        </w:rPr>
        <w:t xml:space="preserve">כי לא חל </w:t>
      </w:r>
      <w:r w:rsidR="007F1C28">
        <w:rPr>
          <w:rFonts w:cs="David" w:hint="cs"/>
          <w:b/>
          <w:bCs/>
          <w:sz w:val="24"/>
          <w:szCs w:val="24"/>
          <w:rtl/>
        </w:rPr>
        <w:t xml:space="preserve">שינוי ברמת הפעילות. </w:t>
      </w:r>
      <w:r w:rsidR="00163B39">
        <w:rPr>
          <w:rFonts w:cs="David" w:hint="cs"/>
          <w:b/>
          <w:bCs/>
          <w:sz w:val="24"/>
          <w:szCs w:val="24"/>
          <w:rtl/>
        </w:rPr>
        <w:t xml:space="preserve">בין הענפים </w:t>
      </w:r>
      <w:r w:rsidR="00F406A6">
        <w:rPr>
          <w:rFonts w:cs="David" w:hint="cs"/>
          <w:b/>
          <w:bCs/>
          <w:sz w:val="24"/>
          <w:szCs w:val="24"/>
          <w:rtl/>
        </w:rPr>
        <w:t xml:space="preserve">יש שונות </w:t>
      </w:r>
      <w:r w:rsidR="00163B39">
        <w:rPr>
          <w:rFonts w:cs="David" w:hint="cs"/>
          <w:b/>
          <w:bCs/>
          <w:sz w:val="24"/>
          <w:szCs w:val="24"/>
          <w:rtl/>
        </w:rPr>
        <w:t xml:space="preserve">גם </w:t>
      </w:r>
      <w:r w:rsidR="00BC43C3">
        <w:rPr>
          <w:rFonts w:cs="David" w:hint="cs"/>
          <w:b/>
          <w:bCs/>
          <w:sz w:val="24"/>
          <w:szCs w:val="24"/>
          <w:rtl/>
        </w:rPr>
        <w:t>בצפי לגבי ה</w:t>
      </w:r>
      <w:r w:rsidR="00163B39">
        <w:rPr>
          <w:rFonts w:cs="David" w:hint="cs"/>
          <w:b/>
          <w:bCs/>
          <w:sz w:val="24"/>
          <w:szCs w:val="24"/>
          <w:rtl/>
        </w:rPr>
        <w:t xml:space="preserve">רבעון הבא: בענפי המסחר והבנייה </w:t>
      </w:r>
      <w:r w:rsidR="00BC43C3">
        <w:rPr>
          <w:rFonts w:cs="David" w:hint="cs"/>
          <w:b/>
          <w:bCs/>
          <w:sz w:val="24"/>
          <w:szCs w:val="24"/>
          <w:rtl/>
        </w:rPr>
        <w:t>הצפי</w:t>
      </w:r>
      <w:r w:rsidR="00163B39">
        <w:rPr>
          <w:rFonts w:cs="David" w:hint="cs"/>
          <w:b/>
          <w:bCs/>
          <w:sz w:val="24"/>
          <w:szCs w:val="24"/>
          <w:rtl/>
        </w:rPr>
        <w:t xml:space="preserve"> חיובי, בענפי התעשייה והשירותים החברות צופות התייצבות בפעילות, ואילו בענפי המלונאות והתחבורה והתקשורת </w:t>
      </w:r>
      <w:r w:rsidR="00F406A6">
        <w:rPr>
          <w:rFonts w:cs="David" w:hint="cs"/>
          <w:b/>
          <w:bCs/>
          <w:sz w:val="24"/>
          <w:szCs w:val="24"/>
          <w:rtl/>
        </w:rPr>
        <w:t xml:space="preserve">הן צופות </w:t>
      </w:r>
      <w:r w:rsidR="00163B39">
        <w:rPr>
          <w:rFonts w:cs="David" w:hint="cs"/>
          <w:b/>
          <w:bCs/>
          <w:sz w:val="24"/>
          <w:szCs w:val="24"/>
          <w:rtl/>
        </w:rPr>
        <w:t>התכווצות.</w:t>
      </w:r>
    </w:p>
    <w:p w:rsidR="00796FC0" w:rsidRDefault="0030658C" w:rsidP="00931BCF">
      <w:pPr>
        <w:bidi w:val="0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</w:rPr>
        <w:drawing>
          <wp:inline distT="0" distB="0" distL="0" distR="0" wp14:anchorId="370BA64C" wp14:editId="54F78959">
            <wp:extent cx="5554639" cy="3572733"/>
            <wp:effectExtent l="0" t="0" r="8255" b="8890"/>
            <wp:docPr id="15" name="תמונה 15" descr="מאזן הנטו המשוקלל של המגזר העסקי, סה&quot;כ" title="מאזן הנטו המשוקלל של המגזר העסקי, סה&quot;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54" cy="3571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58C" w:rsidRDefault="0030658C" w:rsidP="00931BCF">
      <w:pPr>
        <w:rPr>
          <w:rFonts w:cs="David"/>
          <w:sz w:val="20"/>
          <w:szCs w:val="20"/>
          <w:rtl/>
        </w:rPr>
      </w:pPr>
      <w:r w:rsidRPr="00931BCF">
        <w:rPr>
          <w:rFonts w:cs="David" w:hint="cs"/>
          <w:sz w:val="24"/>
          <w:szCs w:val="24"/>
          <w:rtl/>
        </w:rPr>
        <w:t xml:space="preserve">* </w:t>
      </w:r>
      <w:r w:rsidRPr="00931BCF">
        <w:rPr>
          <w:rFonts w:cs="David"/>
          <w:sz w:val="24"/>
          <w:szCs w:val="24"/>
          <w:rtl/>
        </w:rPr>
        <w:t xml:space="preserve">מאזן הנטו הוא ההפרש בין שיעור החברות והעסקים שדיווחו על </w:t>
      </w:r>
      <w:r w:rsidRPr="00931BCF">
        <w:rPr>
          <w:rFonts w:cs="David" w:hint="cs"/>
          <w:sz w:val="24"/>
          <w:szCs w:val="24"/>
          <w:rtl/>
        </w:rPr>
        <w:t>עלייה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 xml:space="preserve">בפעילות </w:t>
      </w:r>
      <w:r w:rsidRPr="00931BCF">
        <w:rPr>
          <w:rFonts w:cs="David"/>
          <w:sz w:val="24"/>
          <w:szCs w:val="24"/>
          <w:rtl/>
        </w:rPr>
        <w:t>לבין שיעורן של  אלה שדיווחו על ירידה, משוקלל לפי משקלות המתאימים לגודל כל ענף במגזר העסקי</w:t>
      </w:r>
      <w:r w:rsidRPr="0030658C">
        <w:rPr>
          <w:rFonts w:cs="David"/>
          <w:sz w:val="20"/>
          <w:szCs w:val="20"/>
          <w:rtl/>
        </w:rPr>
        <w:t>.</w:t>
      </w:r>
    </w:p>
    <w:p w:rsidR="00931BCF" w:rsidRDefault="00931BCF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924AD6" w:rsidRPr="00931BCF" w:rsidRDefault="009748AB" w:rsidP="00931BCF">
      <w:pPr>
        <w:pStyle w:val="1"/>
        <w:rPr>
          <w:b/>
          <w:bCs/>
          <w:rtl/>
        </w:rPr>
      </w:pPr>
      <w:r w:rsidRPr="00931BCF">
        <w:rPr>
          <w:rFonts w:hint="cs"/>
          <w:b/>
          <w:bCs/>
          <w:rtl/>
        </w:rPr>
        <w:lastRenderedPageBreak/>
        <w:t xml:space="preserve">לוח 1 </w:t>
      </w:r>
    </w:p>
    <w:p w:rsidR="00FE2B19" w:rsidRPr="00931BCF" w:rsidRDefault="00F61DC2" w:rsidP="00931BCF">
      <w:pPr>
        <w:pStyle w:val="1"/>
        <w:rPr>
          <w:rtl/>
        </w:rPr>
      </w:pPr>
      <w:r w:rsidRPr="00931BCF">
        <w:rPr>
          <w:rFonts w:hint="cs"/>
          <w:b/>
          <w:bCs/>
          <w:rtl/>
        </w:rPr>
        <w:t>הפעילות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הכלכלית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בענפי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המשק</w:t>
      </w:r>
      <w:r w:rsidRPr="00931BCF">
        <w:rPr>
          <w:b/>
          <w:bCs/>
          <w:rtl/>
        </w:rPr>
        <w:t xml:space="preserve">, </w:t>
      </w:r>
      <w:r w:rsidRPr="00931BCF">
        <w:rPr>
          <w:rFonts w:hint="cs"/>
          <w:b/>
          <w:bCs/>
          <w:rtl/>
        </w:rPr>
        <w:t>על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פי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מאזן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הנטו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של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דיווחי</w:t>
      </w:r>
      <w:r w:rsidRPr="00931BCF">
        <w:rPr>
          <w:b/>
          <w:bCs/>
          <w:rtl/>
        </w:rPr>
        <w:t xml:space="preserve"> </w:t>
      </w:r>
      <w:r w:rsidRPr="00931BCF">
        <w:rPr>
          <w:rFonts w:hint="cs"/>
          <w:b/>
          <w:bCs/>
          <w:rtl/>
        </w:rPr>
        <w:t>החברות</w:t>
      </w:r>
      <w:r w:rsidR="005F63F9" w:rsidRPr="00B93664">
        <w:rPr>
          <w:rFonts w:hint="cs"/>
          <w:rtl/>
        </w:rPr>
        <w:br/>
      </w:r>
      <w:r w:rsidR="008135EA" w:rsidRPr="00931BCF">
        <w:rPr>
          <w:rtl/>
        </w:rPr>
        <w:t>(</w:t>
      </w:r>
      <w:r w:rsidR="008135EA" w:rsidRPr="00931BCF">
        <w:rPr>
          <w:rFonts w:hint="cs"/>
          <w:rtl/>
        </w:rPr>
        <w:t>נתונים</w:t>
      </w:r>
      <w:r w:rsidR="008135EA" w:rsidRPr="00931BCF">
        <w:rPr>
          <w:rtl/>
        </w:rPr>
        <w:t xml:space="preserve"> </w:t>
      </w:r>
      <w:r w:rsidR="008135EA" w:rsidRPr="00931BCF">
        <w:rPr>
          <w:rFonts w:hint="cs"/>
          <w:rtl/>
        </w:rPr>
        <w:t>מקוריים</w:t>
      </w:r>
      <w:r w:rsidR="008135EA" w:rsidRPr="00931BCF">
        <w:rPr>
          <w:rtl/>
        </w:rPr>
        <w:t xml:space="preserve"> </w:t>
      </w:r>
      <w:proofErr w:type="spellStart"/>
      <w:r w:rsidR="008135EA" w:rsidRPr="00931BCF">
        <w:rPr>
          <w:rFonts w:hint="cs"/>
          <w:rtl/>
        </w:rPr>
        <w:t>ומנוכי</w:t>
      </w:r>
      <w:proofErr w:type="spellEnd"/>
      <w:r w:rsidR="008135EA" w:rsidRPr="00931BCF">
        <w:rPr>
          <w:rtl/>
        </w:rPr>
        <w:t xml:space="preserve"> </w:t>
      </w:r>
      <w:r w:rsidR="008135EA" w:rsidRPr="00931BCF">
        <w:rPr>
          <w:rFonts w:hint="cs"/>
          <w:rtl/>
        </w:rPr>
        <w:t>עונתיות</w:t>
      </w:r>
      <w:r w:rsidR="008135EA" w:rsidRPr="00931BCF">
        <w:rPr>
          <w:rtl/>
        </w:rPr>
        <w:t xml:space="preserve">, </w:t>
      </w:r>
      <w:r w:rsidR="008135EA" w:rsidRPr="00931BCF">
        <w:rPr>
          <w:rFonts w:hint="cs"/>
          <w:rtl/>
        </w:rPr>
        <w:t>אחוזים</w:t>
      </w:r>
      <w:r w:rsidR="008135EA" w:rsidRPr="00931BCF">
        <w:rPr>
          <w:rtl/>
        </w:rPr>
        <w:t>)</w:t>
      </w:r>
    </w:p>
    <w:p w:rsidR="00B93664" w:rsidRPr="00B93664" w:rsidRDefault="000F4B9F" w:rsidP="00931BCF">
      <w:pPr>
        <w:spacing w:after="0"/>
        <w:rPr>
          <w:rFonts w:cs="David"/>
          <w:sz w:val="18"/>
          <w:szCs w:val="18"/>
          <w:rtl/>
        </w:rPr>
      </w:pPr>
      <w:r w:rsidRPr="000F4B9F">
        <w:rPr>
          <w:noProof/>
          <w:rtl/>
        </w:rPr>
        <w:drawing>
          <wp:inline distT="0" distB="0" distL="0" distR="0" wp14:anchorId="6733E9D5" wp14:editId="4D9E6F16">
            <wp:extent cx="5274310" cy="2628055"/>
            <wp:effectExtent l="0" t="0" r="2540" b="1270"/>
            <wp:docPr id="2" name="תמונה 2" descr="הפעילות הכלכלית בענפי המשק, על פי מאזן הנטו של דיווחי החברות" title="הפעילות הכלכלית בענפי המשק, על פי מאזן הנטו של דיווחי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19" w:rsidRPr="00B93664" w:rsidRDefault="00FE2B19" w:rsidP="00931BCF">
      <w:pPr>
        <w:spacing w:after="0"/>
        <w:rPr>
          <w:rFonts w:cs="David"/>
          <w:sz w:val="18"/>
          <w:szCs w:val="18"/>
          <w:rtl/>
        </w:rPr>
      </w:pPr>
    </w:p>
    <w:p w:rsidR="009748AB" w:rsidRPr="00931BCF" w:rsidRDefault="009748AB" w:rsidP="00931BCF">
      <w:pPr>
        <w:spacing w:after="0"/>
        <w:jc w:val="both"/>
        <w:rPr>
          <w:rFonts w:cs="David"/>
          <w:sz w:val="24"/>
          <w:szCs w:val="24"/>
          <w:rtl/>
        </w:rPr>
      </w:pPr>
      <w:r w:rsidRPr="00931BCF">
        <w:rPr>
          <w:rFonts w:cs="David" w:hint="cs"/>
          <w:sz w:val="24"/>
          <w:szCs w:val="24"/>
          <w:rtl/>
        </w:rPr>
        <w:t>כוכבית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לשמאל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המספר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מציינת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תוצאה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בלתי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מובהקת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סטטיסטית</w:t>
      </w:r>
      <w:r w:rsidRPr="00931BCF">
        <w:rPr>
          <w:rFonts w:cs="David"/>
          <w:sz w:val="24"/>
          <w:szCs w:val="24"/>
          <w:rtl/>
        </w:rPr>
        <w:t xml:space="preserve"> (</w:t>
      </w:r>
      <w:r w:rsidRPr="00931BCF">
        <w:rPr>
          <w:rFonts w:cs="David" w:hint="cs"/>
          <w:sz w:val="24"/>
          <w:szCs w:val="24"/>
          <w:rtl/>
        </w:rPr>
        <w:t>ברמה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של</w:t>
      </w:r>
      <w:r w:rsidRPr="00931BCF">
        <w:rPr>
          <w:rFonts w:cs="David"/>
          <w:sz w:val="24"/>
          <w:szCs w:val="24"/>
          <w:rtl/>
        </w:rPr>
        <w:t xml:space="preserve"> </w:t>
      </w:r>
      <w:r w:rsidR="0098791C" w:rsidRPr="00931BCF">
        <w:rPr>
          <w:rFonts w:cs="David"/>
          <w:sz w:val="24"/>
          <w:szCs w:val="24"/>
          <w:rtl/>
        </w:rPr>
        <w:t>10%</w:t>
      </w:r>
      <w:r w:rsidRPr="00931BCF">
        <w:rPr>
          <w:rFonts w:cs="David"/>
          <w:sz w:val="24"/>
          <w:szCs w:val="24"/>
          <w:rtl/>
        </w:rPr>
        <w:t>).</w:t>
      </w:r>
    </w:p>
    <w:p w:rsidR="009748AB" w:rsidRPr="00931BCF" w:rsidRDefault="001E5FD4" w:rsidP="00931BCF">
      <w:pPr>
        <w:spacing w:after="0" w:line="360" w:lineRule="auto"/>
        <w:rPr>
          <w:rFonts w:cs="David"/>
          <w:sz w:val="24"/>
          <w:szCs w:val="24"/>
          <w:rtl/>
        </w:rPr>
      </w:pPr>
      <w:r w:rsidRPr="00931BCF">
        <w:rPr>
          <w:rFonts w:cs="David"/>
          <w:sz w:val="24"/>
          <w:szCs w:val="24"/>
          <w:vertAlign w:val="superscript"/>
          <w:rtl/>
        </w:rPr>
        <w:t>1</w:t>
      </w:r>
      <w:r w:rsidRPr="00931BCF">
        <w:rPr>
          <w:rFonts w:cs="David"/>
          <w:sz w:val="24"/>
          <w:szCs w:val="24"/>
          <w:rtl/>
        </w:rPr>
        <w:t xml:space="preserve"> </w:t>
      </w:r>
      <w:r w:rsidR="009748AB" w:rsidRPr="00931BCF">
        <w:rPr>
          <w:rFonts w:cs="David" w:hint="cs"/>
          <w:sz w:val="24"/>
          <w:szCs w:val="24"/>
          <w:rtl/>
        </w:rPr>
        <w:t>מבחן</w:t>
      </w:r>
      <w:r w:rsidR="009748AB" w:rsidRPr="00931BCF">
        <w:rPr>
          <w:rFonts w:cs="David"/>
          <w:sz w:val="24"/>
          <w:szCs w:val="24"/>
          <w:rtl/>
        </w:rPr>
        <w:t xml:space="preserve"> </w:t>
      </w:r>
      <w:r w:rsidR="009748AB" w:rsidRPr="00931BCF">
        <w:rPr>
          <w:rFonts w:cs="David" w:hint="cs"/>
          <w:sz w:val="24"/>
          <w:szCs w:val="24"/>
          <w:rtl/>
        </w:rPr>
        <w:t>המובהקות</w:t>
      </w:r>
      <w:r w:rsidR="009748AB" w:rsidRPr="00931BCF">
        <w:rPr>
          <w:rFonts w:cs="David"/>
          <w:sz w:val="24"/>
          <w:szCs w:val="24"/>
          <w:rtl/>
        </w:rPr>
        <w:t xml:space="preserve"> </w:t>
      </w:r>
      <w:r w:rsidR="009748AB" w:rsidRPr="00931BCF">
        <w:rPr>
          <w:rFonts w:cs="David" w:hint="cs"/>
          <w:sz w:val="24"/>
          <w:szCs w:val="24"/>
          <w:rtl/>
        </w:rPr>
        <w:t>פחות</w:t>
      </w:r>
      <w:r w:rsidR="009748AB" w:rsidRPr="00931BCF">
        <w:rPr>
          <w:rFonts w:cs="David"/>
          <w:sz w:val="24"/>
          <w:szCs w:val="24"/>
          <w:rtl/>
        </w:rPr>
        <w:t xml:space="preserve"> </w:t>
      </w:r>
      <w:proofErr w:type="spellStart"/>
      <w:r w:rsidR="009748AB" w:rsidRPr="00931BCF">
        <w:rPr>
          <w:rFonts w:cs="David" w:hint="cs"/>
          <w:sz w:val="24"/>
          <w:szCs w:val="24"/>
          <w:rtl/>
        </w:rPr>
        <w:t>א</w:t>
      </w:r>
      <w:r w:rsidR="003F7BAE" w:rsidRPr="00931BCF">
        <w:rPr>
          <w:rFonts w:cs="David" w:hint="cs"/>
          <w:sz w:val="24"/>
          <w:szCs w:val="24"/>
          <w:rtl/>
        </w:rPr>
        <w:t>י</w:t>
      </w:r>
      <w:r w:rsidR="009748AB" w:rsidRPr="00931BCF">
        <w:rPr>
          <w:rFonts w:cs="David" w:hint="cs"/>
          <w:sz w:val="24"/>
          <w:szCs w:val="24"/>
          <w:rtl/>
        </w:rPr>
        <w:t>נדיקטיבי</w:t>
      </w:r>
      <w:proofErr w:type="spellEnd"/>
      <w:r w:rsidR="009748AB" w:rsidRPr="00931BCF">
        <w:rPr>
          <w:rFonts w:cs="David"/>
          <w:sz w:val="24"/>
          <w:szCs w:val="24"/>
          <w:rtl/>
        </w:rPr>
        <w:t xml:space="preserve"> </w:t>
      </w:r>
      <w:r w:rsidR="009748AB" w:rsidRPr="00931BCF">
        <w:rPr>
          <w:rFonts w:cs="David" w:hint="cs"/>
          <w:sz w:val="24"/>
          <w:szCs w:val="24"/>
          <w:rtl/>
        </w:rPr>
        <w:t>בתחבורה</w:t>
      </w:r>
      <w:r w:rsidR="009748AB" w:rsidRPr="00931BCF">
        <w:rPr>
          <w:rFonts w:cs="David"/>
          <w:sz w:val="24"/>
          <w:szCs w:val="24"/>
          <w:rtl/>
        </w:rPr>
        <w:t xml:space="preserve"> </w:t>
      </w:r>
      <w:r w:rsidR="009748AB" w:rsidRPr="00931BCF">
        <w:rPr>
          <w:rFonts w:cs="David" w:hint="cs"/>
          <w:sz w:val="24"/>
          <w:szCs w:val="24"/>
          <w:rtl/>
        </w:rPr>
        <w:t>ובתקשורת</w:t>
      </w:r>
      <w:r w:rsidR="009748AB" w:rsidRPr="00931BCF">
        <w:rPr>
          <w:rFonts w:cs="David"/>
          <w:sz w:val="24"/>
          <w:szCs w:val="24"/>
          <w:rtl/>
        </w:rPr>
        <w:t xml:space="preserve">, </w:t>
      </w:r>
      <w:r w:rsidR="00F406A6" w:rsidRPr="00931BCF">
        <w:rPr>
          <w:rFonts w:cs="David" w:hint="cs"/>
          <w:sz w:val="24"/>
          <w:szCs w:val="24"/>
          <w:rtl/>
        </w:rPr>
        <w:t>משום ש</w:t>
      </w:r>
      <w:r w:rsidR="009748AB" w:rsidRPr="00931BCF">
        <w:rPr>
          <w:rFonts w:cs="David" w:hint="cs"/>
          <w:sz w:val="24"/>
          <w:szCs w:val="24"/>
          <w:rtl/>
        </w:rPr>
        <w:t>מספר</w:t>
      </w:r>
      <w:r w:rsidR="009748AB" w:rsidRPr="00931BCF">
        <w:rPr>
          <w:rFonts w:cs="David"/>
          <w:sz w:val="24"/>
          <w:szCs w:val="24"/>
          <w:rtl/>
        </w:rPr>
        <w:t xml:space="preserve"> </w:t>
      </w:r>
      <w:r w:rsidR="00F406A6" w:rsidRPr="00931BCF">
        <w:rPr>
          <w:rFonts w:cs="David" w:hint="cs"/>
          <w:sz w:val="24"/>
          <w:szCs w:val="24"/>
          <w:rtl/>
        </w:rPr>
        <w:t xml:space="preserve">החברות </w:t>
      </w:r>
      <w:r w:rsidR="009748AB" w:rsidRPr="00931BCF">
        <w:rPr>
          <w:rFonts w:cs="David" w:hint="cs"/>
          <w:sz w:val="24"/>
          <w:szCs w:val="24"/>
          <w:rtl/>
        </w:rPr>
        <w:t>קטן</w:t>
      </w:r>
      <w:r w:rsidR="009748AB" w:rsidRPr="00931BCF">
        <w:rPr>
          <w:rFonts w:cs="David"/>
          <w:sz w:val="24"/>
          <w:szCs w:val="24"/>
          <w:rtl/>
        </w:rPr>
        <w:t>.</w:t>
      </w:r>
    </w:p>
    <w:p w:rsidR="009748AB" w:rsidRPr="00931BCF" w:rsidRDefault="001E5FD4" w:rsidP="00931BCF">
      <w:pPr>
        <w:spacing w:after="0" w:line="360" w:lineRule="auto"/>
        <w:rPr>
          <w:rFonts w:cs="David"/>
          <w:sz w:val="24"/>
          <w:szCs w:val="24"/>
          <w:rtl/>
        </w:rPr>
      </w:pPr>
      <w:r w:rsidRPr="00931BCF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931BCF">
        <w:rPr>
          <w:rFonts w:cs="David" w:hint="cs"/>
          <w:sz w:val="24"/>
          <w:szCs w:val="24"/>
          <w:rtl/>
        </w:rPr>
        <w:t>לעומת</w:t>
      </w:r>
      <w:r w:rsidR="009748AB" w:rsidRPr="00931BCF">
        <w:rPr>
          <w:rFonts w:cs="David"/>
          <w:sz w:val="24"/>
          <w:szCs w:val="24"/>
          <w:rtl/>
        </w:rPr>
        <w:t xml:space="preserve"> </w:t>
      </w:r>
      <w:r w:rsidR="0098791C" w:rsidRPr="00931BCF">
        <w:rPr>
          <w:rFonts w:cs="David" w:hint="cs"/>
          <w:sz w:val="24"/>
          <w:szCs w:val="24"/>
          <w:rtl/>
        </w:rPr>
        <w:t>הרבעון</w:t>
      </w:r>
      <w:r w:rsidR="009748AB" w:rsidRPr="00931BCF">
        <w:rPr>
          <w:rFonts w:cs="David"/>
          <w:sz w:val="24"/>
          <w:szCs w:val="24"/>
          <w:rtl/>
        </w:rPr>
        <w:t xml:space="preserve"> </w:t>
      </w:r>
      <w:r w:rsidR="009748AB" w:rsidRPr="00931BCF">
        <w:rPr>
          <w:rFonts w:cs="David" w:hint="cs"/>
          <w:sz w:val="24"/>
          <w:szCs w:val="24"/>
          <w:rtl/>
        </w:rPr>
        <w:t>המקביל</w:t>
      </w:r>
      <w:r w:rsidR="009748AB" w:rsidRPr="00931BCF">
        <w:rPr>
          <w:rFonts w:cs="David"/>
          <w:sz w:val="24"/>
          <w:szCs w:val="24"/>
          <w:rtl/>
        </w:rPr>
        <w:t xml:space="preserve"> </w:t>
      </w:r>
      <w:r w:rsidR="009748AB" w:rsidRPr="00931BCF">
        <w:rPr>
          <w:rFonts w:cs="David" w:hint="cs"/>
          <w:sz w:val="24"/>
          <w:szCs w:val="24"/>
          <w:rtl/>
        </w:rPr>
        <w:t>אשתקד</w:t>
      </w:r>
      <w:r w:rsidR="009748AB" w:rsidRPr="00931BCF">
        <w:rPr>
          <w:rFonts w:cs="David"/>
          <w:sz w:val="24"/>
          <w:szCs w:val="24"/>
          <w:rtl/>
        </w:rPr>
        <w:t>.</w:t>
      </w:r>
    </w:p>
    <w:p w:rsidR="007765C9" w:rsidRDefault="0098791C" w:rsidP="00931BCF">
      <w:pPr>
        <w:spacing w:before="240" w:after="0" w:line="360" w:lineRule="auto"/>
        <w:rPr>
          <w:rFonts w:cs="David"/>
          <w:sz w:val="24"/>
          <w:szCs w:val="24"/>
          <w:rtl/>
        </w:rPr>
      </w:pPr>
      <w:r w:rsidRPr="00931BCF">
        <w:rPr>
          <w:rStyle w:val="10"/>
          <w:rFonts w:hint="cs"/>
          <w:b/>
          <w:bCs/>
          <w:rtl/>
        </w:rPr>
        <w:t>בענף התעשייה</w:t>
      </w:r>
      <w:r w:rsidRPr="00931BCF">
        <w:rPr>
          <w:rFonts w:cs="David" w:hint="cs"/>
          <w:sz w:val="28"/>
          <w:szCs w:val="28"/>
          <w:rtl/>
        </w:rPr>
        <w:t xml:space="preserve"> </w:t>
      </w:r>
      <w:r w:rsidR="007160D8">
        <w:rPr>
          <w:rFonts w:cs="David" w:hint="cs"/>
          <w:sz w:val="24"/>
          <w:szCs w:val="24"/>
          <w:rtl/>
        </w:rPr>
        <w:t xml:space="preserve">מאזן הנטו של התפוקה </w:t>
      </w:r>
      <w:r w:rsidR="009C689A">
        <w:rPr>
          <w:rFonts w:cs="David" w:hint="cs"/>
          <w:sz w:val="24"/>
          <w:szCs w:val="24"/>
          <w:rtl/>
        </w:rPr>
        <w:t xml:space="preserve">מעיד על התייצבות בפעילות, </w:t>
      </w:r>
      <w:r w:rsidR="00F406A6">
        <w:rPr>
          <w:rFonts w:cs="David" w:hint="cs"/>
          <w:sz w:val="24"/>
          <w:szCs w:val="24"/>
          <w:rtl/>
        </w:rPr>
        <w:t xml:space="preserve">אף כי </w:t>
      </w:r>
      <w:r w:rsidR="009C689A">
        <w:rPr>
          <w:rFonts w:cs="David" w:hint="cs"/>
          <w:sz w:val="24"/>
          <w:szCs w:val="24"/>
          <w:rtl/>
        </w:rPr>
        <w:t>מספר העובדים והיקף היצוא</w:t>
      </w:r>
      <w:r w:rsidR="00F406A6">
        <w:rPr>
          <w:rFonts w:cs="David" w:hint="cs"/>
          <w:sz w:val="24"/>
          <w:szCs w:val="24"/>
          <w:rtl/>
        </w:rPr>
        <w:t xml:space="preserve"> מוסיפים לרדת</w:t>
      </w:r>
      <w:r w:rsidR="009C689A">
        <w:rPr>
          <w:rFonts w:cs="David" w:hint="cs"/>
          <w:sz w:val="24"/>
          <w:szCs w:val="24"/>
          <w:rtl/>
        </w:rPr>
        <w:t>. החברות בענף מדווחות על ירידה</w:t>
      </w:r>
      <w:r w:rsidR="008D25E7">
        <w:rPr>
          <w:rFonts w:cs="David" w:hint="cs"/>
          <w:sz w:val="24"/>
          <w:szCs w:val="24"/>
          <w:rtl/>
        </w:rPr>
        <w:t xml:space="preserve"> </w:t>
      </w:r>
      <w:r w:rsidR="009C689A">
        <w:rPr>
          <w:rFonts w:cs="David" w:hint="cs"/>
          <w:sz w:val="24"/>
          <w:szCs w:val="24"/>
          <w:rtl/>
        </w:rPr>
        <w:t>במכירות</w:t>
      </w:r>
      <w:r w:rsidR="008D25E7">
        <w:rPr>
          <w:rFonts w:cs="David" w:hint="cs"/>
          <w:sz w:val="24"/>
          <w:szCs w:val="24"/>
          <w:rtl/>
        </w:rPr>
        <w:t xml:space="preserve"> ועלייה במלאי המוצרים המוגמרים, לצד התייצבות </w:t>
      </w:r>
      <w:r w:rsidR="009C689A">
        <w:rPr>
          <w:rFonts w:cs="David" w:hint="cs"/>
          <w:sz w:val="24"/>
          <w:szCs w:val="24"/>
          <w:rtl/>
        </w:rPr>
        <w:t xml:space="preserve">בשיעור הניצולת של המכונות והציוד. </w:t>
      </w:r>
      <w:r w:rsidR="00F26810">
        <w:rPr>
          <w:rFonts w:cs="David" w:hint="cs"/>
          <w:sz w:val="24"/>
          <w:szCs w:val="24"/>
          <w:rtl/>
        </w:rPr>
        <w:t xml:space="preserve">בענף </w:t>
      </w:r>
      <w:r w:rsidR="00995C0F">
        <w:rPr>
          <w:rFonts w:cs="David" w:hint="cs"/>
          <w:sz w:val="24"/>
          <w:szCs w:val="24"/>
          <w:rtl/>
        </w:rPr>
        <w:t>צופים</w:t>
      </w:r>
      <w:r w:rsidR="00F26810">
        <w:rPr>
          <w:rFonts w:cs="David" w:hint="cs"/>
          <w:sz w:val="24"/>
          <w:szCs w:val="24"/>
          <w:rtl/>
        </w:rPr>
        <w:t xml:space="preserve"> האטה קלה</w:t>
      </w:r>
      <w:r w:rsidR="00ED0371">
        <w:rPr>
          <w:rFonts w:cs="David" w:hint="cs"/>
          <w:sz w:val="24"/>
          <w:szCs w:val="24"/>
          <w:rtl/>
        </w:rPr>
        <w:t xml:space="preserve"> ברבעון הבא</w:t>
      </w:r>
      <w:r w:rsidR="00995C0F">
        <w:rPr>
          <w:rFonts w:cs="David" w:hint="cs"/>
          <w:sz w:val="24"/>
          <w:szCs w:val="24"/>
          <w:rtl/>
        </w:rPr>
        <w:t xml:space="preserve">, וזאת על יסוד </w:t>
      </w:r>
      <w:r w:rsidR="00ED0371">
        <w:rPr>
          <w:rFonts w:cs="David" w:hint="cs"/>
          <w:sz w:val="24"/>
          <w:szCs w:val="24"/>
          <w:rtl/>
        </w:rPr>
        <w:t>סעיפי ההזמנות לשוק המקומי וליצוא.</w:t>
      </w:r>
    </w:p>
    <w:p w:rsidR="007765C9" w:rsidRDefault="00B01107" w:rsidP="00931BCF">
      <w:pPr>
        <w:spacing w:after="0" w:line="360" w:lineRule="auto"/>
        <w:rPr>
          <w:rFonts w:cs="David"/>
          <w:sz w:val="24"/>
          <w:szCs w:val="24"/>
          <w:rtl/>
        </w:rPr>
      </w:pPr>
      <w:r w:rsidRPr="00931BCF">
        <w:rPr>
          <w:rStyle w:val="10"/>
          <w:rFonts w:hint="cs"/>
          <w:b/>
          <w:bCs/>
          <w:rtl/>
        </w:rPr>
        <w:t>בענף השירותים</w:t>
      </w:r>
      <w:r>
        <w:rPr>
          <w:rFonts w:cs="David" w:hint="cs"/>
          <w:sz w:val="24"/>
          <w:szCs w:val="24"/>
          <w:rtl/>
        </w:rPr>
        <w:t xml:space="preserve"> </w:t>
      </w:r>
      <w:r w:rsidR="007160D8" w:rsidRPr="00B93664">
        <w:rPr>
          <w:rFonts w:cs="David" w:hint="cs"/>
          <w:sz w:val="24"/>
          <w:szCs w:val="24"/>
          <w:rtl/>
        </w:rPr>
        <w:t>מאזן הנטו</w:t>
      </w:r>
      <w:r w:rsidR="007160D8">
        <w:rPr>
          <w:rFonts w:cs="David" w:hint="cs"/>
          <w:sz w:val="24"/>
          <w:szCs w:val="24"/>
          <w:rtl/>
        </w:rPr>
        <w:t xml:space="preserve"> של הפדיון</w:t>
      </w:r>
      <w:r w:rsidR="007160D8" w:rsidRPr="00B93664">
        <w:rPr>
          <w:rFonts w:cs="David" w:hint="cs"/>
          <w:sz w:val="24"/>
          <w:szCs w:val="24"/>
          <w:rtl/>
        </w:rPr>
        <w:t xml:space="preserve"> </w:t>
      </w:r>
      <w:r w:rsidR="00DD613E">
        <w:rPr>
          <w:rFonts w:cs="David" w:hint="cs"/>
          <w:sz w:val="24"/>
          <w:szCs w:val="24"/>
          <w:rtl/>
        </w:rPr>
        <w:t xml:space="preserve">משקף </w:t>
      </w:r>
      <w:r w:rsidR="000D6CB9">
        <w:rPr>
          <w:rFonts w:cs="David" w:hint="cs"/>
          <w:sz w:val="24"/>
          <w:szCs w:val="24"/>
          <w:rtl/>
        </w:rPr>
        <w:t>הת</w:t>
      </w:r>
      <w:r w:rsidR="007A7758">
        <w:rPr>
          <w:rFonts w:cs="David" w:hint="cs"/>
          <w:sz w:val="24"/>
          <w:szCs w:val="24"/>
          <w:rtl/>
        </w:rPr>
        <w:t>כווצות</w:t>
      </w:r>
      <w:r w:rsidR="00DD613E">
        <w:rPr>
          <w:rFonts w:cs="David" w:hint="cs"/>
          <w:sz w:val="24"/>
          <w:szCs w:val="24"/>
          <w:rtl/>
        </w:rPr>
        <w:t xml:space="preserve"> בפעילות</w:t>
      </w:r>
      <w:r w:rsidR="00796FC0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בעקבות</w:t>
      </w:r>
      <w:r w:rsidR="000D6CB9">
        <w:rPr>
          <w:rFonts w:cs="David" w:hint="cs"/>
          <w:sz w:val="24"/>
          <w:szCs w:val="24"/>
          <w:rtl/>
        </w:rPr>
        <w:t xml:space="preserve"> </w:t>
      </w:r>
      <w:r w:rsidR="007A7758">
        <w:rPr>
          <w:rFonts w:cs="David" w:hint="cs"/>
          <w:sz w:val="24"/>
          <w:szCs w:val="24"/>
          <w:rtl/>
        </w:rPr>
        <w:t>חולשה במ</w:t>
      </w:r>
      <w:r w:rsidR="00CD5B56">
        <w:rPr>
          <w:rFonts w:cs="David" w:hint="cs"/>
          <w:sz w:val="24"/>
          <w:szCs w:val="24"/>
          <w:rtl/>
        </w:rPr>
        <w:t>כירת שירותים בארץ</w:t>
      </w:r>
      <w:r w:rsidR="007A7758">
        <w:rPr>
          <w:rFonts w:cs="David" w:hint="cs"/>
          <w:sz w:val="24"/>
          <w:szCs w:val="24"/>
          <w:rtl/>
        </w:rPr>
        <w:t xml:space="preserve"> ובחו"ל</w:t>
      </w:r>
      <w:r w:rsidR="00CD5B56">
        <w:rPr>
          <w:rFonts w:cs="David" w:hint="cs"/>
          <w:sz w:val="24"/>
          <w:szCs w:val="24"/>
          <w:rtl/>
        </w:rPr>
        <w:t xml:space="preserve">. </w:t>
      </w:r>
      <w:r w:rsidR="007A7758">
        <w:rPr>
          <w:rFonts w:cs="David" w:hint="cs"/>
          <w:sz w:val="24"/>
          <w:szCs w:val="24"/>
          <w:rtl/>
        </w:rPr>
        <w:t xml:space="preserve">אף על פי כן, במצבת העובדים </w:t>
      </w:r>
      <w:r w:rsidR="00995C0F">
        <w:rPr>
          <w:rFonts w:cs="David" w:hint="cs"/>
          <w:sz w:val="24"/>
          <w:szCs w:val="24"/>
          <w:rtl/>
        </w:rPr>
        <w:t>ניכרה</w:t>
      </w:r>
      <w:r w:rsidR="007A7758">
        <w:rPr>
          <w:rFonts w:cs="David" w:hint="cs"/>
          <w:sz w:val="24"/>
          <w:szCs w:val="24"/>
          <w:rtl/>
        </w:rPr>
        <w:t xml:space="preserve"> ירידה קלה בלבד. </w:t>
      </w:r>
      <w:r>
        <w:rPr>
          <w:rFonts w:cs="David" w:hint="cs"/>
          <w:sz w:val="24"/>
          <w:szCs w:val="24"/>
          <w:rtl/>
        </w:rPr>
        <w:t xml:space="preserve">בענף </w:t>
      </w:r>
      <w:r w:rsidR="00995C0F">
        <w:rPr>
          <w:rFonts w:cs="David" w:hint="cs"/>
          <w:sz w:val="24"/>
          <w:szCs w:val="24"/>
          <w:rtl/>
        </w:rPr>
        <w:t>צופים</w:t>
      </w:r>
      <w:r w:rsidR="00796FC0" w:rsidRPr="00B93664">
        <w:rPr>
          <w:rFonts w:cs="David" w:hint="cs"/>
          <w:sz w:val="24"/>
          <w:szCs w:val="24"/>
          <w:rtl/>
        </w:rPr>
        <w:t xml:space="preserve"> </w:t>
      </w:r>
      <w:r w:rsidR="007A7758">
        <w:rPr>
          <w:rFonts w:cs="David" w:hint="cs"/>
          <w:sz w:val="24"/>
          <w:szCs w:val="24"/>
          <w:rtl/>
        </w:rPr>
        <w:t xml:space="preserve">יציבות </w:t>
      </w:r>
      <w:r w:rsidR="00796FC0">
        <w:rPr>
          <w:rFonts w:cs="David" w:hint="cs"/>
          <w:sz w:val="24"/>
          <w:szCs w:val="24"/>
          <w:rtl/>
        </w:rPr>
        <w:t>בהזמנות</w:t>
      </w:r>
      <w:r w:rsidR="00796FC0" w:rsidRPr="00B93664">
        <w:rPr>
          <w:rFonts w:cs="David" w:hint="cs"/>
          <w:sz w:val="24"/>
          <w:szCs w:val="24"/>
          <w:rtl/>
        </w:rPr>
        <w:t xml:space="preserve"> </w:t>
      </w:r>
      <w:r w:rsidR="00AF6C86">
        <w:rPr>
          <w:rFonts w:cs="David" w:hint="cs"/>
          <w:sz w:val="24"/>
          <w:szCs w:val="24"/>
          <w:rtl/>
        </w:rPr>
        <w:t>ל</w:t>
      </w:r>
      <w:r w:rsidR="007A7758">
        <w:rPr>
          <w:rFonts w:cs="David" w:hint="cs"/>
          <w:sz w:val="24"/>
          <w:szCs w:val="24"/>
          <w:rtl/>
        </w:rPr>
        <w:t>רבעון הבא.</w:t>
      </w:r>
      <w:r w:rsidR="00796FC0" w:rsidRPr="00B93664">
        <w:rPr>
          <w:rFonts w:cs="David" w:hint="cs"/>
          <w:sz w:val="24"/>
          <w:szCs w:val="24"/>
          <w:rtl/>
        </w:rPr>
        <w:t xml:space="preserve"> </w:t>
      </w:r>
      <w:r w:rsidR="00F26810">
        <w:rPr>
          <w:rFonts w:cs="David" w:hint="cs"/>
          <w:sz w:val="24"/>
          <w:szCs w:val="24"/>
          <w:rtl/>
        </w:rPr>
        <w:tab/>
      </w:r>
    </w:p>
    <w:p w:rsidR="00796FC0" w:rsidRPr="00F26810" w:rsidRDefault="00796FC0" w:rsidP="00931BCF">
      <w:pPr>
        <w:spacing w:after="0" w:line="360" w:lineRule="auto"/>
        <w:rPr>
          <w:rFonts w:cs="David"/>
          <w:sz w:val="24"/>
          <w:szCs w:val="24"/>
          <w:rtl/>
        </w:rPr>
      </w:pPr>
      <w:r w:rsidRPr="00931BCF">
        <w:rPr>
          <w:rStyle w:val="10"/>
          <w:rFonts w:hint="cs"/>
          <w:b/>
          <w:bCs/>
          <w:rtl/>
        </w:rPr>
        <w:t>בענף המסחר</w:t>
      </w:r>
      <w:r w:rsidRPr="00F26810">
        <w:rPr>
          <w:rFonts w:cs="David" w:hint="cs"/>
          <w:sz w:val="24"/>
          <w:szCs w:val="24"/>
          <w:rtl/>
        </w:rPr>
        <w:t xml:space="preserve"> </w:t>
      </w:r>
      <w:r w:rsidR="007160D8" w:rsidRPr="00F26810">
        <w:rPr>
          <w:rFonts w:cs="David" w:hint="cs"/>
          <w:sz w:val="24"/>
          <w:szCs w:val="24"/>
          <w:rtl/>
        </w:rPr>
        <w:t xml:space="preserve">מאזן הנטו של המכירות </w:t>
      </w:r>
      <w:r w:rsidR="00337062" w:rsidRPr="00F26810">
        <w:rPr>
          <w:rFonts w:cs="David" w:hint="cs"/>
          <w:sz w:val="24"/>
          <w:szCs w:val="24"/>
          <w:rtl/>
        </w:rPr>
        <w:t xml:space="preserve">שלילי </w:t>
      </w:r>
      <w:r w:rsidR="00AD323E" w:rsidRPr="00F26810">
        <w:rPr>
          <w:rFonts w:cs="David" w:hint="cs"/>
          <w:sz w:val="24"/>
          <w:szCs w:val="24"/>
          <w:rtl/>
        </w:rPr>
        <w:t>גם כן</w:t>
      </w:r>
      <w:r w:rsidR="00600D9E" w:rsidRPr="00F26810">
        <w:rPr>
          <w:rFonts w:cs="David" w:hint="cs"/>
          <w:sz w:val="24"/>
          <w:szCs w:val="24"/>
          <w:rtl/>
        </w:rPr>
        <w:t>,</w:t>
      </w:r>
      <w:r w:rsidR="00791D70" w:rsidRPr="00F26810">
        <w:rPr>
          <w:rFonts w:cs="David" w:hint="cs"/>
          <w:sz w:val="24"/>
          <w:szCs w:val="24"/>
          <w:rtl/>
        </w:rPr>
        <w:t xml:space="preserve"> </w:t>
      </w:r>
      <w:r w:rsidR="00F26810" w:rsidRPr="00F26810">
        <w:rPr>
          <w:rFonts w:cs="David" w:hint="cs"/>
          <w:sz w:val="24"/>
          <w:szCs w:val="24"/>
          <w:rtl/>
        </w:rPr>
        <w:t xml:space="preserve">אך </w:t>
      </w:r>
      <w:r w:rsidR="00995C0F">
        <w:rPr>
          <w:rFonts w:cs="David" w:hint="cs"/>
          <w:sz w:val="24"/>
          <w:szCs w:val="24"/>
          <w:rtl/>
        </w:rPr>
        <w:t xml:space="preserve">הוא </w:t>
      </w:r>
      <w:r w:rsidR="00791D70" w:rsidRPr="00F26810">
        <w:rPr>
          <w:rFonts w:cs="David" w:hint="cs"/>
          <w:sz w:val="24"/>
          <w:szCs w:val="24"/>
          <w:rtl/>
        </w:rPr>
        <w:t>מלו</w:t>
      </w:r>
      <w:r w:rsidR="00AD323E" w:rsidRPr="00F26810">
        <w:rPr>
          <w:rFonts w:cs="David" w:hint="cs"/>
          <w:sz w:val="24"/>
          <w:szCs w:val="24"/>
          <w:rtl/>
        </w:rPr>
        <w:t>ּ</w:t>
      </w:r>
      <w:r w:rsidR="00791D70" w:rsidRPr="00F26810">
        <w:rPr>
          <w:rFonts w:cs="David" w:hint="cs"/>
          <w:sz w:val="24"/>
          <w:szCs w:val="24"/>
          <w:rtl/>
        </w:rPr>
        <w:t>וה ב</w:t>
      </w:r>
      <w:r w:rsidR="00F26810" w:rsidRPr="00F26810">
        <w:rPr>
          <w:rFonts w:cs="David" w:hint="cs"/>
          <w:sz w:val="24"/>
          <w:szCs w:val="24"/>
          <w:rtl/>
        </w:rPr>
        <w:t>עלייה</w:t>
      </w:r>
      <w:r w:rsidR="00791D70" w:rsidRPr="00F26810">
        <w:rPr>
          <w:rFonts w:cs="David" w:hint="cs"/>
          <w:sz w:val="24"/>
          <w:szCs w:val="24"/>
          <w:rtl/>
        </w:rPr>
        <w:t xml:space="preserve"> </w:t>
      </w:r>
      <w:r w:rsidR="004256DE">
        <w:rPr>
          <w:rFonts w:cs="David" w:hint="cs"/>
          <w:sz w:val="24"/>
          <w:szCs w:val="24"/>
          <w:rtl/>
        </w:rPr>
        <w:t xml:space="preserve">קלה </w:t>
      </w:r>
      <w:r w:rsidR="00791D70" w:rsidRPr="00F26810">
        <w:rPr>
          <w:rFonts w:cs="David" w:hint="cs"/>
          <w:sz w:val="24"/>
          <w:szCs w:val="24"/>
          <w:rtl/>
        </w:rPr>
        <w:t>במספר העובדים</w:t>
      </w:r>
      <w:r w:rsidR="00600D9E" w:rsidRPr="00F26810">
        <w:rPr>
          <w:rFonts w:cs="David" w:hint="cs"/>
          <w:sz w:val="24"/>
          <w:szCs w:val="24"/>
          <w:rtl/>
        </w:rPr>
        <w:t xml:space="preserve">.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995C0F">
        <w:rPr>
          <w:rFonts w:cs="David" w:hint="cs"/>
          <w:sz w:val="24"/>
          <w:szCs w:val="24"/>
          <w:rtl/>
        </w:rPr>
        <w:t>צופים</w:t>
      </w:r>
      <w:r w:rsidR="00337062" w:rsidRPr="00F26810">
        <w:rPr>
          <w:rFonts w:cs="David" w:hint="cs"/>
          <w:sz w:val="24"/>
          <w:szCs w:val="24"/>
          <w:rtl/>
        </w:rPr>
        <w:t xml:space="preserve"> גידול </w:t>
      </w:r>
      <w:r w:rsidR="004256DE">
        <w:rPr>
          <w:rFonts w:cs="David" w:hint="cs"/>
          <w:sz w:val="24"/>
          <w:szCs w:val="24"/>
          <w:rtl/>
        </w:rPr>
        <w:t xml:space="preserve">משמעותי </w:t>
      </w:r>
      <w:r w:rsidR="00337062" w:rsidRPr="00F26810">
        <w:rPr>
          <w:rFonts w:cs="David" w:hint="cs"/>
          <w:sz w:val="24"/>
          <w:szCs w:val="24"/>
          <w:rtl/>
        </w:rPr>
        <w:t>במכירות ברבעון הבא.</w:t>
      </w:r>
      <w:r w:rsidRPr="00F26810">
        <w:rPr>
          <w:rFonts w:cs="David" w:hint="cs"/>
          <w:sz w:val="24"/>
          <w:szCs w:val="24"/>
          <w:rtl/>
        </w:rPr>
        <w:t xml:space="preserve"> </w:t>
      </w:r>
    </w:p>
    <w:p w:rsidR="003539F0" w:rsidRPr="00337062" w:rsidRDefault="003539F0" w:rsidP="00931BCF">
      <w:pPr>
        <w:spacing w:after="0" w:line="360" w:lineRule="auto"/>
        <w:rPr>
          <w:rFonts w:cs="David"/>
          <w:sz w:val="24"/>
          <w:szCs w:val="24"/>
          <w:rtl/>
        </w:rPr>
      </w:pPr>
      <w:r w:rsidRPr="00931BCF">
        <w:rPr>
          <w:rStyle w:val="10"/>
          <w:rFonts w:hint="cs"/>
          <w:b/>
          <w:bCs/>
          <w:rtl/>
        </w:rPr>
        <w:t>בענף המלונאות</w:t>
      </w:r>
      <w:r w:rsidRPr="00337062">
        <w:rPr>
          <w:rFonts w:cs="David" w:hint="cs"/>
          <w:sz w:val="24"/>
          <w:szCs w:val="24"/>
          <w:rtl/>
        </w:rPr>
        <w:t xml:space="preserve"> </w:t>
      </w:r>
      <w:r w:rsidR="007160D8" w:rsidRPr="00337062">
        <w:rPr>
          <w:rFonts w:cs="David" w:hint="cs"/>
          <w:sz w:val="24"/>
          <w:szCs w:val="24"/>
          <w:rtl/>
        </w:rPr>
        <w:t xml:space="preserve">מאזן הנטו של הפעילות </w:t>
      </w:r>
      <w:r w:rsidRPr="00337062">
        <w:rPr>
          <w:rFonts w:cs="David" w:hint="cs"/>
          <w:sz w:val="24"/>
          <w:szCs w:val="24"/>
          <w:rtl/>
        </w:rPr>
        <w:t xml:space="preserve">מעיד </w:t>
      </w:r>
      <w:r w:rsidR="00995C0F">
        <w:rPr>
          <w:rFonts w:cs="David" w:hint="cs"/>
          <w:sz w:val="24"/>
          <w:szCs w:val="24"/>
          <w:rtl/>
        </w:rPr>
        <w:t>כי לא חל</w:t>
      </w:r>
      <w:r w:rsidRPr="00337062">
        <w:rPr>
          <w:rFonts w:cs="David" w:hint="cs"/>
          <w:sz w:val="24"/>
          <w:szCs w:val="24"/>
          <w:rtl/>
        </w:rPr>
        <w:t xml:space="preserve"> שינוי ברמת הפעילות</w:t>
      </w:r>
      <w:r w:rsidR="00F26810">
        <w:rPr>
          <w:rFonts w:cs="David" w:hint="cs"/>
          <w:sz w:val="24"/>
          <w:szCs w:val="24"/>
          <w:rtl/>
        </w:rPr>
        <w:t>. מאזן זה משקף גידול במספר הלינות של ישראלים ו</w:t>
      </w:r>
      <w:r w:rsidRPr="00337062">
        <w:rPr>
          <w:rFonts w:cs="David" w:hint="cs"/>
          <w:sz w:val="24"/>
          <w:szCs w:val="24"/>
          <w:rtl/>
        </w:rPr>
        <w:t>ירידה</w:t>
      </w:r>
      <w:r w:rsidR="00337062" w:rsidRPr="00337062">
        <w:rPr>
          <w:rFonts w:cs="David" w:hint="cs"/>
          <w:sz w:val="24"/>
          <w:szCs w:val="24"/>
          <w:rtl/>
        </w:rPr>
        <w:t xml:space="preserve"> </w:t>
      </w:r>
      <w:r w:rsidR="00F26810">
        <w:rPr>
          <w:rFonts w:cs="David" w:hint="cs"/>
          <w:sz w:val="24"/>
          <w:szCs w:val="24"/>
          <w:rtl/>
        </w:rPr>
        <w:t>נוספת</w:t>
      </w:r>
      <w:r w:rsidRPr="00337062">
        <w:rPr>
          <w:rFonts w:cs="David" w:hint="cs"/>
          <w:sz w:val="24"/>
          <w:szCs w:val="24"/>
          <w:rtl/>
        </w:rPr>
        <w:t xml:space="preserve"> במספר הלינות </w:t>
      </w:r>
      <w:r w:rsidR="00337062" w:rsidRPr="00337062">
        <w:rPr>
          <w:rFonts w:cs="David" w:hint="cs"/>
          <w:sz w:val="24"/>
          <w:szCs w:val="24"/>
          <w:rtl/>
        </w:rPr>
        <w:t>של</w:t>
      </w:r>
      <w:r w:rsidRPr="00337062">
        <w:rPr>
          <w:rFonts w:cs="David" w:hint="cs"/>
          <w:sz w:val="24"/>
          <w:szCs w:val="24"/>
          <w:rtl/>
        </w:rPr>
        <w:t xml:space="preserve"> תיירים</w:t>
      </w:r>
      <w:r w:rsidR="00F26810">
        <w:rPr>
          <w:rFonts w:cs="David" w:hint="cs"/>
          <w:sz w:val="24"/>
          <w:szCs w:val="24"/>
          <w:rtl/>
        </w:rPr>
        <w:t xml:space="preserve"> מחו"ל.</w:t>
      </w:r>
      <w:r w:rsidRPr="00337062">
        <w:rPr>
          <w:rFonts w:cs="David" w:hint="cs"/>
          <w:sz w:val="24"/>
          <w:szCs w:val="24"/>
          <w:rtl/>
        </w:rPr>
        <w:t xml:space="preserve"> </w:t>
      </w:r>
      <w:r w:rsidR="00F26810">
        <w:rPr>
          <w:rFonts w:cs="David" w:hint="cs"/>
          <w:sz w:val="24"/>
          <w:szCs w:val="24"/>
          <w:rtl/>
        </w:rPr>
        <w:t xml:space="preserve">בענף </w:t>
      </w:r>
      <w:r w:rsidR="00995C0F">
        <w:rPr>
          <w:rFonts w:cs="David" w:hint="cs"/>
          <w:sz w:val="24"/>
          <w:szCs w:val="24"/>
          <w:rtl/>
        </w:rPr>
        <w:t>צופים</w:t>
      </w:r>
      <w:r w:rsidR="00F26810">
        <w:rPr>
          <w:rFonts w:cs="David" w:hint="cs"/>
          <w:sz w:val="24"/>
          <w:szCs w:val="24"/>
          <w:rtl/>
        </w:rPr>
        <w:t xml:space="preserve"> ש</w:t>
      </w:r>
      <w:r w:rsidR="00337062" w:rsidRPr="00337062">
        <w:rPr>
          <w:rFonts w:cs="David" w:hint="cs"/>
          <w:sz w:val="24"/>
          <w:szCs w:val="24"/>
          <w:rtl/>
        </w:rPr>
        <w:t>ברבעון הבא</w:t>
      </w:r>
      <w:r w:rsidRPr="00337062">
        <w:rPr>
          <w:rFonts w:cs="David" w:hint="cs"/>
          <w:sz w:val="24"/>
          <w:szCs w:val="24"/>
          <w:rtl/>
        </w:rPr>
        <w:t xml:space="preserve"> תימשך הירידה בהזמנות. </w:t>
      </w:r>
    </w:p>
    <w:p w:rsidR="003539F0" w:rsidRDefault="00796FC0" w:rsidP="00931BCF">
      <w:pPr>
        <w:spacing w:after="0" w:line="360" w:lineRule="auto"/>
        <w:rPr>
          <w:rFonts w:cs="David"/>
          <w:sz w:val="24"/>
          <w:szCs w:val="24"/>
          <w:rtl/>
        </w:rPr>
      </w:pPr>
      <w:r w:rsidRPr="00931BCF">
        <w:rPr>
          <w:rStyle w:val="10"/>
          <w:rFonts w:hint="cs"/>
          <w:b/>
          <w:bCs/>
          <w:rtl/>
        </w:rPr>
        <w:t>בענף הבנייה</w:t>
      </w:r>
      <w:r w:rsidRPr="003539F0">
        <w:rPr>
          <w:rFonts w:cs="David" w:hint="cs"/>
          <w:sz w:val="24"/>
          <w:szCs w:val="24"/>
          <w:rtl/>
        </w:rPr>
        <w:t xml:space="preserve"> מאזן הנטו</w:t>
      </w:r>
      <w:r w:rsidR="00791D70" w:rsidRPr="003539F0">
        <w:rPr>
          <w:rFonts w:cs="David" w:hint="cs"/>
          <w:sz w:val="24"/>
          <w:szCs w:val="24"/>
          <w:rtl/>
        </w:rPr>
        <w:t xml:space="preserve"> של היקף ביצוע העבודות חיובי</w:t>
      </w:r>
      <w:r w:rsidR="00E10A2A" w:rsidRPr="003539F0">
        <w:rPr>
          <w:rFonts w:cs="David" w:hint="cs"/>
          <w:sz w:val="24"/>
          <w:szCs w:val="24"/>
          <w:rtl/>
        </w:rPr>
        <w:t>,</w:t>
      </w:r>
      <w:r w:rsidR="00791D70" w:rsidRPr="003539F0">
        <w:rPr>
          <w:rFonts w:cs="David" w:hint="cs"/>
          <w:sz w:val="24"/>
          <w:szCs w:val="24"/>
          <w:rtl/>
        </w:rPr>
        <w:t xml:space="preserve"> </w:t>
      </w:r>
      <w:r w:rsidR="003539F0">
        <w:rPr>
          <w:rFonts w:cs="David" w:hint="cs"/>
          <w:sz w:val="24"/>
          <w:szCs w:val="24"/>
          <w:rtl/>
        </w:rPr>
        <w:t>ו</w:t>
      </w:r>
      <w:r w:rsidR="00BC43C3">
        <w:rPr>
          <w:rFonts w:cs="David" w:hint="cs"/>
          <w:sz w:val="24"/>
          <w:szCs w:val="24"/>
          <w:rtl/>
        </w:rPr>
        <w:t xml:space="preserve">הוא </w:t>
      </w:r>
      <w:r w:rsidR="003539F0">
        <w:rPr>
          <w:rFonts w:cs="David" w:hint="cs"/>
          <w:sz w:val="24"/>
          <w:szCs w:val="24"/>
          <w:rtl/>
        </w:rPr>
        <w:t xml:space="preserve">משקף </w:t>
      </w:r>
      <w:r w:rsidR="003539F0" w:rsidRPr="003539F0">
        <w:rPr>
          <w:rFonts w:cs="David" w:hint="cs"/>
          <w:sz w:val="24"/>
          <w:szCs w:val="24"/>
          <w:rtl/>
        </w:rPr>
        <w:t xml:space="preserve">גידול בפעילות הכרוכה בבניית מבנים </w:t>
      </w:r>
      <w:r w:rsidR="0062609B">
        <w:rPr>
          <w:rFonts w:cs="David" w:hint="cs"/>
          <w:sz w:val="24"/>
          <w:szCs w:val="24"/>
          <w:rtl/>
        </w:rPr>
        <w:t xml:space="preserve">לעומת </w:t>
      </w:r>
      <w:r w:rsidR="004B280A">
        <w:rPr>
          <w:rFonts w:cs="David" w:hint="cs"/>
          <w:sz w:val="24"/>
          <w:szCs w:val="24"/>
          <w:rtl/>
        </w:rPr>
        <w:t>צמצום</w:t>
      </w:r>
      <w:r w:rsidR="003539F0">
        <w:rPr>
          <w:rFonts w:cs="David" w:hint="cs"/>
          <w:sz w:val="24"/>
          <w:szCs w:val="24"/>
          <w:rtl/>
        </w:rPr>
        <w:t xml:space="preserve"> </w:t>
      </w:r>
      <w:r w:rsidR="003539F0" w:rsidRPr="003539F0">
        <w:rPr>
          <w:rFonts w:cs="David" w:hint="cs"/>
          <w:sz w:val="24"/>
          <w:szCs w:val="24"/>
          <w:rtl/>
        </w:rPr>
        <w:t xml:space="preserve">בבניית תשתיות. </w:t>
      </w:r>
      <w:r w:rsidR="00995C0F">
        <w:rPr>
          <w:rFonts w:cs="David" w:hint="cs"/>
          <w:sz w:val="24"/>
          <w:szCs w:val="24"/>
          <w:rtl/>
        </w:rPr>
        <w:t xml:space="preserve">בענף צופים כי </w:t>
      </w:r>
      <w:r w:rsidR="00F26810">
        <w:rPr>
          <w:rFonts w:cs="David" w:hint="cs"/>
          <w:sz w:val="24"/>
          <w:szCs w:val="24"/>
          <w:rtl/>
        </w:rPr>
        <w:t>ה</w:t>
      </w:r>
      <w:r w:rsidR="003539F0">
        <w:rPr>
          <w:rFonts w:cs="David" w:hint="cs"/>
          <w:sz w:val="24"/>
          <w:szCs w:val="24"/>
          <w:rtl/>
        </w:rPr>
        <w:t>פעילות</w:t>
      </w:r>
      <w:r w:rsidR="00F26810">
        <w:rPr>
          <w:rFonts w:cs="David" w:hint="cs"/>
          <w:sz w:val="24"/>
          <w:szCs w:val="24"/>
          <w:rtl/>
        </w:rPr>
        <w:t xml:space="preserve"> </w:t>
      </w:r>
      <w:r w:rsidR="00995C0F">
        <w:rPr>
          <w:rFonts w:cs="David" w:hint="cs"/>
          <w:sz w:val="24"/>
          <w:szCs w:val="24"/>
          <w:rtl/>
        </w:rPr>
        <w:t xml:space="preserve">תוסיף להתרחב </w:t>
      </w:r>
      <w:r w:rsidR="00F26810">
        <w:rPr>
          <w:rFonts w:cs="David" w:hint="cs"/>
          <w:sz w:val="24"/>
          <w:szCs w:val="24"/>
          <w:rtl/>
        </w:rPr>
        <w:t>גם ברבעון הבא</w:t>
      </w:r>
      <w:r w:rsidR="003539F0">
        <w:rPr>
          <w:rFonts w:cs="David" w:hint="cs"/>
          <w:sz w:val="24"/>
          <w:szCs w:val="24"/>
          <w:rtl/>
        </w:rPr>
        <w:t>.</w:t>
      </w:r>
    </w:p>
    <w:p w:rsidR="00796FC0" w:rsidRPr="003539F0" w:rsidRDefault="003539F0" w:rsidP="00931BCF">
      <w:pPr>
        <w:spacing w:after="0" w:line="360" w:lineRule="auto"/>
        <w:rPr>
          <w:rFonts w:cs="David"/>
          <w:sz w:val="24"/>
          <w:szCs w:val="24"/>
          <w:rtl/>
        </w:rPr>
      </w:pPr>
      <w:r w:rsidRPr="003539F0">
        <w:rPr>
          <w:rFonts w:cs="David" w:hint="cs"/>
          <w:sz w:val="24"/>
          <w:szCs w:val="24"/>
          <w:rtl/>
        </w:rPr>
        <w:t xml:space="preserve">גם </w:t>
      </w:r>
      <w:r w:rsidR="00796FC0" w:rsidRPr="00931BCF">
        <w:rPr>
          <w:rStyle w:val="10"/>
          <w:rFonts w:hint="cs"/>
          <w:b/>
          <w:bCs/>
          <w:rtl/>
        </w:rPr>
        <w:t>בענ</w:t>
      </w:r>
      <w:r w:rsidR="00283CA5" w:rsidRPr="00931BCF">
        <w:rPr>
          <w:rStyle w:val="10"/>
          <w:rFonts w:hint="cs"/>
          <w:b/>
          <w:bCs/>
          <w:rtl/>
        </w:rPr>
        <w:t>ף</w:t>
      </w:r>
      <w:r w:rsidR="009C7ED3" w:rsidRPr="00931BCF">
        <w:rPr>
          <w:rStyle w:val="10"/>
          <w:rFonts w:hint="cs"/>
          <w:b/>
          <w:bCs/>
          <w:rtl/>
        </w:rPr>
        <w:t xml:space="preserve"> </w:t>
      </w:r>
      <w:r w:rsidR="00796FC0" w:rsidRPr="00931BCF">
        <w:rPr>
          <w:rStyle w:val="10"/>
          <w:rFonts w:hint="cs"/>
          <w:b/>
          <w:bCs/>
          <w:rtl/>
        </w:rPr>
        <w:t>התחבורה והתקשורת</w:t>
      </w:r>
      <w:r w:rsidR="00796FC0" w:rsidRPr="003539F0">
        <w:rPr>
          <w:rFonts w:cs="David" w:hint="cs"/>
          <w:sz w:val="24"/>
          <w:szCs w:val="24"/>
          <w:rtl/>
        </w:rPr>
        <w:t xml:space="preserve"> </w:t>
      </w:r>
      <w:r w:rsidR="003620A9" w:rsidRPr="003539F0">
        <w:rPr>
          <w:rFonts w:cs="David" w:hint="cs"/>
          <w:sz w:val="24"/>
          <w:szCs w:val="24"/>
          <w:rtl/>
        </w:rPr>
        <w:t>מאזן הנטו חיובי</w:t>
      </w:r>
      <w:r w:rsidR="007160D8">
        <w:rPr>
          <w:rFonts w:cs="David" w:hint="cs"/>
          <w:sz w:val="24"/>
          <w:szCs w:val="24"/>
          <w:rtl/>
        </w:rPr>
        <w:t>,</w:t>
      </w:r>
      <w:r w:rsidR="003620A9" w:rsidRPr="003539F0">
        <w:rPr>
          <w:rFonts w:cs="David" w:hint="cs"/>
          <w:sz w:val="24"/>
          <w:szCs w:val="24"/>
          <w:rtl/>
        </w:rPr>
        <w:t xml:space="preserve"> ו</w:t>
      </w:r>
      <w:r w:rsidR="007160D8">
        <w:rPr>
          <w:rFonts w:cs="David" w:hint="cs"/>
          <w:sz w:val="24"/>
          <w:szCs w:val="24"/>
          <w:rtl/>
        </w:rPr>
        <w:t xml:space="preserve">הוא </w:t>
      </w:r>
      <w:r w:rsidR="003620A9" w:rsidRPr="003539F0">
        <w:rPr>
          <w:rFonts w:cs="David" w:hint="cs"/>
          <w:sz w:val="24"/>
          <w:szCs w:val="24"/>
          <w:rtl/>
        </w:rPr>
        <w:t>משקף עלייה</w:t>
      </w:r>
      <w:r w:rsidR="00796FC0" w:rsidRPr="003539F0">
        <w:rPr>
          <w:rFonts w:cs="David" w:hint="cs"/>
          <w:sz w:val="24"/>
          <w:szCs w:val="24"/>
          <w:rtl/>
        </w:rPr>
        <w:t xml:space="preserve"> </w:t>
      </w:r>
      <w:r w:rsidR="00426B92" w:rsidRPr="003539F0">
        <w:rPr>
          <w:rFonts w:cs="David" w:hint="cs"/>
          <w:sz w:val="24"/>
          <w:szCs w:val="24"/>
          <w:rtl/>
        </w:rPr>
        <w:t>ב</w:t>
      </w:r>
      <w:r w:rsidR="00796FC0" w:rsidRPr="003539F0">
        <w:rPr>
          <w:rFonts w:cs="David" w:hint="cs"/>
          <w:sz w:val="24"/>
          <w:szCs w:val="24"/>
          <w:rtl/>
        </w:rPr>
        <w:t>מכירת שירותים לישראלים</w:t>
      </w:r>
      <w:r>
        <w:rPr>
          <w:rFonts w:cs="David" w:hint="cs"/>
          <w:sz w:val="24"/>
          <w:szCs w:val="24"/>
          <w:rtl/>
        </w:rPr>
        <w:t xml:space="preserve"> ובניצול הציוד,</w:t>
      </w:r>
      <w:r w:rsidR="00796FC0" w:rsidRPr="003539F0">
        <w:rPr>
          <w:rFonts w:cs="David" w:hint="cs"/>
          <w:sz w:val="24"/>
          <w:szCs w:val="24"/>
          <w:rtl/>
        </w:rPr>
        <w:t xml:space="preserve"> לצד </w:t>
      </w:r>
      <w:r w:rsidRPr="003539F0">
        <w:rPr>
          <w:rFonts w:cs="David" w:hint="cs"/>
          <w:sz w:val="24"/>
          <w:szCs w:val="24"/>
          <w:rtl/>
        </w:rPr>
        <w:t>יציבות</w:t>
      </w:r>
      <w:r w:rsidR="00796FC0" w:rsidRPr="003539F0">
        <w:rPr>
          <w:rFonts w:cs="David" w:hint="cs"/>
          <w:sz w:val="24"/>
          <w:szCs w:val="24"/>
          <w:rtl/>
        </w:rPr>
        <w:t xml:space="preserve"> במכירת שירותים לזרים. </w:t>
      </w:r>
      <w:r w:rsidR="00755CF9" w:rsidRPr="003539F0">
        <w:rPr>
          <w:rFonts w:cs="David" w:hint="cs"/>
          <w:sz w:val="24"/>
          <w:szCs w:val="24"/>
          <w:rtl/>
        </w:rPr>
        <w:t xml:space="preserve">בענף </w:t>
      </w:r>
      <w:r w:rsidR="00995C0F">
        <w:rPr>
          <w:rFonts w:cs="David" w:hint="cs"/>
          <w:sz w:val="24"/>
          <w:szCs w:val="24"/>
          <w:rtl/>
        </w:rPr>
        <w:t>צופים</w:t>
      </w:r>
      <w:r w:rsidR="00796FC0" w:rsidRPr="003539F0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האטה בפעילות </w:t>
      </w:r>
      <w:r w:rsidR="00755CF9" w:rsidRPr="003539F0">
        <w:rPr>
          <w:rFonts w:cs="David" w:hint="cs"/>
          <w:sz w:val="24"/>
          <w:szCs w:val="24"/>
          <w:rtl/>
        </w:rPr>
        <w:t>ברבעון הבא</w:t>
      </w:r>
      <w:r w:rsidR="00796FC0" w:rsidRPr="003539F0">
        <w:rPr>
          <w:rFonts w:cs="David" w:hint="cs"/>
          <w:sz w:val="24"/>
          <w:szCs w:val="24"/>
          <w:rtl/>
        </w:rPr>
        <w:t xml:space="preserve">. </w:t>
      </w:r>
    </w:p>
    <w:p w:rsidR="00796FC0" w:rsidRPr="00B93664" w:rsidRDefault="00796FC0" w:rsidP="00931BCF">
      <w:pPr>
        <w:spacing w:before="120" w:after="0" w:line="360" w:lineRule="auto"/>
        <w:rPr>
          <w:rFonts w:cs="David"/>
          <w:sz w:val="24"/>
          <w:szCs w:val="24"/>
          <w:rtl/>
        </w:rPr>
      </w:pPr>
      <w:r w:rsidRPr="00B93664">
        <w:rPr>
          <w:rFonts w:cs="David" w:hint="cs"/>
          <w:sz w:val="24"/>
          <w:szCs w:val="24"/>
          <w:rtl/>
        </w:rPr>
        <w:t>בחינ</w:t>
      </w:r>
      <w:r w:rsidR="009559C4">
        <w:rPr>
          <w:rFonts w:cs="David" w:hint="cs"/>
          <w:sz w:val="24"/>
          <w:szCs w:val="24"/>
          <w:rtl/>
        </w:rPr>
        <w:t>ה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9559C4">
        <w:rPr>
          <w:rFonts w:cs="David" w:hint="cs"/>
          <w:sz w:val="24"/>
          <w:szCs w:val="24"/>
          <w:rtl/>
        </w:rPr>
        <w:t xml:space="preserve">של </w:t>
      </w:r>
      <w:r w:rsidRPr="00B93664">
        <w:rPr>
          <w:rFonts w:cs="David" w:hint="cs"/>
          <w:sz w:val="24"/>
          <w:szCs w:val="24"/>
          <w:rtl/>
        </w:rPr>
        <w:t xml:space="preserve">מגבלות הביקוש וההיצע מלמדת כי </w:t>
      </w:r>
      <w:r w:rsidR="00290CF1">
        <w:rPr>
          <w:rFonts w:cs="David" w:hint="cs"/>
          <w:sz w:val="24"/>
          <w:szCs w:val="24"/>
          <w:rtl/>
        </w:rPr>
        <w:t>מגבלות הביקוש גבוהות ממגבלות ההיצע ברוב הענפים</w:t>
      </w:r>
      <w:r w:rsidRPr="00B93664">
        <w:rPr>
          <w:rFonts w:cs="David" w:hint="cs"/>
          <w:sz w:val="24"/>
          <w:szCs w:val="24"/>
          <w:rtl/>
        </w:rPr>
        <w:t xml:space="preserve"> (</w:t>
      </w:r>
      <w:r>
        <w:rPr>
          <w:rFonts w:cs="David" w:hint="cs"/>
          <w:sz w:val="24"/>
          <w:szCs w:val="24"/>
          <w:rtl/>
        </w:rPr>
        <w:t>פרט</w:t>
      </w:r>
      <w:r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 w:rsidR="00283CA5">
        <w:rPr>
          <w:rFonts w:cs="David" w:hint="cs"/>
          <w:sz w:val="24"/>
          <w:szCs w:val="24"/>
          <w:rtl/>
        </w:rPr>
        <w:t>פעילות ב</w:t>
      </w:r>
      <w:r w:rsidRPr="00B93664">
        <w:rPr>
          <w:rFonts w:cs="David" w:hint="cs"/>
          <w:sz w:val="24"/>
          <w:szCs w:val="24"/>
          <w:rtl/>
        </w:rPr>
        <w:t>ענף הבנ</w:t>
      </w:r>
      <w:r>
        <w:rPr>
          <w:rFonts w:cs="David" w:hint="cs"/>
          <w:sz w:val="24"/>
          <w:szCs w:val="24"/>
          <w:rtl/>
        </w:rPr>
        <w:t>י</w:t>
      </w:r>
      <w:r w:rsidRPr="00B93664">
        <w:rPr>
          <w:rFonts w:cs="David" w:hint="cs"/>
          <w:sz w:val="24"/>
          <w:szCs w:val="24"/>
          <w:rtl/>
        </w:rPr>
        <w:t>יה</w:t>
      </w:r>
      <w:r w:rsidR="00F26810">
        <w:rPr>
          <w:rFonts w:cs="David" w:hint="cs"/>
          <w:sz w:val="24"/>
          <w:szCs w:val="24"/>
          <w:rtl/>
        </w:rPr>
        <w:t>);</w:t>
      </w:r>
      <w:r w:rsidR="00617A80">
        <w:rPr>
          <w:rFonts w:cs="David" w:hint="cs"/>
          <w:sz w:val="24"/>
          <w:szCs w:val="24"/>
          <w:rtl/>
        </w:rPr>
        <w:t xml:space="preserve"> </w:t>
      </w:r>
      <w:r w:rsidR="007160D8">
        <w:rPr>
          <w:rFonts w:cs="David" w:hint="cs"/>
          <w:sz w:val="24"/>
          <w:szCs w:val="24"/>
          <w:rtl/>
        </w:rPr>
        <w:t>אולם</w:t>
      </w:r>
      <w:r w:rsidR="00617A80">
        <w:rPr>
          <w:rFonts w:cs="David" w:hint="cs"/>
          <w:sz w:val="24"/>
          <w:szCs w:val="24"/>
          <w:rtl/>
        </w:rPr>
        <w:t xml:space="preserve"> </w:t>
      </w:r>
      <w:r w:rsidR="00DE22C8" w:rsidRPr="00B93664">
        <w:rPr>
          <w:rFonts w:cs="David" w:hint="cs"/>
          <w:sz w:val="24"/>
          <w:szCs w:val="24"/>
          <w:rtl/>
        </w:rPr>
        <w:t xml:space="preserve">מגבלות הביקוש בכל הענפים אינן </w:t>
      </w:r>
      <w:r w:rsidR="00DE22C8">
        <w:rPr>
          <w:rFonts w:cs="David" w:hint="cs"/>
          <w:sz w:val="24"/>
          <w:szCs w:val="24"/>
          <w:rtl/>
        </w:rPr>
        <w:t>חמורות</w:t>
      </w:r>
      <w:r w:rsidR="00617A80">
        <w:rPr>
          <w:rFonts w:cs="David" w:hint="cs"/>
          <w:sz w:val="24"/>
          <w:szCs w:val="24"/>
          <w:rtl/>
        </w:rPr>
        <w:t>.</w:t>
      </w:r>
      <w:r w:rsidR="00DE22C8">
        <w:rPr>
          <w:rFonts w:cs="David" w:hint="cs"/>
          <w:sz w:val="24"/>
          <w:szCs w:val="24"/>
          <w:rtl/>
        </w:rPr>
        <w:t xml:space="preserve"> </w:t>
      </w:r>
      <w:r w:rsidR="009559C4">
        <w:rPr>
          <w:rFonts w:cs="David" w:hint="cs"/>
          <w:sz w:val="24"/>
          <w:szCs w:val="24"/>
          <w:rtl/>
        </w:rPr>
        <w:t xml:space="preserve">אשר </w:t>
      </w:r>
      <w:r w:rsidR="009559C4">
        <w:rPr>
          <w:rFonts w:cs="David" w:hint="cs"/>
          <w:sz w:val="24"/>
          <w:szCs w:val="24"/>
          <w:rtl/>
        </w:rPr>
        <w:lastRenderedPageBreak/>
        <w:t xml:space="preserve">למגבלה שמציבים קשיי המימון, </w:t>
      </w:r>
      <w:r w:rsidR="00617A80">
        <w:rPr>
          <w:rFonts w:cs="David" w:hint="cs"/>
          <w:sz w:val="24"/>
          <w:szCs w:val="24"/>
          <w:rtl/>
        </w:rPr>
        <w:t>נמשכ</w:t>
      </w:r>
      <w:r w:rsidR="007160D8">
        <w:rPr>
          <w:rFonts w:cs="David" w:hint="cs"/>
          <w:sz w:val="24"/>
          <w:szCs w:val="24"/>
          <w:rtl/>
        </w:rPr>
        <w:t>ו</w:t>
      </w:r>
      <w:r w:rsidR="00617A80">
        <w:rPr>
          <w:rFonts w:cs="David" w:hint="cs"/>
          <w:sz w:val="24"/>
          <w:szCs w:val="24"/>
          <w:rtl/>
        </w:rPr>
        <w:t>ת המגמ</w:t>
      </w:r>
      <w:r w:rsidR="007160D8">
        <w:rPr>
          <w:rFonts w:cs="David" w:hint="cs"/>
          <w:sz w:val="24"/>
          <w:szCs w:val="24"/>
          <w:rtl/>
        </w:rPr>
        <w:t>ות</w:t>
      </w:r>
      <w:r w:rsidR="00617A80">
        <w:rPr>
          <w:rFonts w:cs="David" w:hint="cs"/>
          <w:sz w:val="24"/>
          <w:szCs w:val="24"/>
          <w:rtl/>
        </w:rPr>
        <w:t xml:space="preserve"> </w:t>
      </w:r>
      <w:r w:rsidR="007679A9">
        <w:rPr>
          <w:rFonts w:cs="David" w:hint="cs"/>
          <w:sz w:val="24"/>
          <w:szCs w:val="24"/>
          <w:rtl/>
        </w:rPr>
        <w:t>של יציבות אצל חברות בינוניות והחמרה אצל חברות גדולות, לצד בלימת המגמה</w:t>
      </w:r>
      <w:r w:rsidR="007679A9" w:rsidRPr="00B93664">
        <w:rPr>
          <w:rFonts w:cs="David" w:hint="cs"/>
          <w:sz w:val="24"/>
          <w:szCs w:val="24"/>
          <w:rtl/>
        </w:rPr>
        <w:t xml:space="preserve"> </w:t>
      </w:r>
      <w:r w:rsidR="00617A80">
        <w:rPr>
          <w:rFonts w:cs="David" w:hint="cs"/>
          <w:sz w:val="24"/>
          <w:szCs w:val="24"/>
          <w:rtl/>
        </w:rPr>
        <w:t>של הקלה</w:t>
      </w:r>
      <w:r w:rsidRPr="00B93664">
        <w:rPr>
          <w:rFonts w:cs="David" w:hint="cs"/>
          <w:sz w:val="24"/>
          <w:szCs w:val="24"/>
          <w:rtl/>
        </w:rPr>
        <w:t xml:space="preserve"> בחומרת</w:t>
      </w:r>
      <w:r w:rsidR="007679A9">
        <w:rPr>
          <w:rFonts w:cs="David" w:hint="cs"/>
          <w:sz w:val="24"/>
          <w:szCs w:val="24"/>
          <w:rtl/>
        </w:rPr>
        <w:t xml:space="preserve"> המגבלה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9559C4">
        <w:rPr>
          <w:rFonts w:cs="David" w:hint="cs"/>
          <w:sz w:val="24"/>
          <w:szCs w:val="24"/>
          <w:rtl/>
        </w:rPr>
        <w:t xml:space="preserve">אצל </w:t>
      </w:r>
      <w:r w:rsidRPr="00B93664">
        <w:rPr>
          <w:rFonts w:cs="David" w:hint="cs"/>
          <w:sz w:val="24"/>
          <w:szCs w:val="24"/>
          <w:rtl/>
        </w:rPr>
        <w:t xml:space="preserve">חברות </w:t>
      </w:r>
      <w:r>
        <w:rPr>
          <w:rFonts w:cs="David" w:hint="cs"/>
          <w:sz w:val="24"/>
          <w:szCs w:val="24"/>
          <w:rtl/>
        </w:rPr>
        <w:t>קטנות</w:t>
      </w:r>
      <w:r w:rsidR="00726ACD">
        <w:rPr>
          <w:rFonts w:cs="David" w:hint="cs"/>
          <w:sz w:val="24"/>
          <w:szCs w:val="24"/>
          <w:rtl/>
        </w:rPr>
        <w:t xml:space="preserve"> </w:t>
      </w:r>
      <w:r w:rsidRPr="00B93664">
        <w:rPr>
          <w:rFonts w:cs="David" w:hint="cs"/>
          <w:sz w:val="24"/>
          <w:szCs w:val="24"/>
          <w:rtl/>
        </w:rPr>
        <w:t>(איור 3).</w:t>
      </w:r>
      <w:r>
        <w:rPr>
          <w:rFonts w:cs="David" w:hint="cs"/>
          <w:sz w:val="24"/>
          <w:szCs w:val="24"/>
          <w:rtl/>
        </w:rPr>
        <w:t xml:space="preserve"> </w:t>
      </w:r>
    </w:p>
    <w:p w:rsidR="00886D4A" w:rsidRPr="008C271B" w:rsidRDefault="009A03F7" w:rsidP="00931BCF">
      <w:pPr>
        <w:spacing w:before="120" w:after="0" w:line="360" w:lineRule="auto"/>
        <w:rPr>
          <w:rFonts w:cs="David"/>
          <w:sz w:val="24"/>
          <w:szCs w:val="24"/>
          <w:highlight w:val="yellow"/>
          <w:rtl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ה</w:t>
      </w:r>
      <w:r w:rsidR="00AF0763" w:rsidRPr="007B3939">
        <w:rPr>
          <w:rFonts w:cs="David" w:hint="cs"/>
          <w:sz w:val="24"/>
          <w:szCs w:val="24"/>
          <w:rtl/>
        </w:rPr>
        <w:t>ר</w:t>
      </w:r>
      <w:r w:rsidR="00350DCD" w:rsidRPr="007B3939">
        <w:rPr>
          <w:rFonts w:cs="David" w:hint="cs"/>
          <w:sz w:val="24"/>
          <w:szCs w:val="24"/>
          <w:rtl/>
        </w:rPr>
        <w:t>אשון</w:t>
      </w:r>
      <w:r w:rsidR="00886D4A" w:rsidRPr="007B3939">
        <w:rPr>
          <w:rFonts w:cs="David" w:hint="cs"/>
          <w:sz w:val="24"/>
          <w:szCs w:val="24"/>
          <w:rtl/>
        </w:rPr>
        <w:t xml:space="preserve"> של שנת 201</w:t>
      </w:r>
      <w:r w:rsidR="00350DCD" w:rsidRPr="007B3939">
        <w:rPr>
          <w:rFonts w:cs="David" w:hint="cs"/>
          <w:sz w:val="24"/>
          <w:szCs w:val="24"/>
          <w:rtl/>
        </w:rPr>
        <w:t>6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626D97">
        <w:rPr>
          <w:rFonts w:cs="David" w:hint="cs"/>
          <w:b/>
          <w:bCs/>
          <w:sz w:val="24"/>
          <w:szCs w:val="24"/>
          <w:rtl/>
        </w:rPr>
        <w:t xml:space="preserve">ירדו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626D97">
        <w:rPr>
          <w:rFonts w:cs="David" w:hint="cs"/>
          <w:sz w:val="24"/>
          <w:szCs w:val="24"/>
          <w:rtl/>
        </w:rPr>
        <w:t xml:space="preserve"> אל ה</w:t>
      </w:r>
      <w:r w:rsidR="007B3939" w:rsidRPr="007B3939">
        <w:rPr>
          <w:rFonts w:cs="David" w:hint="cs"/>
          <w:sz w:val="24"/>
          <w:szCs w:val="24"/>
          <w:rtl/>
        </w:rPr>
        <w:t xml:space="preserve">גבול התחתון של </w:t>
      </w:r>
      <w:r w:rsidR="005F6E20">
        <w:rPr>
          <w:rFonts w:cs="David" w:hint="cs"/>
          <w:sz w:val="24"/>
          <w:szCs w:val="24"/>
          <w:rtl/>
        </w:rPr>
        <w:t>ה</w:t>
      </w:r>
      <w:r w:rsidR="007B3939" w:rsidRPr="007B3939">
        <w:rPr>
          <w:rFonts w:cs="David" w:hint="cs"/>
          <w:sz w:val="24"/>
          <w:szCs w:val="24"/>
          <w:rtl/>
        </w:rPr>
        <w:t xml:space="preserve">יעד </w:t>
      </w:r>
      <w:r w:rsidR="00BC43C3">
        <w:rPr>
          <w:rFonts w:cs="David" w:hint="cs"/>
          <w:sz w:val="24"/>
          <w:szCs w:val="24"/>
          <w:rtl/>
        </w:rPr>
        <w:t>ל</w:t>
      </w:r>
      <w:r w:rsidR="007B3939" w:rsidRPr="007B3939">
        <w:rPr>
          <w:rFonts w:cs="David" w:hint="cs"/>
          <w:sz w:val="24"/>
          <w:szCs w:val="24"/>
          <w:rtl/>
        </w:rPr>
        <w:t>יציבות המחירים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7B3939" w:rsidRPr="007B3939">
        <w:rPr>
          <w:rFonts w:cs="David" w:hint="cs"/>
          <w:sz w:val="24"/>
          <w:szCs w:val="24"/>
          <w:rtl/>
        </w:rPr>
        <w:t xml:space="preserve">(1%). </w:t>
      </w:r>
      <w:r w:rsidR="00626D97">
        <w:rPr>
          <w:rFonts w:cs="David" w:hint="cs"/>
          <w:sz w:val="24"/>
          <w:szCs w:val="24"/>
          <w:rtl/>
        </w:rPr>
        <w:t xml:space="preserve">כמו כן,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בתוך תחום </w:t>
      </w:r>
      <w:r w:rsidRPr="007B3939">
        <w:rPr>
          <w:rFonts w:cs="David" w:hint="cs"/>
          <w:sz w:val="24"/>
          <w:szCs w:val="24"/>
          <w:rtl/>
        </w:rPr>
        <w:t>ה</w:t>
      </w:r>
      <w:r w:rsidR="007B3939" w:rsidRPr="007B3939">
        <w:rPr>
          <w:rFonts w:cs="David" w:hint="cs"/>
          <w:sz w:val="24"/>
          <w:szCs w:val="24"/>
          <w:rtl/>
        </w:rPr>
        <w:t>יעד</w:t>
      </w:r>
      <w:r w:rsidR="00A7024A">
        <w:rPr>
          <w:rFonts w:cs="David" w:hint="cs"/>
          <w:sz w:val="24"/>
          <w:szCs w:val="24"/>
          <w:rtl/>
        </w:rPr>
        <w:t xml:space="preserve"> ירד ל-60%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58290D" w:rsidRPr="007B3939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החליפין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הבא </w:t>
      </w:r>
      <w:r w:rsidR="008C271B" w:rsidRPr="007B3939">
        <w:rPr>
          <w:rFonts w:cs="David" w:hint="cs"/>
          <w:sz w:val="24"/>
          <w:szCs w:val="24"/>
          <w:rtl/>
        </w:rPr>
        <w:t>ירד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2962E9" w:rsidRPr="007B3939">
        <w:rPr>
          <w:rFonts w:cs="David" w:hint="cs"/>
          <w:sz w:val="24"/>
          <w:szCs w:val="24"/>
          <w:rtl/>
        </w:rPr>
        <w:t>מעט</w:t>
      </w:r>
      <w:r w:rsidRPr="007B3939">
        <w:rPr>
          <w:rFonts w:cs="David" w:hint="cs"/>
          <w:sz w:val="24"/>
          <w:szCs w:val="24"/>
          <w:rtl/>
        </w:rPr>
        <w:t>,</w:t>
      </w:r>
      <w:r w:rsidR="002962E9" w:rsidRPr="007B3939">
        <w:rPr>
          <w:rFonts w:cs="David" w:hint="cs"/>
          <w:sz w:val="24"/>
          <w:szCs w:val="24"/>
          <w:rtl/>
        </w:rPr>
        <w:t xml:space="preserve"> </w:t>
      </w:r>
      <w:r w:rsidR="0058290D" w:rsidRPr="007B3939">
        <w:rPr>
          <w:rFonts w:cs="David" w:hint="cs"/>
          <w:sz w:val="24"/>
          <w:szCs w:val="24"/>
          <w:rtl/>
        </w:rPr>
        <w:t>מ</w:t>
      </w:r>
      <w:r w:rsidR="00886D4A" w:rsidRPr="007B3939">
        <w:rPr>
          <w:rFonts w:cs="David" w:hint="cs"/>
          <w:sz w:val="24"/>
          <w:szCs w:val="24"/>
          <w:rtl/>
        </w:rPr>
        <w:t>-</w:t>
      </w:r>
      <w:r w:rsidR="002962E9" w:rsidRPr="007B3939">
        <w:rPr>
          <w:rFonts w:cs="David" w:hint="cs"/>
          <w:sz w:val="24"/>
          <w:szCs w:val="24"/>
          <w:rtl/>
        </w:rPr>
        <w:t>3.9</w:t>
      </w:r>
      <w:r w:rsidR="008C271B" w:rsidRPr="007B3939">
        <w:rPr>
          <w:rFonts w:cs="David" w:hint="cs"/>
          <w:sz w:val="24"/>
          <w:szCs w:val="24"/>
          <w:rtl/>
        </w:rPr>
        <w:t>3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Pr="007B3939">
        <w:rPr>
          <w:rFonts w:cs="David" w:hint="cs"/>
          <w:sz w:val="24"/>
          <w:szCs w:val="24"/>
          <w:rtl/>
        </w:rPr>
        <w:t xml:space="preserve">ש"ח </w:t>
      </w:r>
      <w:r w:rsidR="00886D4A" w:rsidRPr="007B3939">
        <w:rPr>
          <w:rFonts w:cs="David" w:hint="cs"/>
          <w:sz w:val="24"/>
          <w:szCs w:val="24"/>
          <w:rtl/>
        </w:rPr>
        <w:t xml:space="preserve">לדולר </w:t>
      </w:r>
      <w:r w:rsidRPr="007B3939">
        <w:rPr>
          <w:rFonts w:cs="David" w:hint="cs"/>
          <w:sz w:val="24"/>
          <w:szCs w:val="24"/>
          <w:rtl/>
        </w:rPr>
        <w:t xml:space="preserve">ברבעון </w:t>
      </w:r>
      <w:r w:rsidR="00C12921" w:rsidRPr="007B3939">
        <w:rPr>
          <w:rFonts w:cs="David" w:hint="cs"/>
          <w:sz w:val="24"/>
          <w:szCs w:val="24"/>
          <w:rtl/>
        </w:rPr>
        <w:t>ה</w:t>
      </w:r>
      <w:r w:rsidR="00350DCD" w:rsidRPr="007B3939">
        <w:rPr>
          <w:rFonts w:cs="David" w:hint="cs"/>
          <w:sz w:val="24"/>
          <w:szCs w:val="24"/>
          <w:rtl/>
        </w:rPr>
        <w:t>רביע</w:t>
      </w:r>
      <w:r w:rsidR="00C12921" w:rsidRPr="007B3939">
        <w:rPr>
          <w:rFonts w:cs="David" w:hint="cs"/>
          <w:sz w:val="24"/>
          <w:szCs w:val="24"/>
          <w:rtl/>
        </w:rPr>
        <w:t>י</w:t>
      </w:r>
      <w:r w:rsidR="0058290D" w:rsidRPr="007B3939">
        <w:rPr>
          <w:rFonts w:cs="David" w:hint="cs"/>
          <w:sz w:val="24"/>
          <w:szCs w:val="24"/>
          <w:rtl/>
        </w:rPr>
        <w:t xml:space="preserve"> </w:t>
      </w:r>
      <w:r w:rsidR="00C12921" w:rsidRPr="007B3939">
        <w:rPr>
          <w:rFonts w:cs="David" w:hint="cs"/>
          <w:sz w:val="24"/>
          <w:szCs w:val="24"/>
          <w:rtl/>
        </w:rPr>
        <w:t xml:space="preserve">של </w:t>
      </w:r>
      <w:r w:rsidR="00C12921" w:rsidRPr="008C271B">
        <w:rPr>
          <w:rFonts w:cs="David" w:hint="cs"/>
          <w:sz w:val="24"/>
          <w:szCs w:val="24"/>
          <w:rtl/>
        </w:rPr>
        <w:t xml:space="preserve">2015 </w:t>
      </w:r>
      <w:r w:rsidR="0058290D" w:rsidRPr="008C271B">
        <w:rPr>
          <w:rFonts w:cs="David" w:hint="cs"/>
          <w:sz w:val="24"/>
          <w:szCs w:val="24"/>
          <w:rtl/>
        </w:rPr>
        <w:t>ל-3.</w:t>
      </w:r>
      <w:r w:rsidR="008C271B" w:rsidRPr="008C271B">
        <w:rPr>
          <w:rFonts w:cs="David" w:hint="cs"/>
          <w:sz w:val="24"/>
          <w:szCs w:val="24"/>
          <w:rtl/>
        </w:rPr>
        <w:t>89</w:t>
      </w:r>
      <w:r w:rsidR="0058290D" w:rsidRPr="008C271B">
        <w:rPr>
          <w:rFonts w:cs="David" w:hint="cs"/>
          <w:sz w:val="24"/>
          <w:szCs w:val="24"/>
          <w:rtl/>
        </w:rPr>
        <w:t xml:space="preserve"> ש"ח לדולר ברבעון הנסקר</w:t>
      </w:r>
      <w:r w:rsidR="00886D4A" w:rsidRPr="008C271B">
        <w:rPr>
          <w:rFonts w:cs="David" w:hint="cs"/>
          <w:sz w:val="24"/>
          <w:szCs w:val="24"/>
          <w:rtl/>
        </w:rPr>
        <w:t xml:space="preserve">. </w:t>
      </w:r>
    </w:p>
    <w:p w:rsidR="00886D4A" w:rsidRDefault="00AD323E" w:rsidP="00931BCF">
      <w:pPr>
        <w:spacing w:before="7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1A0075">
        <w:rPr>
          <w:rFonts w:cs="David" w:hint="cs"/>
          <w:sz w:val="24"/>
          <w:szCs w:val="24"/>
          <w:rtl/>
        </w:rPr>
        <w:t>ר</w:t>
      </w:r>
      <w:r w:rsidR="00350DCD">
        <w:rPr>
          <w:rFonts w:cs="David" w:hint="cs"/>
          <w:sz w:val="24"/>
          <w:szCs w:val="24"/>
          <w:rtl/>
        </w:rPr>
        <w:t>אשון</w:t>
      </w:r>
      <w:r w:rsidR="00886D4A" w:rsidRPr="00B847BD">
        <w:rPr>
          <w:rFonts w:cs="David" w:hint="cs"/>
          <w:sz w:val="24"/>
          <w:szCs w:val="24"/>
          <w:rtl/>
        </w:rPr>
        <w:t xml:space="preserve"> של שנת 201</w:t>
      </w:r>
      <w:r w:rsidR="00350DCD">
        <w:rPr>
          <w:rFonts w:cs="David" w:hint="cs"/>
          <w:sz w:val="24"/>
          <w:szCs w:val="24"/>
          <w:rtl/>
        </w:rPr>
        <w:t>6</w:t>
      </w:r>
      <w:r w:rsidR="00886D4A" w:rsidRPr="00B847BD">
        <w:rPr>
          <w:rFonts w:cs="David" w:hint="cs"/>
          <w:sz w:val="24"/>
          <w:szCs w:val="24"/>
          <w:rtl/>
        </w:rPr>
        <w:t xml:space="preserve"> מבוססים על תשובותיהן של כ-</w:t>
      </w:r>
      <w:r w:rsidR="00886D4A" w:rsidRPr="00F26810">
        <w:rPr>
          <w:rFonts w:cs="David"/>
          <w:sz w:val="24"/>
          <w:szCs w:val="24"/>
          <w:rtl/>
        </w:rPr>
        <w:t>3</w:t>
      </w:r>
      <w:r w:rsidR="00B873D2">
        <w:rPr>
          <w:rFonts w:cs="David" w:hint="cs"/>
          <w:sz w:val="24"/>
          <w:szCs w:val="24"/>
          <w:rtl/>
        </w:rPr>
        <w:t>5</w:t>
      </w:r>
      <w:r w:rsidR="00886D4A" w:rsidRPr="00F26810">
        <w:rPr>
          <w:rFonts w:cs="David"/>
          <w:sz w:val="24"/>
          <w:szCs w:val="24"/>
          <w:rtl/>
        </w:rPr>
        <w:t>0</w:t>
      </w:r>
      <w:r w:rsidR="00886D4A" w:rsidRPr="00350DCD">
        <w:rPr>
          <w:rFonts w:cs="David" w:hint="cs"/>
          <w:color w:val="FF0000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 xml:space="preserve">חברות ועסקים מענפי המשק השונים. </w:t>
      </w:r>
    </w:p>
    <w:p w:rsidR="00886D4A" w:rsidRDefault="00AD323E" w:rsidP="00931BC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מתבקשות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886D4A" w:rsidRDefault="00AD323E" w:rsidP="00931BCF">
      <w:pPr>
        <w:spacing w:line="360" w:lineRule="auto"/>
        <w:rPr>
          <w:rFonts w:cs="David"/>
          <w:sz w:val="24"/>
          <w:szCs w:val="24"/>
          <w:highlight w:val="yellow"/>
          <w:rtl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</w:p>
    <w:p w:rsidR="00796FC0" w:rsidRDefault="00796FC0" w:rsidP="009B7C49">
      <w:pPr>
        <w:spacing w:line="360" w:lineRule="auto"/>
        <w:rPr>
          <w:rFonts w:cs="David"/>
          <w:b/>
          <w:bCs/>
          <w:i/>
          <w:iCs/>
          <w:sz w:val="24"/>
          <w:szCs w:val="24"/>
          <w:rtl/>
        </w:rPr>
      </w:pPr>
    </w:p>
    <w:p w:rsidR="00C917D8" w:rsidRDefault="00C917D8">
      <w:pPr>
        <w:bidi w:val="0"/>
        <w:rPr>
          <w:rFonts w:cs="David"/>
          <w:b/>
          <w:bCs/>
          <w:i/>
          <w:iCs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931BCF" w:rsidRDefault="001A0075" w:rsidP="00931BCF">
      <w:pPr>
        <w:pStyle w:val="1"/>
        <w:jc w:val="center"/>
        <w:rPr>
          <w:b/>
          <w:bCs/>
          <w:sz w:val="28"/>
          <w:szCs w:val="28"/>
          <w:rtl/>
        </w:rPr>
      </w:pPr>
      <w:r w:rsidRPr="00931BCF">
        <w:rPr>
          <w:rFonts w:hint="cs"/>
          <w:b/>
          <w:bCs/>
          <w:sz w:val="28"/>
          <w:szCs w:val="28"/>
          <w:rtl/>
        </w:rPr>
        <w:lastRenderedPageBreak/>
        <w:t>לוחות</w:t>
      </w:r>
      <w:r w:rsidRPr="00931BCF">
        <w:rPr>
          <w:b/>
          <w:bCs/>
          <w:sz w:val="28"/>
          <w:szCs w:val="28"/>
          <w:rtl/>
        </w:rPr>
        <w:t xml:space="preserve"> </w:t>
      </w:r>
      <w:r w:rsidRPr="00931BCF">
        <w:rPr>
          <w:rFonts w:hint="cs"/>
          <w:b/>
          <w:bCs/>
          <w:sz w:val="28"/>
          <w:szCs w:val="28"/>
          <w:rtl/>
        </w:rPr>
        <w:t>ואיורים</w:t>
      </w:r>
      <w:r w:rsidRPr="00931BCF">
        <w:rPr>
          <w:b/>
          <w:bCs/>
          <w:sz w:val="28"/>
          <w:szCs w:val="28"/>
          <w:rtl/>
        </w:rPr>
        <w:t xml:space="preserve"> </w:t>
      </w:r>
      <w:r w:rsidRPr="00931BCF">
        <w:rPr>
          <w:rFonts w:hint="cs"/>
          <w:b/>
          <w:bCs/>
          <w:sz w:val="28"/>
          <w:szCs w:val="28"/>
          <w:rtl/>
        </w:rPr>
        <w:t>נוספים</w:t>
      </w:r>
    </w:p>
    <w:p w:rsidR="00BA14B5" w:rsidRPr="00B22378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22378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 הציפיות לאינפלציה ל-12 החודשים הבאים</w:t>
      </w:r>
    </w:p>
    <w:p w:rsidR="001A0075" w:rsidRDefault="00456088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456088">
        <w:rPr>
          <w:noProof/>
          <w:rtl/>
        </w:rPr>
        <w:drawing>
          <wp:inline distT="0" distB="0" distL="0" distR="0" wp14:anchorId="73153605" wp14:editId="0FC66571">
            <wp:extent cx="5274310" cy="1359428"/>
            <wp:effectExtent l="0" t="0" r="2540" b="0"/>
            <wp:docPr id="4" name="תמונה 4" descr="ניתוח סטטיסטי של הציפיות לאינפלציה ל-12 החודשים הבאים" title="ניתוח סטטיסטי של הציפיות לאינפלציה ל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931BCF" w:rsidRDefault="00A7024A" w:rsidP="00267308">
      <w:pPr>
        <w:spacing w:after="0" w:line="240" w:lineRule="auto"/>
        <w:rPr>
          <w:rFonts w:ascii="Arial" w:eastAsia="Times New Roman" w:hAnsi="Arial" w:cs="David"/>
          <w:sz w:val="24"/>
          <w:szCs w:val="24"/>
        </w:rPr>
      </w:pPr>
      <w:r w:rsidRPr="00931B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931BCF">
        <w:rPr>
          <w:rFonts w:ascii="Arial" w:eastAsia="Times New Roman" w:hAnsi="Arial" w:cs="David" w:hint="cs"/>
          <w:sz w:val="24"/>
          <w:szCs w:val="24"/>
          <w:rtl/>
        </w:rPr>
        <w:t xml:space="preserve"> ההטיה מחושבת כהפרש בין הממוצע לשכיח.</w:t>
      </w:r>
      <w:r w:rsidRPr="00931B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</w:p>
    <w:p w:rsidR="001A0075" w:rsidRPr="00931BCF" w:rsidRDefault="001A0075" w:rsidP="00343022">
      <w:pPr>
        <w:spacing w:after="0"/>
        <w:rPr>
          <w:rFonts w:cs="David"/>
          <w:b/>
          <w:bCs/>
          <w:sz w:val="24"/>
          <w:szCs w:val="24"/>
        </w:rPr>
      </w:pPr>
    </w:p>
    <w:p w:rsidR="00343022" w:rsidRDefault="00456088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</w:rPr>
        <w:drawing>
          <wp:inline distT="0" distB="0" distL="0" distR="0" wp14:anchorId="7088281C">
            <wp:extent cx="5194300" cy="3542030"/>
            <wp:effectExtent l="0" t="0" r="6350" b="1270"/>
            <wp:docPr id="5" name="תמונה 5" descr="ההסתברות להימצא בתחום יעד האינפלציה על פי האינפלציה הצפויה ב-12 החודשים הבאים" title="ההסתברות להימצא בתחום יעד האינפלציה על פי האינפלציה הצפויה ב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022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7936D9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</w:t>
      </w:r>
      <w:r w:rsidR="007936D9">
        <w:rPr>
          <w:rFonts w:cs="David" w:hint="cs"/>
          <w:b/>
          <w:bCs/>
          <w:sz w:val="24"/>
          <w:szCs w:val="24"/>
          <w:rtl/>
        </w:rPr>
        <w:t>ציפיות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10EF6" w:rsidRDefault="00FB3929" w:rsidP="00DE22C8">
      <w:pPr>
        <w:spacing w:after="0"/>
        <w:jc w:val="center"/>
        <w:rPr>
          <w:rtl/>
        </w:rPr>
      </w:pPr>
      <w:r w:rsidRPr="00FB3929">
        <w:rPr>
          <w:rFonts w:hint="cs"/>
          <w:noProof/>
          <w:rtl/>
        </w:rPr>
        <w:drawing>
          <wp:inline distT="0" distB="0" distL="0" distR="0" wp14:anchorId="3ED4ED2F" wp14:editId="099BFAEB">
            <wp:extent cx="5274310" cy="1384448"/>
            <wp:effectExtent l="0" t="0" r="2540" b="6350"/>
            <wp:docPr id="34" name="תמונה 34" descr="הציפיות של החברות לגבי שער החליפין מול הדולר1" title="הציפיות של החברות לגבי שער החליפין מול הדול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B10EF6" w:rsidRDefault="001A0075" w:rsidP="001A0075">
      <w:pPr>
        <w:spacing w:after="0"/>
        <w:ind w:left="84"/>
        <w:rPr>
          <w:rFonts w:cs="David"/>
          <w:sz w:val="18"/>
          <w:szCs w:val="18"/>
          <w:rtl/>
        </w:rPr>
      </w:pPr>
    </w:p>
    <w:p w:rsidR="001A0075" w:rsidRPr="00931BCF" w:rsidRDefault="00BA14B5" w:rsidP="000F4B9F">
      <w:pPr>
        <w:bidi w:val="0"/>
        <w:jc w:val="right"/>
        <w:rPr>
          <w:rFonts w:cs="David"/>
          <w:sz w:val="24"/>
          <w:szCs w:val="24"/>
        </w:rPr>
      </w:pPr>
      <w:r w:rsidRPr="00931BCF">
        <w:rPr>
          <w:rFonts w:cs="David"/>
          <w:sz w:val="24"/>
          <w:szCs w:val="24"/>
          <w:vertAlign w:val="superscript"/>
          <w:rtl/>
        </w:rPr>
        <w:t>1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בתקופת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הסקר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עמד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שער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החליפין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הממוצע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על</w:t>
      </w:r>
      <w:r w:rsidRPr="00931BCF">
        <w:rPr>
          <w:rFonts w:cs="David"/>
          <w:sz w:val="24"/>
          <w:szCs w:val="24"/>
          <w:rtl/>
        </w:rPr>
        <w:t xml:space="preserve"> 3.</w:t>
      </w:r>
      <w:r w:rsidR="000F4B9F" w:rsidRPr="00931BCF">
        <w:rPr>
          <w:rFonts w:cs="David" w:hint="cs"/>
          <w:sz w:val="24"/>
          <w:szCs w:val="24"/>
          <w:rtl/>
        </w:rPr>
        <w:t>83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ש</w:t>
      </w:r>
      <w:r w:rsidRPr="00931BCF">
        <w:rPr>
          <w:rFonts w:cs="David"/>
          <w:sz w:val="24"/>
          <w:szCs w:val="24"/>
          <w:rtl/>
        </w:rPr>
        <w:t>"</w:t>
      </w:r>
      <w:r w:rsidRPr="00931BCF">
        <w:rPr>
          <w:rFonts w:cs="David" w:hint="cs"/>
          <w:sz w:val="24"/>
          <w:szCs w:val="24"/>
          <w:rtl/>
        </w:rPr>
        <w:t>ח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לדולר</w:t>
      </w:r>
      <w:r w:rsidRPr="00931BCF">
        <w:rPr>
          <w:rFonts w:cs="David"/>
          <w:sz w:val="24"/>
          <w:szCs w:val="24"/>
          <w:rtl/>
        </w:rPr>
        <w:t>.</w:t>
      </w:r>
    </w:p>
    <w:p w:rsidR="00343022" w:rsidRDefault="00343022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A14B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0F4B9F" w:rsidP="003D0FF7">
      <w:pPr>
        <w:bidi w:val="0"/>
        <w:jc w:val="center"/>
        <w:rPr>
          <w:rFonts w:cs="David"/>
          <w:sz w:val="18"/>
          <w:szCs w:val="18"/>
        </w:rPr>
      </w:pPr>
      <w:r w:rsidRPr="000F4B9F">
        <w:rPr>
          <w:noProof/>
        </w:rPr>
        <w:drawing>
          <wp:inline distT="0" distB="0" distL="0" distR="0" wp14:anchorId="4EBF2FB5" wp14:editId="17960B79">
            <wp:extent cx="5274310" cy="2295368"/>
            <wp:effectExtent l="0" t="0" r="2540" b="0"/>
            <wp:docPr id="21" name="תמונה 21" descr="התעשייה – מאזני הנטו" title="התעש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343022" w:rsidRDefault="000F4B9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0F4B9F">
        <w:rPr>
          <w:noProof/>
          <w:rtl/>
        </w:rPr>
        <w:drawing>
          <wp:inline distT="0" distB="0" distL="0" distR="0" wp14:anchorId="6A20B74D" wp14:editId="0424F824">
            <wp:extent cx="5274310" cy="1836599"/>
            <wp:effectExtent l="0" t="0" r="2540" b="0"/>
            <wp:docPr id="23" name="תמונה 23" descr="המסחר – מאזני הנטו" title="המסחר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0F4B9F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0F4B9F">
        <w:rPr>
          <w:noProof/>
          <w:rtl/>
        </w:rPr>
        <w:drawing>
          <wp:inline distT="0" distB="0" distL="0" distR="0" wp14:anchorId="66A0BC9A" wp14:editId="3F705C54">
            <wp:extent cx="5274310" cy="2142784"/>
            <wp:effectExtent l="0" t="0" r="2540" b="0"/>
            <wp:docPr id="24" name="תמונה 24" descr="הבנייה – מאזני הנטו" title="הבנ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1A007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343022" w:rsidRDefault="00343022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9A7776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A7776">
        <w:rPr>
          <w:noProof/>
          <w:rtl/>
        </w:rPr>
        <w:drawing>
          <wp:inline distT="0" distB="0" distL="0" distR="0" wp14:anchorId="743C35B6" wp14:editId="44E57723">
            <wp:extent cx="5274310" cy="1683507"/>
            <wp:effectExtent l="0" t="0" r="2540" b="0"/>
            <wp:docPr id="25" name="תמונה 25" descr="התחבורה והתקשורת – מאזני הנטו" title="התחבורה והתקשור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A007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9A7776" w:rsidP="001A0075">
      <w:pPr>
        <w:bidi w:val="0"/>
        <w:jc w:val="center"/>
        <w:rPr>
          <w:rFonts w:cs="David"/>
          <w:sz w:val="24"/>
          <w:szCs w:val="24"/>
        </w:rPr>
      </w:pPr>
      <w:r w:rsidRPr="009A7776">
        <w:rPr>
          <w:noProof/>
        </w:rPr>
        <w:drawing>
          <wp:inline distT="0" distB="0" distL="0" distR="0" wp14:anchorId="7A525EE9" wp14:editId="4510139F">
            <wp:extent cx="5274310" cy="1836599"/>
            <wp:effectExtent l="0" t="0" r="2540" b="0"/>
            <wp:docPr id="26" name="תמונה 26" descr="המלונאות – מאזני הנטו" title="המלונאו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0A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A0075" w:rsidRDefault="002105D3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2105D3">
        <w:rPr>
          <w:noProof/>
          <w:rtl/>
        </w:rPr>
        <w:drawing>
          <wp:inline distT="0" distB="0" distL="0" distR="0" wp14:anchorId="4CEE2A19" wp14:editId="67D1D0A7">
            <wp:extent cx="5274310" cy="1989691"/>
            <wp:effectExtent l="0" t="0" r="2540" b="0"/>
            <wp:docPr id="32" name="תמונה 32" descr="השירותים – מאזני הנטו" title="השירותים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343022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Pr="00FA0CC0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FA0CC0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="00343022" w:rsidRPr="00FA0CC0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0F4B9F" w:rsidRDefault="000F4B9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tbl>
      <w:tblPr>
        <w:tblStyle w:val="11"/>
        <w:bidiVisual/>
        <w:tblW w:w="4449" w:type="dxa"/>
        <w:tblInd w:w="193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מאזן הנטו בענף התעשייה על פי גודל החברות (מספר המועסקים)"/>
        <w:tblDescription w:val="מאזן הנטו בענף התעשייה על פי גודל החברות (מספר המועסקים)"/>
      </w:tblPr>
      <w:tblGrid>
        <w:gridCol w:w="1737"/>
        <w:gridCol w:w="529"/>
        <w:gridCol w:w="679"/>
        <w:gridCol w:w="805"/>
        <w:gridCol w:w="699"/>
      </w:tblGrid>
      <w:tr w:rsidR="000F4B9F" w:rsidRPr="00A46AF5" w:rsidTr="00931BCF">
        <w:trPr>
          <w:tblHeader/>
        </w:trPr>
        <w:tc>
          <w:tcPr>
            <w:tcW w:w="4449" w:type="dxa"/>
            <w:gridSpan w:val="5"/>
            <w:shd w:val="clear" w:color="auto" w:fill="C2D69B" w:themeFill="accent3" w:themeFillTint="99"/>
          </w:tcPr>
          <w:p w:rsidR="000F4B9F" w:rsidRPr="00931BCF" w:rsidRDefault="000F4B9F" w:rsidP="003933C8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31BCF">
              <w:rPr>
                <w:rFonts w:cs="David" w:hint="cs"/>
                <w:b/>
                <w:bCs/>
                <w:sz w:val="24"/>
                <w:szCs w:val="24"/>
                <w:rtl/>
              </w:rPr>
              <w:t>חברות התעשייה</w:t>
            </w:r>
          </w:p>
        </w:tc>
      </w:tr>
      <w:tr w:rsidR="000F4B9F" w:rsidRPr="00A46AF5" w:rsidTr="00931BCF">
        <w:trPr>
          <w:tblHeader/>
        </w:trPr>
        <w:tc>
          <w:tcPr>
            <w:tcW w:w="2021" w:type="dxa"/>
            <w:shd w:val="clear" w:color="auto" w:fill="D6E3BC" w:themeFill="accent3" w:themeFillTint="66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1" w:type="dxa"/>
            <w:shd w:val="clear" w:color="auto" w:fill="D6E3BC" w:themeFill="accent3" w:themeFillTint="66"/>
            <w:vAlign w:val="center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 xml:space="preserve">סך </w:t>
            </w:r>
            <w:proofErr w:type="spellStart"/>
            <w:r w:rsidRPr="00931BCF">
              <w:rPr>
                <w:rFonts w:cs="David" w:hint="cs"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585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קטנות</w:t>
            </w: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בינוניות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גדולות</w:t>
            </w:r>
          </w:p>
        </w:tc>
      </w:tr>
      <w:tr w:rsidR="000F4B9F" w:rsidRPr="00A46AF5" w:rsidTr="00931BCF">
        <w:trPr>
          <w:tblHeader/>
        </w:trPr>
        <w:tc>
          <w:tcPr>
            <w:tcW w:w="2021" w:type="dxa"/>
            <w:tcBorders>
              <w:bottom w:val="nil"/>
            </w:tcBorders>
            <w:vAlign w:val="center"/>
          </w:tcPr>
          <w:p w:rsidR="000F4B9F" w:rsidRPr="00931BCF" w:rsidRDefault="000F4B9F" w:rsidP="003933C8">
            <w:pPr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התפוקה</w:t>
            </w:r>
          </w:p>
        </w:tc>
        <w:tc>
          <w:tcPr>
            <w:tcW w:w="551" w:type="dxa"/>
            <w:tcBorders>
              <w:bottom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1*</w:t>
            </w: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21-*</w:t>
            </w: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21-*</w:t>
            </w:r>
          </w:p>
        </w:tc>
        <w:tc>
          <w:tcPr>
            <w:tcW w:w="602" w:type="dxa"/>
            <w:tcBorders>
              <w:left w:val="nil"/>
              <w:bottom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12*</w:t>
            </w:r>
          </w:p>
        </w:tc>
      </w:tr>
      <w:tr w:rsidR="000F4B9F" w:rsidRPr="00A46AF5" w:rsidTr="00931BCF">
        <w:trPr>
          <w:tblHeader/>
        </w:trPr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0F4B9F" w:rsidRPr="00931BCF" w:rsidRDefault="000F4B9F" w:rsidP="003933C8">
            <w:pPr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סך המכירות</w:t>
            </w: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7-*</w:t>
            </w: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21-*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21-*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0*</w:t>
            </w:r>
          </w:p>
        </w:tc>
      </w:tr>
      <w:tr w:rsidR="000F4B9F" w:rsidRPr="00A46AF5" w:rsidTr="00931BCF">
        <w:trPr>
          <w:tblHeader/>
        </w:trPr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0F4B9F" w:rsidRPr="00931BCF" w:rsidRDefault="000F4B9F" w:rsidP="003933C8">
            <w:pPr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המכירות בשוק המקומי</w:t>
            </w: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4-*</w:t>
            </w: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15-*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24-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5*</w:t>
            </w:r>
          </w:p>
        </w:tc>
      </w:tr>
      <w:tr w:rsidR="000F4B9F" w:rsidRPr="00A46AF5" w:rsidTr="00931BCF">
        <w:trPr>
          <w:tblHeader/>
        </w:trPr>
        <w:tc>
          <w:tcPr>
            <w:tcW w:w="2021" w:type="dxa"/>
            <w:tcBorders>
              <w:top w:val="nil"/>
            </w:tcBorders>
            <w:vAlign w:val="center"/>
          </w:tcPr>
          <w:p w:rsidR="000F4B9F" w:rsidRPr="00931BCF" w:rsidRDefault="000F4B9F" w:rsidP="003933C8">
            <w:pPr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היצוא</w:t>
            </w:r>
          </w:p>
        </w:tc>
        <w:tc>
          <w:tcPr>
            <w:tcW w:w="551" w:type="dxa"/>
            <w:tcBorders>
              <w:top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14-</w:t>
            </w:r>
          </w:p>
        </w:tc>
        <w:tc>
          <w:tcPr>
            <w:tcW w:w="585" w:type="dxa"/>
            <w:tcBorders>
              <w:top w:val="nil"/>
              <w:righ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0*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20-*</w:t>
            </w:r>
          </w:p>
        </w:tc>
        <w:tc>
          <w:tcPr>
            <w:tcW w:w="602" w:type="dxa"/>
            <w:tcBorders>
              <w:top w:val="nil"/>
              <w:left w:val="nil"/>
            </w:tcBorders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14-*</w:t>
            </w:r>
          </w:p>
        </w:tc>
      </w:tr>
      <w:tr w:rsidR="000F4B9F" w:rsidRPr="00A46AF5" w:rsidTr="00931BCF">
        <w:trPr>
          <w:tblHeader/>
        </w:trPr>
        <w:tc>
          <w:tcPr>
            <w:tcW w:w="2021" w:type="dxa"/>
            <w:shd w:val="clear" w:color="auto" w:fill="D6E3BC" w:themeFill="accent3" w:themeFillTint="66"/>
            <w:vAlign w:val="center"/>
          </w:tcPr>
          <w:p w:rsidR="000F4B9F" w:rsidRPr="00931BCF" w:rsidRDefault="000F4B9F" w:rsidP="003933C8">
            <w:pPr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מספר חברות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130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D6E3BC" w:themeFill="accent3" w:themeFillTint="66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29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D6E3BC" w:themeFill="accent3" w:themeFillTint="66"/>
          </w:tcPr>
          <w:p w:rsidR="000F4B9F" w:rsidRPr="00931BCF" w:rsidRDefault="000F4B9F" w:rsidP="003933C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31BCF">
              <w:rPr>
                <w:rFonts w:cs="David" w:hint="cs"/>
                <w:sz w:val="24"/>
                <w:szCs w:val="24"/>
                <w:rtl/>
              </w:rPr>
              <w:t>86</w:t>
            </w:r>
          </w:p>
        </w:tc>
      </w:tr>
    </w:tbl>
    <w:p w:rsidR="001A007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343022" w:rsidRPr="0068013D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8013D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A7024A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A7024A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A7024A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Pr="00931BC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931BCF">
        <w:rPr>
          <w:rFonts w:cs="David"/>
          <w:sz w:val="32"/>
          <w:szCs w:val="32"/>
          <w:rtl/>
        </w:rPr>
        <w:t xml:space="preserve"> </w:t>
      </w:r>
      <w:r w:rsidRPr="00931BCF">
        <w:rPr>
          <w:rFonts w:cs="David"/>
          <w:sz w:val="24"/>
          <w:szCs w:val="24"/>
          <w:rtl/>
        </w:rPr>
        <w:t>(</w:t>
      </w:r>
      <w:r w:rsidRPr="00931BCF">
        <w:rPr>
          <w:rFonts w:cs="David" w:hint="cs"/>
          <w:sz w:val="24"/>
          <w:szCs w:val="24"/>
          <w:rtl/>
        </w:rPr>
        <w:t>נתונים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מקוריים</w:t>
      </w:r>
      <w:r w:rsidRPr="00931BCF">
        <w:rPr>
          <w:rFonts w:cs="David"/>
          <w:sz w:val="24"/>
          <w:szCs w:val="24"/>
          <w:rtl/>
        </w:rPr>
        <w:t xml:space="preserve">, </w:t>
      </w:r>
      <w:r w:rsidRPr="00931BCF">
        <w:rPr>
          <w:rFonts w:cs="David" w:hint="cs"/>
          <w:sz w:val="24"/>
          <w:szCs w:val="24"/>
          <w:rtl/>
        </w:rPr>
        <w:t>באחוזים)</w:t>
      </w:r>
    </w:p>
    <w:p w:rsidR="00343022" w:rsidRDefault="009A7776" w:rsidP="00343022">
      <w:pPr>
        <w:spacing w:after="0"/>
        <w:jc w:val="center"/>
        <w:rPr>
          <w:rFonts w:cs="Arial"/>
          <w:b/>
          <w:bCs/>
          <w:rtl/>
        </w:rPr>
      </w:pPr>
      <w:r w:rsidRPr="009A7776">
        <w:rPr>
          <w:noProof/>
          <w:rtl/>
        </w:rPr>
        <w:drawing>
          <wp:inline distT="0" distB="0" distL="0" distR="0" wp14:anchorId="4A5DC3E6" wp14:editId="0A312A1F">
            <wp:extent cx="5274310" cy="886066"/>
            <wp:effectExtent l="0" t="0" r="2540" b="9525"/>
            <wp:docPr id="28" name="תמונה 28" descr="מאזן הנטו לתפוקה של חברות התעשייה על פי החדשנות ועתירות ההון האנושי" title="מאזן הנטו לתפוקה של חברות התעשייה על פי החדשנות ועתירות ההון האנוש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Default="009A7776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bookmarkStart w:id="0" w:name="_GoBack"/>
      <w:r>
        <w:rPr>
          <w:rFonts w:cs="Davi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FA02BE" wp14:editId="74481A92">
            <wp:simplePos x="0" y="0"/>
            <wp:positionH relativeFrom="column">
              <wp:posOffset>-161925</wp:posOffset>
            </wp:positionH>
            <wp:positionV relativeFrom="paragraph">
              <wp:posOffset>246380</wp:posOffset>
            </wp:positionV>
            <wp:extent cx="5621655" cy="3390265"/>
            <wp:effectExtent l="0" t="0" r="0" b="635"/>
            <wp:wrapSquare wrapText="bothSides"/>
            <wp:docPr id="30" name="תמונה 30" descr="קשיי המימון לפי גודל חברה של סקטור עסקי" title="קשיי המימון לפי גודל חברה של סקטור 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339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3022" w:rsidRDefault="00343022" w:rsidP="00F43AD1">
      <w:pPr>
        <w:pStyle w:val="a6"/>
        <w:spacing w:after="0"/>
        <w:ind w:left="1080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0"/>
          <w:szCs w:val="20"/>
          <w:rtl/>
        </w:rPr>
        <w:t xml:space="preserve"> </w:t>
      </w:r>
    </w:p>
    <w:p w:rsidR="00931BCF" w:rsidRDefault="00931BCF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461685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לביצוע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931BCF" w:rsidRDefault="001A0075" w:rsidP="00FD556F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931BCF">
        <w:rPr>
          <w:rFonts w:cs="David" w:hint="cs"/>
          <w:sz w:val="24"/>
          <w:szCs w:val="24"/>
          <w:rtl/>
        </w:rPr>
        <w:t>חומרת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המגבלה</w:t>
      </w:r>
      <w:r w:rsidRPr="00931BCF">
        <w:rPr>
          <w:rFonts w:cs="David"/>
          <w:sz w:val="24"/>
          <w:szCs w:val="24"/>
          <w:rtl/>
        </w:rPr>
        <w:t>: 0</w:t>
      </w:r>
      <w:r w:rsidR="00F77D0A" w:rsidRPr="00931BCF">
        <w:rPr>
          <w:rFonts w:cs="David" w:hint="cs"/>
          <w:sz w:val="24"/>
          <w:szCs w:val="24"/>
          <w:rtl/>
        </w:rPr>
        <w:t xml:space="preserve"> </w:t>
      </w:r>
      <w:r w:rsidR="00F77D0A" w:rsidRPr="00931BCF">
        <w:rPr>
          <w:rFonts w:cs="David"/>
          <w:sz w:val="24"/>
          <w:szCs w:val="24"/>
          <w:rtl/>
        </w:rPr>
        <w:t>–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אין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מגבלה</w:t>
      </w:r>
      <w:r w:rsidRPr="00931BCF">
        <w:rPr>
          <w:rFonts w:cs="David"/>
          <w:sz w:val="24"/>
          <w:szCs w:val="24"/>
          <w:rtl/>
        </w:rPr>
        <w:t xml:space="preserve">, 1 </w:t>
      </w:r>
      <w:r w:rsidR="00F77D0A" w:rsidRPr="00931BCF">
        <w:rPr>
          <w:rFonts w:cs="David"/>
          <w:sz w:val="24"/>
          <w:szCs w:val="24"/>
          <w:rtl/>
        </w:rPr>
        <w:t>–</w:t>
      </w:r>
      <w:r w:rsidRPr="00931BCF">
        <w:rPr>
          <w:rFonts w:cs="David"/>
          <w:sz w:val="24"/>
          <w:szCs w:val="24"/>
          <w:rtl/>
        </w:rPr>
        <w:t xml:space="preserve"> </w:t>
      </w:r>
      <w:r w:rsidR="00F77D0A" w:rsidRPr="00931BCF">
        <w:rPr>
          <w:rFonts w:cs="David" w:hint="cs"/>
          <w:sz w:val="24"/>
          <w:szCs w:val="24"/>
          <w:rtl/>
        </w:rPr>
        <w:t xml:space="preserve">מגבלה </w:t>
      </w:r>
      <w:r w:rsidRPr="00931BCF">
        <w:rPr>
          <w:rFonts w:cs="David" w:hint="cs"/>
          <w:sz w:val="24"/>
          <w:szCs w:val="24"/>
          <w:rtl/>
        </w:rPr>
        <w:t>קלה</w:t>
      </w:r>
      <w:r w:rsidRPr="00931BCF">
        <w:rPr>
          <w:rFonts w:cs="David"/>
          <w:sz w:val="24"/>
          <w:szCs w:val="24"/>
          <w:rtl/>
        </w:rPr>
        <w:t xml:space="preserve">, 2 </w:t>
      </w:r>
      <w:r w:rsidR="00F77D0A" w:rsidRPr="00931BCF">
        <w:rPr>
          <w:rFonts w:cs="David"/>
          <w:sz w:val="24"/>
          <w:szCs w:val="24"/>
          <w:rtl/>
        </w:rPr>
        <w:t>–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מתונה</w:t>
      </w:r>
      <w:r w:rsidRPr="00931BCF">
        <w:rPr>
          <w:rFonts w:cs="David"/>
          <w:sz w:val="24"/>
          <w:szCs w:val="24"/>
          <w:rtl/>
        </w:rPr>
        <w:t xml:space="preserve">, 3 </w:t>
      </w:r>
      <w:r w:rsidR="00F77D0A" w:rsidRPr="00931BCF">
        <w:rPr>
          <w:rFonts w:cs="David"/>
          <w:sz w:val="24"/>
          <w:szCs w:val="24"/>
          <w:rtl/>
        </w:rPr>
        <w:t>–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חמורה</w:t>
      </w:r>
      <w:r w:rsidRPr="00931BCF">
        <w:rPr>
          <w:rFonts w:cs="David"/>
          <w:sz w:val="24"/>
          <w:szCs w:val="24"/>
          <w:rtl/>
        </w:rPr>
        <w:t xml:space="preserve">, 4 </w:t>
      </w:r>
      <w:r w:rsidR="00F77D0A" w:rsidRPr="00931BCF">
        <w:rPr>
          <w:rFonts w:cs="David"/>
          <w:sz w:val="24"/>
          <w:szCs w:val="24"/>
          <w:rtl/>
        </w:rPr>
        <w:t>–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חמורה</w:t>
      </w:r>
      <w:r w:rsidRPr="00931BCF">
        <w:rPr>
          <w:rFonts w:cs="David"/>
          <w:sz w:val="24"/>
          <w:szCs w:val="24"/>
          <w:rtl/>
        </w:rPr>
        <w:t xml:space="preserve"> </w:t>
      </w:r>
      <w:r w:rsidRPr="00931BCF">
        <w:rPr>
          <w:rFonts w:cs="David" w:hint="cs"/>
          <w:sz w:val="24"/>
          <w:szCs w:val="24"/>
          <w:rtl/>
        </w:rPr>
        <w:t>במיוחד</w:t>
      </w:r>
      <w:r w:rsidR="00F77D0A" w:rsidRPr="00931BCF">
        <w:rPr>
          <w:rFonts w:cs="David" w:hint="cs"/>
          <w:sz w:val="24"/>
          <w:szCs w:val="24"/>
          <w:rtl/>
        </w:rPr>
        <w:t>.</w:t>
      </w:r>
    </w:p>
    <w:p w:rsidR="001A0075" w:rsidRPr="00931BCF" w:rsidRDefault="001A0075" w:rsidP="00FD556F">
      <w:pPr>
        <w:spacing w:after="0"/>
        <w:jc w:val="center"/>
        <w:rPr>
          <w:rFonts w:cs="David"/>
          <w:b/>
          <w:bCs/>
          <w:sz w:val="32"/>
          <w:szCs w:val="32"/>
          <w:rtl/>
        </w:rPr>
      </w:pP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בכל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="00F77D0A"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רבעון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הודגשה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המגבלה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החמורה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ביותר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בקבוצת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מגבלות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הביקוש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ובקבוצת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מגבלות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931BCF">
        <w:rPr>
          <w:rFonts w:ascii="Arial" w:eastAsia="Times New Roman" w:hAnsi="Arial" w:cs="David" w:hint="cs"/>
          <w:color w:val="000000"/>
          <w:sz w:val="24"/>
          <w:szCs w:val="24"/>
          <w:rtl/>
        </w:rPr>
        <w:t>ההיצע</w:t>
      </w:r>
      <w:r w:rsidRPr="00931BCF">
        <w:rPr>
          <w:rFonts w:ascii="Arial" w:eastAsia="Times New Roman" w:hAnsi="Arial" w:cs="David"/>
          <w:color w:val="000000"/>
          <w:sz w:val="24"/>
          <w:szCs w:val="24"/>
          <w:rtl/>
        </w:rPr>
        <w:t>.</w:t>
      </w:r>
    </w:p>
    <w:p w:rsidR="003D0FF7" w:rsidRDefault="009A7776" w:rsidP="001A0075">
      <w:pPr>
        <w:bidi w:val="0"/>
        <w:rPr>
          <w:rFonts w:cs="David"/>
          <w:b/>
          <w:bCs/>
          <w:color w:val="FF0000"/>
          <w:sz w:val="24"/>
          <w:szCs w:val="24"/>
        </w:rPr>
      </w:pPr>
      <w:r w:rsidRPr="009A7776">
        <w:rPr>
          <w:noProof/>
        </w:rPr>
        <w:drawing>
          <wp:inline distT="0" distB="0" distL="0" distR="0" wp14:anchorId="0EDDF62C" wp14:editId="7439A75C">
            <wp:extent cx="5274310" cy="5770950"/>
            <wp:effectExtent l="0" t="0" r="2540" b="1270"/>
            <wp:docPr id="31" name="תמונה 31" descr="חומרת המגבלות לביצוע הפעילות שתוכננה (ממוצע)" title="חומרת המגבלות לביצוע הפעילות שתוכננה (ממוצ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76" w:rsidRPr="00931BCF" w:rsidRDefault="009A7776" w:rsidP="007679A9">
      <w:pPr>
        <w:rPr>
          <w:rFonts w:cs="David"/>
          <w:sz w:val="24"/>
          <w:szCs w:val="24"/>
          <w:rtl/>
        </w:rPr>
      </w:pPr>
      <w:r w:rsidRPr="00931BCF">
        <w:rPr>
          <w:rFonts w:cs="David" w:hint="cs"/>
          <w:sz w:val="24"/>
          <w:szCs w:val="24"/>
          <w:vertAlign w:val="superscript"/>
          <w:rtl/>
        </w:rPr>
        <w:t>1</w:t>
      </w:r>
      <w:r w:rsidRPr="00931BCF">
        <w:rPr>
          <w:rFonts w:cs="David" w:hint="cs"/>
          <w:sz w:val="24"/>
          <w:szCs w:val="24"/>
          <w:rtl/>
        </w:rPr>
        <w:t xml:space="preserve"> ענפים בהם מספר התשובות </w:t>
      </w:r>
      <w:r w:rsidR="007679A9" w:rsidRPr="00931BCF">
        <w:rPr>
          <w:rFonts w:cs="David" w:hint="cs"/>
          <w:sz w:val="24"/>
          <w:szCs w:val="24"/>
          <w:rtl/>
        </w:rPr>
        <w:t xml:space="preserve">לעניין המגבלות </w:t>
      </w:r>
      <w:r w:rsidRPr="00931BCF">
        <w:rPr>
          <w:rFonts w:cs="David" w:hint="cs"/>
          <w:sz w:val="24"/>
          <w:szCs w:val="24"/>
          <w:rtl/>
        </w:rPr>
        <w:t xml:space="preserve">היה נמוך מעשרים חברות. </w:t>
      </w:r>
    </w:p>
    <w:p w:rsidR="007720F0" w:rsidRPr="00E3701D" w:rsidRDefault="007720F0" w:rsidP="00434042">
      <w:pPr>
        <w:bidi w:val="0"/>
        <w:jc w:val="center"/>
        <w:rPr>
          <w:rFonts w:ascii="Arial" w:eastAsia="Times New Roman" w:hAnsi="Arial" w:cs="David"/>
          <w:color w:val="000000"/>
          <w:sz w:val="20"/>
          <w:szCs w:val="20"/>
        </w:rPr>
      </w:pPr>
    </w:p>
    <w:sectPr w:rsidR="007720F0" w:rsidRPr="00E3701D" w:rsidSect="00C13AE2">
      <w:footerReference w:type="default" r:id="rId27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A0" w:rsidRDefault="003936A0" w:rsidP="00AA40D8">
      <w:pPr>
        <w:spacing w:after="0" w:line="240" w:lineRule="auto"/>
      </w:pPr>
      <w:r>
        <w:separator/>
      </w:r>
    </w:p>
  </w:endnote>
  <w:endnote w:type="continuationSeparator" w:id="0">
    <w:p w:rsidR="003936A0" w:rsidRDefault="003936A0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421F" w:rsidRPr="00931BCF" w:rsidRDefault="00661D9E" w:rsidP="00931BCF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931BCF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="00D61634" w:rsidRPr="00931BCF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931BCF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</w:t>
            </w:r>
            <w:r w:rsidR="00D61634" w:rsidRPr="00931BCF">
              <w:rPr>
                <w:rFonts w:cs="David" w:hint="cs"/>
                <w:sz w:val="24"/>
                <w:szCs w:val="24"/>
                <w:rtl/>
                <w:lang w:val="he-IL"/>
              </w:rPr>
              <w:t>לרבעון</w:t>
            </w:r>
            <w:r w:rsidRPr="00931BCF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5F6E20" w:rsidRPr="00931BCF">
              <w:rPr>
                <w:rFonts w:cs="David" w:hint="cs"/>
                <w:sz w:val="24"/>
                <w:szCs w:val="24"/>
                <w:rtl/>
                <w:lang w:val="he-IL"/>
              </w:rPr>
              <w:t>הראשון</w:t>
            </w:r>
            <w:r w:rsidR="002B21F8" w:rsidRPr="00931BCF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Pr="00931BCF">
              <w:rPr>
                <w:rFonts w:cs="David" w:hint="cs"/>
                <w:sz w:val="24"/>
                <w:szCs w:val="24"/>
                <w:rtl/>
                <w:lang w:val="he-IL"/>
              </w:rPr>
              <w:t>של שנת 201</w:t>
            </w:r>
            <w:r w:rsidR="005F6E20" w:rsidRPr="00931BCF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Pr="00931BCF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931BCF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931BCF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931BCF">
              <w:rPr>
                <w:rFonts w:cs="David"/>
                <w:sz w:val="24"/>
                <w:szCs w:val="24"/>
                <w:rtl/>
                <w:lang w:val="he-IL"/>
              </w:rPr>
              <w:tab/>
            </w:r>
            <w:r w:rsidRPr="00931BCF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931BCF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931BCF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931BCF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D9062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931BCF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931BCF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931BCF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931BCF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931BCF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D9062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931BCF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A0" w:rsidRDefault="003936A0" w:rsidP="00AA40D8">
      <w:pPr>
        <w:spacing w:after="0" w:line="240" w:lineRule="auto"/>
      </w:pPr>
      <w:r>
        <w:separator/>
      </w:r>
    </w:p>
  </w:footnote>
  <w:footnote w:type="continuationSeparator" w:id="0">
    <w:p w:rsidR="003936A0" w:rsidRDefault="003936A0" w:rsidP="00AA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6"/>
    <w:rsid w:val="00001693"/>
    <w:rsid w:val="00011087"/>
    <w:rsid w:val="00021C10"/>
    <w:rsid w:val="00053088"/>
    <w:rsid w:val="000563CD"/>
    <w:rsid w:val="00064548"/>
    <w:rsid w:val="00092F92"/>
    <w:rsid w:val="000A0DD5"/>
    <w:rsid w:val="000A773B"/>
    <w:rsid w:val="000B4983"/>
    <w:rsid w:val="000B6173"/>
    <w:rsid w:val="000B6E09"/>
    <w:rsid w:val="000B758B"/>
    <w:rsid w:val="000C07C1"/>
    <w:rsid w:val="000C7583"/>
    <w:rsid w:val="000D4328"/>
    <w:rsid w:val="000D6CB9"/>
    <w:rsid w:val="000D7753"/>
    <w:rsid w:val="000F4B9F"/>
    <w:rsid w:val="00107E06"/>
    <w:rsid w:val="001121D3"/>
    <w:rsid w:val="0011248B"/>
    <w:rsid w:val="00116B4A"/>
    <w:rsid w:val="001176CB"/>
    <w:rsid w:val="001277D8"/>
    <w:rsid w:val="001347D3"/>
    <w:rsid w:val="00134A06"/>
    <w:rsid w:val="00135AF2"/>
    <w:rsid w:val="001371E5"/>
    <w:rsid w:val="001405F5"/>
    <w:rsid w:val="00151645"/>
    <w:rsid w:val="00154903"/>
    <w:rsid w:val="00160127"/>
    <w:rsid w:val="00163B39"/>
    <w:rsid w:val="0016524D"/>
    <w:rsid w:val="00190A42"/>
    <w:rsid w:val="0019774C"/>
    <w:rsid w:val="00197F40"/>
    <w:rsid w:val="001A0075"/>
    <w:rsid w:val="001A2FA0"/>
    <w:rsid w:val="001B2755"/>
    <w:rsid w:val="001B29C6"/>
    <w:rsid w:val="001C3B7B"/>
    <w:rsid w:val="001C65D2"/>
    <w:rsid w:val="001D2192"/>
    <w:rsid w:val="001D21C0"/>
    <w:rsid w:val="001E3744"/>
    <w:rsid w:val="001E42C6"/>
    <w:rsid w:val="001E512D"/>
    <w:rsid w:val="001E5FD4"/>
    <w:rsid w:val="001F3461"/>
    <w:rsid w:val="001F7DE7"/>
    <w:rsid w:val="002105D3"/>
    <w:rsid w:val="002108D7"/>
    <w:rsid w:val="00211FA8"/>
    <w:rsid w:val="00221A8F"/>
    <w:rsid w:val="00222773"/>
    <w:rsid w:val="0022448E"/>
    <w:rsid w:val="00237B10"/>
    <w:rsid w:val="0024293A"/>
    <w:rsid w:val="00247033"/>
    <w:rsid w:val="00267308"/>
    <w:rsid w:val="002702A9"/>
    <w:rsid w:val="002706EA"/>
    <w:rsid w:val="00273009"/>
    <w:rsid w:val="002752CE"/>
    <w:rsid w:val="00276BC3"/>
    <w:rsid w:val="00283CA5"/>
    <w:rsid w:val="00290CF1"/>
    <w:rsid w:val="00291F31"/>
    <w:rsid w:val="002962E9"/>
    <w:rsid w:val="002964DF"/>
    <w:rsid w:val="002A07A8"/>
    <w:rsid w:val="002A51D4"/>
    <w:rsid w:val="002B21F8"/>
    <w:rsid w:val="002B2EDD"/>
    <w:rsid w:val="002C0FCB"/>
    <w:rsid w:val="002C33C5"/>
    <w:rsid w:val="002C4D1E"/>
    <w:rsid w:val="002D403E"/>
    <w:rsid w:val="002D5DA0"/>
    <w:rsid w:val="002E5006"/>
    <w:rsid w:val="002E746E"/>
    <w:rsid w:val="002F27E3"/>
    <w:rsid w:val="002F3649"/>
    <w:rsid w:val="0030658C"/>
    <w:rsid w:val="00315DD9"/>
    <w:rsid w:val="00315EB4"/>
    <w:rsid w:val="0031605E"/>
    <w:rsid w:val="003168AC"/>
    <w:rsid w:val="00326B37"/>
    <w:rsid w:val="00330A21"/>
    <w:rsid w:val="00332184"/>
    <w:rsid w:val="00337062"/>
    <w:rsid w:val="00342849"/>
    <w:rsid w:val="00343022"/>
    <w:rsid w:val="00343A7D"/>
    <w:rsid w:val="00350DCD"/>
    <w:rsid w:val="003522BD"/>
    <w:rsid w:val="003539F0"/>
    <w:rsid w:val="00355B4A"/>
    <w:rsid w:val="003620A9"/>
    <w:rsid w:val="0036332E"/>
    <w:rsid w:val="00373CE7"/>
    <w:rsid w:val="003936A0"/>
    <w:rsid w:val="00394281"/>
    <w:rsid w:val="00394C75"/>
    <w:rsid w:val="00396A5F"/>
    <w:rsid w:val="00397EBE"/>
    <w:rsid w:val="003A1E13"/>
    <w:rsid w:val="003A5C2C"/>
    <w:rsid w:val="003B1B9E"/>
    <w:rsid w:val="003B733A"/>
    <w:rsid w:val="003D0FF7"/>
    <w:rsid w:val="003E23C8"/>
    <w:rsid w:val="003E25C5"/>
    <w:rsid w:val="003E778A"/>
    <w:rsid w:val="003E7912"/>
    <w:rsid w:val="003F7236"/>
    <w:rsid w:val="003F7BAE"/>
    <w:rsid w:val="004008F9"/>
    <w:rsid w:val="00400BA0"/>
    <w:rsid w:val="0040103E"/>
    <w:rsid w:val="004014AE"/>
    <w:rsid w:val="00401B09"/>
    <w:rsid w:val="00417DF9"/>
    <w:rsid w:val="0042077B"/>
    <w:rsid w:val="004256DE"/>
    <w:rsid w:val="00426B92"/>
    <w:rsid w:val="00434042"/>
    <w:rsid w:val="00434ADD"/>
    <w:rsid w:val="0043713B"/>
    <w:rsid w:val="00444175"/>
    <w:rsid w:val="00445AFB"/>
    <w:rsid w:val="00446AE5"/>
    <w:rsid w:val="00451314"/>
    <w:rsid w:val="00451E35"/>
    <w:rsid w:val="0045445C"/>
    <w:rsid w:val="00456088"/>
    <w:rsid w:val="00461685"/>
    <w:rsid w:val="004650E2"/>
    <w:rsid w:val="00470C04"/>
    <w:rsid w:val="00473799"/>
    <w:rsid w:val="00475D37"/>
    <w:rsid w:val="0048055A"/>
    <w:rsid w:val="004A15EF"/>
    <w:rsid w:val="004A77D9"/>
    <w:rsid w:val="004B280A"/>
    <w:rsid w:val="004B463E"/>
    <w:rsid w:val="004C7607"/>
    <w:rsid w:val="004C7F6D"/>
    <w:rsid w:val="004D1CE9"/>
    <w:rsid w:val="004D1F0D"/>
    <w:rsid w:val="004D3896"/>
    <w:rsid w:val="004E1D14"/>
    <w:rsid w:val="004E4041"/>
    <w:rsid w:val="004F01B0"/>
    <w:rsid w:val="004F2F82"/>
    <w:rsid w:val="004F34FB"/>
    <w:rsid w:val="004F4184"/>
    <w:rsid w:val="00507641"/>
    <w:rsid w:val="0051040E"/>
    <w:rsid w:val="00512A00"/>
    <w:rsid w:val="00514693"/>
    <w:rsid w:val="00515DA3"/>
    <w:rsid w:val="00523910"/>
    <w:rsid w:val="005274D0"/>
    <w:rsid w:val="00535AA2"/>
    <w:rsid w:val="00536817"/>
    <w:rsid w:val="005531D2"/>
    <w:rsid w:val="00561925"/>
    <w:rsid w:val="00566A46"/>
    <w:rsid w:val="0057077E"/>
    <w:rsid w:val="005713AA"/>
    <w:rsid w:val="00577296"/>
    <w:rsid w:val="005800D7"/>
    <w:rsid w:val="0058290D"/>
    <w:rsid w:val="005C0053"/>
    <w:rsid w:val="005C1840"/>
    <w:rsid w:val="005C1AF3"/>
    <w:rsid w:val="005C5A72"/>
    <w:rsid w:val="005D0444"/>
    <w:rsid w:val="005D0D71"/>
    <w:rsid w:val="005E28FE"/>
    <w:rsid w:val="005E3851"/>
    <w:rsid w:val="005F260E"/>
    <w:rsid w:val="005F5213"/>
    <w:rsid w:val="005F63F9"/>
    <w:rsid w:val="005F6E20"/>
    <w:rsid w:val="005F7FBF"/>
    <w:rsid w:val="00600D9E"/>
    <w:rsid w:val="006122BF"/>
    <w:rsid w:val="00617A80"/>
    <w:rsid w:val="00625EA9"/>
    <w:rsid w:val="0062609B"/>
    <w:rsid w:val="00626D97"/>
    <w:rsid w:val="00636FCD"/>
    <w:rsid w:val="00643980"/>
    <w:rsid w:val="0064733A"/>
    <w:rsid w:val="006574B3"/>
    <w:rsid w:val="00661D9E"/>
    <w:rsid w:val="00666402"/>
    <w:rsid w:val="006674D8"/>
    <w:rsid w:val="00672B27"/>
    <w:rsid w:val="00674A9F"/>
    <w:rsid w:val="0068013D"/>
    <w:rsid w:val="0068175A"/>
    <w:rsid w:val="00690891"/>
    <w:rsid w:val="00695CD8"/>
    <w:rsid w:val="006A31B5"/>
    <w:rsid w:val="006A4182"/>
    <w:rsid w:val="006B5C1B"/>
    <w:rsid w:val="006C099A"/>
    <w:rsid w:val="006D1101"/>
    <w:rsid w:val="006D59E9"/>
    <w:rsid w:val="006D7AD9"/>
    <w:rsid w:val="006F2FB7"/>
    <w:rsid w:val="006F42D6"/>
    <w:rsid w:val="00702E07"/>
    <w:rsid w:val="007160D8"/>
    <w:rsid w:val="00716B73"/>
    <w:rsid w:val="00726ACD"/>
    <w:rsid w:val="0075426E"/>
    <w:rsid w:val="00754751"/>
    <w:rsid w:val="00755CF9"/>
    <w:rsid w:val="00755E52"/>
    <w:rsid w:val="007617F0"/>
    <w:rsid w:val="00762549"/>
    <w:rsid w:val="007679A9"/>
    <w:rsid w:val="007720F0"/>
    <w:rsid w:val="00772FBC"/>
    <w:rsid w:val="007765C9"/>
    <w:rsid w:val="007847C0"/>
    <w:rsid w:val="00791D70"/>
    <w:rsid w:val="007933CA"/>
    <w:rsid w:val="007936D9"/>
    <w:rsid w:val="00796FC0"/>
    <w:rsid w:val="007A32F0"/>
    <w:rsid w:val="007A61E8"/>
    <w:rsid w:val="007A7758"/>
    <w:rsid w:val="007B3939"/>
    <w:rsid w:val="007B78C4"/>
    <w:rsid w:val="007D2954"/>
    <w:rsid w:val="007E1E0E"/>
    <w:rsid w:val="007E2351"/>
    <w:rsid w:val="007E7B6C"/>
    <w:rsid w:val="007F1C28"/>
    <w:rsid w:val="007F1DA8"/>
    <w:rsid w:val="00804C27"/>
    <w:rsid w:val="008135EA"/>
    <w:rsid w:val="00820A05"/>
    <w:rsid w:val="00836BCC"/>
    <w:rsid w:val="00860E0B"/>
    <w:rsid w:val="00861C88"/>
    <w:rsid w:val="00862235"/>
    <w:rsid w:val="00862A12"/>
    <w:rsid w:val="00865C68"/>
    <w:rsid w:val="00866863"/>
    <w:rsid w:val="0087252D"/>
    <w:rsid w:val="00883E62"/>
    <w:rsid w:val="00885923"/>
    <w:rsid w:val="00886BE1"/>
    <w:rsid w:val="00886D4A"/>
    <w:rsid w:val="0088717E"/>
    <w:rsid w:val="00887589"/>
    <w:rsid w:val="008954F5"/>
    <w:rsid w:val="008A2B60"/>
    <w:rsid w:val="008B1900"/>
    <w:rsid w:val="008B1AEE"/>
    <w:rsid w:val="008C271B"/>
    <w:rsid w:val="008D25E7"/>
    <w:rsid w:val="008E02D3"/>
    <w:rsid w:val="008E5283"/>
    <w:rsid w:val="009056EA"/>
    <w:rsid w:val="00915C09"/>
    <w:rsid w:val="00921197"/>
    <w:rsid w:val="0092421F"/>
    <w:rsid w:val="00924AD6"/>
    <w:rsid w:val="00926982"/>
    <w:rsid w:val="009276C3"/>
    <w:rsid w:val="00931BCF"/>
    <w:rsid w:val="00932570"/>
    <w:rsid w:val="00950353"/>
    <w:rsid w:val="009559C4"/>
    <w:rsid w:val="00961171"/>
    <w:rsid w:val="009615DD"/>
    <w:rsid w:val="0096281E"/>
    <w:rsid w:val="009748AB"/>
    <w:rsid w:val="0097580C"/>
    <w:rsid w:val="00981569"/>
    <w:rsid w:val="0098252E"/>
    <w:rsid w:val="0098791C"/>
    <w:rsid w:val="00995C0F"/>
    <w:rsid w:val="009A03F7"/>
    <w:rsid w:val="009A7776"/>
    <w:rsid w:val="009B2EDC"/>
    <w:rsid w:val="009B7C49"/>
    <w:rsid w:val="009C0913"/>
    <w:rsid w:val="009C689A"/>
    <w:rsid w:val="009C7ED3"/>
    <w:rsid w:val="009D0D73"/>
    <w:rsid w:val="009D3462"/>
    <w:rsid w:val="009D7CBF"/>
    <w:rsid w:val="009E074A"/>
    <w:rsid w:val="009E2DDC"/>
    <w:rsid w:val="009E560F"/>
    <w:rsid w:val="009F0EE2"/>
    <w:rsid w:val="009F69A2"/>
    <w:rsid w:val="009F6F8A"/>
    <w:rsid w:val="009F7CDF"/>
    <w:rsid w:val="00A06DCE"/>
    <w:rsid w:val="00A2139E"/>
    <w:rsid w:val="00A2653A"/>
    <w:rsid w:val="00A31416"/>
    <w:rsid w:val="00A4007F"/>
    <w:rsid w:val="00A41EAE"/>
    <w:rsid w:val="00A57DB4"/>
    <w:rsid w:val="00A65ACD"/>
    <w:rsid w:val="00A7024A"/>
    <w:rsid w:val="00A75C5B"/>
    <w:rsid w:val="00A92444"/>
    <w:rsid w:val="00A93069"/>
    <w:rsid w:val="00AA40D8"/>
    <w:rsid w:val="00AB55B9"/>
    <w:rsid w:val="00AB5A3D"/>
    <w:rsid w:val="00AC782F"/>
    <w:rsid w:val="00AD323E"/>
    <w:rsid w:val="00AF0763"/>
    <w:rsid w:val="00AF093F"/>
    <w:rsid w:val="00AF2183"/>
    <w:rsid w:val="00AF2737"/>
    <w:rsid w:val="00AF5150"/>
    <w:rsid w:val="00AF6C86"/>
    <w:rsid w:val="00B01107"/>
    <w:rsid w:val="00B0256B"/>
    <w:rsid w:val="00B10EF6"/>
    <w:rsid w:val="00B22378"/>
    <w:rsid w:val="00B245E8"/>
    <w:rsid w:val="00B24E3D"/>
    <w:rsid w:val="00B42F82"/>
    <w:rsid w:val="00B4322B"/>
    <w:rsid w:val="00B6336E"/>
    <w:rsid w:val="00B7025A"/>
    <w:rsid w:val="00B73A72"/>
    <w:rsid w:val="00B847BD"/>
    <w:rsid w:val="00B873D2"/>
    <w:rsid w:val="00B93664"/>
    <w:rsid w:val="00BA14B5"/>
    <w:rsid w:val="00BA6FC7"/>
    <w:rsid w:val="00BB052E"/>
    <w:rsid w:val="00BB054F"/>
    <w:rsid w:val="00BB6B9F"/>
    <w:rsid w:val="00BC43C3"/>
    <w:rsid w:val="00BC4883"/>
    <w:rsid w:val="00BD3549"/>
    <w:rsid w:val="00BE6AB8"/>
    <w:rsid w:val="00BF07B5"/>
    <w:rsid w:val="00BF1448"/>
    <w:rsid w:val="00BF1527"/>
    <w:rsid w:val="00C00178"/>
    <w:rsid w:val="00C115DB"/>
    <w:rsid w:val="00C12921"/>
    <w:rsid w:val="00C13AE2"/>
    <w:rsid w:val="00C1691A"/>
    <w:rsid w:val="00C317A0"/>
    <w:rsid w:val="00C33628"/>
    <w:rsid w:val="00C44D59"/>
    <w:rsid w:val="00C5256F"/>
    <w:rsid w:val="00C624D6"/>
    <w:rsid w:val="00C7182C"/>
    <w:rsid w:val="00C81BB2"/>
    <w:rsid w:val="00C857D9"/>
    <w:rsid w:val="00C9095D"/>
    <w:rsid w:val="00C917D8"/>
    <w:rsid w:val="00CA5CE2"/>
    <w:rsid w:val="00CB204B"/>
    <w:rsid w:val="00CB68C2"/>
    <w:rsid w:val="00CD5B56"/>
    <w:rsid w:val="00CE0C0C"/>
    <w:rsid w:val="00CF246A"/>
    <w:rsid w:val="00D032F6"/>
    <w:rsid w:val="00D1276D"/>
    <w:rsid w:val="00D14E59"/>
    <w:rsid w:val="00D2088D"/>
    <w:rsid w:val="00D40AB8"/>
    <w:rsid w:val="00D5354A"/>
    <w:rsid w:val="00D5441A"/>
    <w:rsid w:val="00D56AB7"/>
    <w:rsid w:val="00D57B35"/>
    <w:rsid w:val="00D61634"/>
    <w:rsid w:val="00D74C6A"/>
    <w:rsid w:val="00D76365"/>
    <w:rsid w:val="00D9062F"/>
    <w:rsid w:val="00DA6C25"/>
    <w:rsid w:val="00DA7E60"/>
    <w:rsid w:val="00DB5131"/>
    <w:rsid w:val="00DD33A8"/>
    <w:rsid w:val="00DD613E"/>
    <w:rsid w:val="00DE22C8"/>
    <w:rsid w:val="00DE5DDA"/>
    <w:rsid w:val="00DE7821"/>
    <w:rsid w:val="00DF04BA"/>
    <w:rsid w:val="00DF61F1"/>
    <w:rsid w:val="00DF7356"/>
    <w:rsid w:val="00DF7E87"/>
    <w:rsid w:val="00DF7F2A"/>
    <w:rsid w:val="00E002E9"/>
    <w:rsid w:val="00E012E3"/>
    <w:rsid w:val="00E10A2A"/>
    <w:rsid w:val="00E21182"/>
    <w:rsid w:val="00E23656"/>
    <w:rsid w:val="00E2576A"/>
    <w:rsid w:val="00E27BBD"/>
    <w:rsid w:val="00E314E0"/>
    <w:rsid w:val="00E40500"/>
    <w:rsid w:val="00E43738"/>
    <w:rsid w:val="00E43B06"/>
    <w:rsid w:val="00E47016"/>
    <w:rsid w:val="00E52795"/>
    <w:rsid w:val="00E6650B"/>
    <w:rsid w:val="00E675BA"/>
    <w:rsid w:val="00E76665"/>
    <w:rsid w:val="00E819AE"/>
    <w:rsid w:val="00EA30CF"/>
    <w:rsid w:val="00EB1D39"/>
    <w:rsid w:val="00EB5D64"/>
    <w:rsid w:val="00EB727F"/>
    <w:rsid w:val="00EC2912"/>
    <w:rsid w:val="00EC786A"/>
    <w:rsid w:val="00ED0371"/>
    <w:rsid w:val="00EF245A"/>
    <w:rsid w:val="00EF7227"/>
    <w:rsid w:val="00F07E08"/>
    <w:rsid w:val="00F235AA"/>
    <w:rsid w:val="00F26810"/>
    <w:rsid w:val="00F3630A"/>
    <w:rsid w:val="00F406A6"/>
    <w:rsid w:val="00F410D6"/>
    <w:rsid w:val="00F43AD1"/>
    <w:rsid w:val="00F518E8"/>
    <w:rsid w:val="00F61DC2"/>
    <w:rsid w:val="00F736C1"/>
    <w:rsid w:val="00F77D0A"/>
    <w:rsid w:val="00F83788"/>
    <w:rsid w:val="00F977E5"/>
    <w:rsid w:val="00FA0CC0"/>
    <w:rsid w:val="00FA4B2C"/>
    <w:rsid w:val="00FB3661"/>
    <w:rsid w:val="00FB3929"/>
    <w:rsid w:val="00FB5426"/>
    <w:rsid w:val="00FC3767"/>
    <w:rsid w:val="00FD556F"/>
    <w:rsid w:val="00FD6D1C"/>
    <w:rsid w:val="00FE2077"/>
    <w:rsid w:val="00FE2B19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31BCF"/>
    <w:pPr>
      <w:spacing w:before="240" w:after="0" w:line="360" w:lineRule="auto"/>
      <w:outlineLvl w:val="0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31BCF"/>
    <w:rPr>
      <w:rFonts w:cs="David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0F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931BCF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931BCF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31BCF"/>
    <w:pPr>
      <w:spacing w:before="240" w:after="0" w:line="360" w:lineRule="auto"/>
      <w:outlineLvl w:val="0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31BCF"/>
    <w:rPr>
      <w:rFonts w:cs="David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0F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931BCF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931BCF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216B5-92E5-46CF-AB1E-555F07DC44C5}"/>
</file>

<file path=customXml/itemProps2.xml><?xml version="1.0" encoding="utf-8"?>
<ds:datastoreItem xmlns:ds="http://schemas.openxmlformats.org/officeDocument/2006/customXml" ds:itemID="{1C8B186A-241C-44DB-9D3E-6B473FB842D2}"/>
</file>

<file path=customXml/itemProps3.xml><?xml version="1.0" encoding="utf-8"?>
<ds:datastoreItem xmlns:ds="http://schemas.openxmlformats.org/officeDocument/2006/customXml" ds:itemID="{7270359C-4F0E-46D6-983C-383750835871}"/>
</file>

<file path=customXml/itemProps4.xml><?xml version="1.0" encoding="utf-8"?>
<ds:datastoreItem xmlns:ds="http://schemas.openxmlformats.org/officeDocument/2006/customXml" ds:itemID="{F85BDF84-4BC1-4136-9448-EE694D75E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742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internet</cp:lastModifiedBy>
  <cp:revision>3</cp:revision>
  <cp:lastPrinted>2016-04-18T08:54:00Z</cp:lastPrinted>
  <dcterms:created xsi:type="dcterms:W3CDTF">2016-07-21T09:16:00Z</dcterms:created>
  <dcterms:modified xsi:type="dcterms:W3CDTF">2016-07-21T09:25:00Z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