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577B3098" w:rsidR="00650B9A" w:rsidRDefault="007B38CB" w:rsidP="00A60E0E">
      <w:pPr>
        <w:pStyle w:val="regpar"/>
        <w:spacing w:line="300" w:lineRule="atLeast"/>
        <w:ind w:firstLine="0"/>
        <w:jc w:val="center"/>
        <w:rPr>
          <w:rFonts w:ascii="Times New Roman" w:hAnsi="Times New Roman" w:cs="David"/>
          <w:bCs/>
        </w:rPr>
      </w:pPr>
      <w:r w:rsidRPr="002E424B">
        <w:rPr>
          <w:rFonts w:ascii="Calibri" w:hAnsi="Calibri" w:cs="Calibri"/>
          <w:noProof/>
        </w:rPr>
        <w:drawing>
          <wp:inline distT="0" distB="0" distL="0" distR="0" wp14:anchorId="2C040CCA" wp14:editId="326B657E">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6041825" w14:textId="26B35705" w:rsidR="000E0FCD" w:rsidRPr="0012431B" w:rsidRDefault="005955AF" w:rsidP="005955AF">
      <w:pPr>
        <w:pStyle w:val="regpar"/>
        <w:jc w:val="right"/>
        <w:rPr>
          <w:rFonts w:ascii="Segoe UI" w:hAnsi="Segoe UI" w:cs="Segoe UI"/>
          <w:sz w:val="22"/>
          <w:szCs w:val="22"/>
        </w:rPr>
      </w:pPr>
      <w:r>
        <w:rPr>
          <w:rFonts w:ascii="Segoe UI" w:hAnsi="Segoe UI" w:cs="Segoe UI"/>
          <w:sz w:val="22"/>
          <w:szCs w:val="22"/>
        </w:rPr>
        <w:t>February</w:t>
      </w:r>
      <w:r w:rsidR="000E0FCD">
        <w:rPr>
          <w:rFonts w:ascii="Segoe UI" w:hAnsi="Segoe UI" w:cs="Segoe UI"/>
          <w:sz w:val="22"/>
          <w:szCs w:val="22"/>
        </w:rPr>
        <w:t xml:space="preserve"> 1</w:t>
      </w:r>
      <w:r>
        <w:rPr>
          <w:rFonts w:ascii="Segoe UI" w:hAnsi="Segoe UI" w:cs="Segoe UI"/>
          <w:sz w:val="22"/>
          <w:szCs w:val="22"/>
        </w:rPr>
        <w:t>8</w:t>
      </w:r>
      <w:r w:rsidR="000E0FCD">
        <w:rPr>
          <w:rFonts w:ascii="Segoe UI" w:hAnsi="Segoe UI" w:cs="Segoe UI"/>
          <w:sz w:val="22"/>
          <w:szCs w:val="22"/>
        </w:rPr>
        <w:t>, 2026</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4E4B55F0" w14:textId="77777777" w:rsidR="00654048" w:rsidRPr="007064D7" w:rsidRDefault="00654048" w:rsidP="00654048">
      <w:pPr>
        <w:pStyle w:val="regpar"/>
        <w:ind w:firstLine="0"/>
        <w:jc w:val="center"/>
        <w:rPr>
          <w:rFonts w:ascii="Segoe UI" w:hAnsi="Segoe UI" w:cs="Segoe UI"/>
          <w:b/>
          <w:bCs/>
        </w:rPr>
      </w:pPr>
      <w:r>
        <w:rPr>
          <w:rFonts w:ascii="Segoe UI" w:hAnsi="Segoe UI" w:cs="Segoe UI"/>
          <w:b/>
          <w:bCs/>
          <w:sz w:val="22"/>
          <w:szCs w:val="22"/>
        </w:rPr>
        <w:t>The monthly Index of Economic Activity increased by 0.5 percent in January</w:t>
      </w:r>
    </w:p>
    <w:p w14:paraId="25FC955D" w14:textId="77777777" w:rsidR="000E0FCD" w:rsidRPr="007064D7" w:rsidRDefault="000E0FCD" w:rsidP="000E0FCD">
      <w:pPr>
        <w:pStyle w:val="regpar"/>
        <w:ind w:firstLine="0"/>
        <w:jc w:val="center"/>
        <w:rPr>
          <w:rFonts w:ascii="Segoe UI" w:hAnsi="Segoe UI" w:cs="Segoe UI"/>
        </w:rPr>
      </w:pPr>
    </w:p>
    <w:p w14:paraId="401D2C76" w14:textId="77777777" w:rsidR="00840047" w:rsidRDefault="00840047" w:rsidP="00840047">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increased by 0.5 percent in January. The index this month reflects the average monthly growth estimate for the three months from November 2025 to January 2026.  The Index </w:t>
      </w:r>
      <w:proofErr w:type="gramStart"/>
      <w:r>
        <w:rPr>
          <w:rFonts w:ascii="Segoe UI" w:hAnsi="Segoe UI" w:cs="Segoe UI"/>
          <w:sz w:val="22"/>
          <w:szCs w:val="22"/>
        </w:rPr>
        <w:t>was positively influenced</w:t>
      </w:r>
      <w:proofErr w:type="gramEnd"/>
      <w:r>
        <w:rPr>
          <w:rFonts w:ascii="Segoe UI" w:hAnsi="Segoe UI" w:cs="Segoe UI"/>
          <w:sz w:val="22"/>
          <w:szCs w:val="22"/>
        </w:rPr>
        <w:t xml:space="preserve"> by data on credit card purchases in January, trade industry revenue and Industrial Production Index data for November, retail trade index data for November and December, and goods import and financial index data for January. In contrast, figures for actual employment and for gasoline consumption in December, net indirect tax and VAT receipts in December and January, and goods exports in January moderated the increase in the index (Tables 1 and 2). </w:t>
      </w:r>
    </w:p>
    <w:p w14:paraId="3A3F6FBA" w14:textId="77777777" w:rsidR="00840047" w:rsidRDefault="00840047" w:rsidP="00840047">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higher than the long-term growth trend (about 0.3 percent).</w:t>
      </w:r>
    </w:p>
    <w:p w14:paraId="2EAE09A3" w14:textId="77777777" w:rsidR="00840047" w:rsidRDefault="00840047" w:rsidP="00840047">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recent months </w:t>
      </w:r>
      <w:proofErr w:type="gramStart"/>
      <w:r>
        <w:rPr>
          <w:rFonts w:ascii="Segoe UI" w:hAnsi="Segoe UI" w:cs="Segoe UI"/>
          <w:sz w:val="22"/>
          <w:szCs w:val="22"/>
        </w:rPr>
        <w:t>was revised</w:t>
      </w:r>
      <w:proofErr w:type="gramEnd"/>
      <w:r>
        <w:rPr>
          <w:rFonts w:ascii="Segoe UI" w:hAnsi="Segoe UI" w:cs="Segoe UI"/>
          <w:sz w:val="22"/>
          <w:szCs w:val="22"/>
        </w:rPr>
        <w:t xml:space="preserve"> upward with the completion of data that were previously missing, as well as due to an upward revision of actual GDP data for the third quarter of 2025.</w:t>
      </w:r>
    </w:p>
    <w:p w14:paraId="65B48E99" w14:textId="77777777" w:rsidR="00840047" w:rsidRDefault="00840047" w:rsidP="00840047">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revisions to the Index, and Table 2 presents the monthly rate of change in the Index’s components.</w:t>
      </w:r>
    </w:p>
    <w:p w14:paraId="7B466BD7" w14:textId="57A4113D" w:rsidR="00D25960" w:rsidRDefault="00D25960" w:rsidP="00D25960">
      <w:pPr>
        <w:pStyle w:val="regpar"/>
      </w:pPr>
    </w:p>
    <w:p w14:paraId="4C362DFF" w14:textId="558F6B7F" w:rsidR="00D25960" w:rsidRDefault="00D25960" w:rsidP="00D25960">
      <w:pPr>
        <w:pStyle w:val="regpar"/>
      </w:pPr>
    </w:p>
    <w:p w14:paraId="7A1BDB7F" w14:textId="19C09AB7" w:rsidR="00D25960" w:rsidRDefault="00D25960" w:rsidP="00D25960">
      <w:pPr>
        <w:pStyle w:val="regpar"/>
      </w:pPr>
    </w:p>
    <w:p w14:paraId="0CFC1076" w14:textId="3D103843" w:rsidR="00D25960" w:rsidRDefault="00D25960" w:rsidP="00D25960">
      <w:pPr>
        <w:pStyle w:val="regpar"/>
      </w:pPr>
    </w:p>
    <w:p w14:paraId="324B416D" w14:textId="0C19B955" w:rsidR="00D25960" w:rsidRDefault="00D25960" w:rsidP="00D25960">
      <w:pPr>
        <w:pStyle w:val="regpar"/>
      </w:pPr>
    </w:p>
    <w:p w14:paraId="51E7B756" w14:textId="417146B1" w:rsidR="00D25960" w:rsidRDefault="00D25960" w:rsidP="00D25960">
      <w:pPr>
        <w:pStyle w:val="regpar"/>
      </w:pPr>
    </w:p>
    <w:p w14:paraId="31B1D615" w14:textId="0E6EBF0B" w:rsidR="00D25960" w:rsidRDefault="00D25960" w:rsidP="00D25960">
      <w:pPr>
        <w:pStyle w:val="regpar"/>
      </w:pPr>
    </w:p>
    <w:p w14:paraId="49A3D38D" w14:textId="2CF797CC" w:rsidR="00D25960" w:rsidRDefault="00D25960" w:rsidP="00D25960">
      <w:pPr>
        <w:pStyle w:val="regpar"/>
      </w:pPr>
    </w:p>
    <w:p w14:paraId="31874334" w14:textId="77777777" w:rsidR="00D25960" w:rsidRPr="00D25960" w:rsidRDefault="00D25960" w:rsidP="00D25960">
      <w:pPr>
        <w:pStyle w:val="regpar"/>
      </w:pPr>
    </w:p>
    <w:p w14:paraId="1A0CD6E1" w14:textId="77777777" w:rsidR="000E0FCD" w:rsidRDefault="000E0FCD" w:rsidP="00B227DE">
      <w:pPr>
        <w:spacing w:before="100" w:beforeAutospacing="1" w:after="100" w:afterAutospacing="1"/>
        <w:jc w:val="both"/>
        <w:rPr>
          <w:rFonts w:ascii="Segoe UI" w:hAnsi="Segoe UI" w:cs="Segoe UI"/>
          <w:b/>
          <w:bCs/>
          <w:sz w:val="22"/>
          <w:szCs w:val="22"/>
        </w:rPr>
      </w:pPr>
    </w:p>
    <w:p w14:paraId="79C013CD" w14:textId="77777777" w:rsidR="000E0FCD" w:rsidRDefault="000E0FCD" w:rsidP="00B227DE">
      <w:pPr>
        <w:spacing w:before="100" w:beforeAutospacing="1" w:after="100" w:afterAutospacing="1"/>
        <w:jc w:val="both"/>
        <w:rPr>
          <w:rFonts w:ascii="Segoe UI" w:hAnsi="Segoe UI" w:cs="Segoe UI"/>
          <w:b/>
          <w:bCs/>
          <w:sz w:val="22"/>
          <w:szCs w:val="22"/>
        </w:rPr>
      </w:pPr>
    </w:p>
    <w:p w14:paraId="049EFA40" w14:textId="799C3C3E"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lastRenderedPageBreak/>
        <w:t>FIGURE 1</w:t>
      </w:r>
      <w:r w:rsidR="000A560F">
        <w:rPr>
          <w:rFonts w:ascii="Segoe UI" w:hAnsi="Segoe UI" w:cs="Segoe UI"/>
          <w:b/>
          <w:bCs/>
          <w:sz w:val="22"/>
          <w:szCs w:val="22"/>
        </w:rPr>
        <w:t>: The Monthly Index of Economic Activity</w:t>
      </w:r>
    </w:p>
    <w:p w14:paraId="649C93E0" w14:textId="5CE6652C" w:rsidR="00D25960" w:rsidRPr="00D25960" w:rsidRDefault="004A7DDC" w:rsidP="004A7DDC">
      <w:pPr>
        <w:pStyle w:val="regpar"/>
      </w:pPr>
      <w:r>
        <w:rPr>
          <w:noProof/>
        </w:rPr>
        <w:drawing>
          <wp:inline distT="0" distB="0" distL="0" distR="0" wp14:anchorId="0DC435B5" wp14:editId="1ED05DFB">
            <wp:extent cx="5927697" cy="4047214"/>
            <wp:effectExtent l="0" t="0" r="16510" b="10795"/>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9CE8C4" w14:textId="77777777" w:rsidR="00D25960" w:rsidRDefault="00D25960">
      <w:pPr>
        <w:rPr>
          <w:noProof/>
        </w:rPr>
      </w:pPr>
    </w:p>
    <w:p w14:paraId="79DE6B4C" w14:textId="77777777" w:rsidR="00D25960" w:rsidRDefault="00D25960"/>
    <w:p w14:paraId="496C8D8E" w14:textId="72F0A483" w:rsidR="00D25960" w:rsidRDefault="00D25960"/>
    <w:p w14:paraId="14E420F7" w14:textId="5198C5F2" w:rsidR="003D7349" w:rsidRPr="003D7349" w:rsidRDefault="003D7349" w:rsidP="003D7349">
      <w:pPr>
        <w:pStyle w:val="regpar"/>
      </w:pPr>
      <w:r w:rsidRPr="003D7349">
        <w:rPr>
          <w:noProof/>
        </w:rPr>
        <w:drawing>
          <wp:inline distT="0" distB="0" distL="0" distR="0" wp14:anchorId="676F4AA2" wp14:editId="2D759806">
            <wp:extent cx="5760720" cy="3301869"/>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301869"/>
                    </a:xfrm>
                    <a:prstGeom prst="rect">
                      <a:avLst/>
                    </a:prstGeom>
                    <a:noFill/>
                    <a:ln>
                      <a:noFill/>
                    </a:ln>
                  </pic:spPr>
                </pic:pic>
              </a:graphicData>
            </a:graphic>
          </wp:inline>
        </w:drawing>
      </w:r>
    </w:p>
    <w:p w14:paraId="02B490AE" w14:textId="74DC6170" w:rsidR="00D25960" w:rsidRDefault="00D25960"/>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65FD5BD4" w:rsidR="00CC3F41" w:rsidRDefault="003D7349" w:rsidP="003A1D71">
      <w:bookmarkStart w:id="0" w:name="_GoBack"/>
      <w:r w:rsidRPr="003D7349">
        <w:rPr>
          <w:noProof/>
        </w:rPr>
        <w:lastRenderedPageBreak/>
        <w:drawing>
          <wp:inline distT="0" distB="0" distL="0" distR="0" wp14:anchorId="35959F83" wp14:editId="72E77EDC">
            <wp:extent cx="5759961" cy="5263764"/>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725" cy="5271773"/>
                    </a:xfrm>
                    <a:prstGeom prst="rect">
                      <a:avLst/>
                    </a:prstGeom>
                    <a:noFill/>
                    <a:ln>
                      <a:noFill/>
                    </a:ln>
                  </pic:spPr>
                </pic:pic>
              </a:graphicData>
            </a:graphic>
          </wp:inline>
        </w:drawing>
      </w:r>
      <w:bookmarkEnd w:id="0"/>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5ACF825C" w14:textId="77777777" w:rsidR="00840047" w:rsidRPr="00B227DE" w:rsidRDefault="00840047" w:rsidP="00840047">
      <w:pPr>
        <w:pStyle w:val="a7"/>
        <w:rPr>
          <w:rFonts w:ascii="Segoe UI" w:hAnsi="Segoe UI" w:cs="Segoe UI"/>
          <w:rtl/>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F360E"/>
    <w:rsid w:val="003F4CF0"/>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A7DDC"/>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38CB"/>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960"/>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vsrvmmh\vmmh\ISD\&#1508;&#1512;&#1493;&#1497;&#1511;&#1496;&#1497;&#1501;%20&#1502;&#1513;&#1493;&#1514;&#1508;&#1497;&#1501;%20-%207\&#1505;&#1511;&#1512;%20&#1511;&#1510;&#1497;&#1504;&#1497;%20&#1488;&#1513;&#1512;&#1488;&#1497;\TETA\&#1492;&#1491;&#1493;&#1495;%20&#1492;&#1495;&#1493;&#1491;&#1513;&#1497;\chartbook_TETA.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30147524662864"/>
          <c:y val="0.12533089398196159"/>
          <c:w val="0.86707789878755581"/>
          <c:h val="0.65486670157235194"/>
        </c:manualLayout>
      </c:layout>
      <c:barChart>
        <c:barDir val="col"/>
        <c:grouping val="clustered"/>
        <c:varyColors val="0"/>
        <c:ser>
          <c:idx val="6"/>
          <c:order val="0"/>
          <c:tx>
            <c:strRef>
              <c:f>[chartbook_TETA.xlsm]data_119!$B$4</c:f>
              <c:strCache>
                <c:ptCount val="1"/>
                <c:pt idx="0">
                  <c:v>Estimated monthly index</c:v>
                </c:pt>
              </c:strCache>
            </c:strRef>
          </c:tx>
          <c:spPr>
            <a:solidFill>
              <a:srgbClr val="008DA3"/>
            </a:solidFill>
            <a:ln>
              <a:solidFill>
                <a:srgbClr val="357C32"/>
              </a:solidFill>
            </a:ln>
            <a:effectLst/>
          </c:spPr>
          <c:invertIfNegative val="0"/>
          <c:cat>
            <c:numRef>
              <c:f>[chartbook_TETA.xlsm]data_119!$A$6:$A$30</c:f>
              <c:numCache>
                <c:formatCode>m/d/yyyy</c:formatCode>
                <c:ptCount val="25"/>
                <c:pt idx="0">
                  <c:v>45322</c:v>
                </c:pt>
                <c:pt idx="1">
                  <c:v>45351</c:v>
                </c:pt>
                <c:pt idx="2">
                  <c:v>45382</c:v>
                </c:pt>
                <c:pt idx="3">
                  <c:v>45412</c:v>
                </c:pt>
                <c:pt idx="4">
                  <c:v>45443</c:v>
                </c:pt>
                <c:pt idx="5">
                  <c:v>45473</c:v>
                </c:pt>
                <c:pt idx="6">
                  <c:v>45504</c:v>
                </c:pt>
                <c:pt idx="7">
                  <c:v>45535</c:v>
                </c:pt>
                <c:pt idx="8">
                  <c:v>45565</c:v>
                </c:pt>
                <c:pt idx="9">
                  <c:v>45596</c:v>
                </c:pt>
                <c:pt idx="10">
                  <c:v>45626</c:v>
                </c:pt>
                <c:pt idx="11">
                  <c:v>45657</c:v>
                </c:pt>
                <c:pt idx="12">
                  <c:v>45688</c:v>
                </c:pt>
                <c:pt idx="13">
                  <c:v>45716</c:v>
                </c:pt>
                <c:pt idx="14">
                  <c:v>45747</c:v>
                </c:pt>
                <c:pt idx="15">
                  <c:v>45777</c:v>
                </c:pt>
                <c:pt idx="16">
                  <c:v>45808</c:v>
                </c:pt>
                <c:pt idx="17">
                  <c:v>45838</c:v>
                </c:pt>
                <c:pt idx="18">
                  <c:v>45869</c:v>
                </c:pt>
                <c:pt idx="19">
                  <c:v>45900</c:v>
                </c:pt>
                <c:pt idx="20">
                  <c:v>45930</c:v>
                </c:pt>
                <c:pt idx="21">
                  <c:v>45961</c:v>
                </c:pt>
                <c:pt idx="22">
                  <c:v>45991</c:v>
                </c:pt>
                <c:pt idx="23">
                  <c:v>46022</c:v>
                </c:pt>
                <c:pt idx="24">
                  <c:v>46053</c:v>
                </c:pt>
              </c:numCache>
            </c:numRef>
          </c:cat>
          <c:val>
            <c:numRef>
              <c:f>[chartbook_TETA.xlsm]data_119!$B$6:$B$30</c:f>
              <c:numCache>
                <c:formatCode>General</c:formatCode>
                <c:ptCount val="25"/>
                <c:pt idx="0">
                  <c:v>1.476</c:v>
                </c:pt>
                <c:pt idx="1">
                  <c:v>1.274</c:v>
                </c:pt>
                <c:pt idx="2">
                  <c:v>0.82399999999999995</c:v>
                </c:pt>
                <c:pt idx="3">
                  <c:v>2.5999999999999999E-2</c:v>
                </c:pt>
                <c:pt idx="4">
                  <c:v>0.25800000000000001</c:v>
                </c:pt>
                <c:pt idx="5">
                  <c:v>0.21</c:v>
                </c:pt>
                <c:pt idx="6">
                  <c:v>0.66700000000000004</c:v>
                </c:pt>
                <c:pt idx="7">
                  <c:v>0.26500000000000001</c:v>
                </c:pt>
                <c:pt idx="8">
                  <c:v>0.13300000000000001</c:v>
                </c:pt>
                <c:pt idx="9">
                  <c:v>-0.27900000000000003</c:v>
                </c:pt>
                <c:pt idx="10">
                  <c:v>-5.0999999999999997E-2</c:v>
                </c:pt>
                <c:pt idx="11">
                  <c:v>0.61</c:v>
                </c:pt>
                <c:pt idx="12">
                  <c:v>0.39500000000000002</c:v>
                </c:pt>
                <c:pt idx="13">
                  <c:v>0.85599999999999998</c:v>
                </c:pt>
                <c:pt idx="14">
                  <c:v>0.21099999999999999</c:v>
                </c:pt>
                <c:pt idx="15">
                  <c:v>0.29899999999999999</c:v>
                </c:pt>
                <c:pt idx="16">
                  <c:v>0.122</c:v>
                </c:pt>
                <c:pt idx="17">
                  <c:v>-1.53</c:v>
                </c:pt>
                <c:pt idx="18">
                  <c:v>0.81799999999999995</c:v>
                </c:pt>
                <c:pt idx="19">
                  <c:v>0.17599999999999999</c:v>
                </c:pt>
                <c:pt idx="20">
                  <c:v>2.0009999999999999</c:v>
                </c:pt>
                <c:pt idx="21">
                  <c:v>-5.8000000000000003E-2</c:v>
                </c:pt>
                <c:pt idx="22">
                  <c:v>0.67</c:v>
                </c:pt>
                <c:pt idx="23">
                  <c:v>0.35799999999999998</c:v>
                </c:pt>
                <c:pt idx="24">
                  <c:v>0.51300000000000001</c:v>
                </c:pt>
              </c:numCache>
            </c:numRef>
          </c:val>
          <c:extLst xmlns:c15="http://schemas.microsoft.com/office/drawing/2012/chart" xmlns:m="http://schemas.openxmlformats.org/officeDocument/2006/math" xmlns:w="http://schemas.openxmlformats.org/wordprocessingml/2006/main" xmlns:wp="http://schemas.openxmlformats.org/drawingml/2006/wordprocessingDrawing" xmlns:a14="http://schemas.microsoft.com/office/drawing/2010/main">
            <c:ext xmlns:c16="http://schemas.microsoft.com/office/drawing/2014/chart" uri="{C3380CC4-5D6E-409C-BE32-E72D297353CC}">
              <c16:uniqueId val="{00000000-EF6F-4EB1-B0C2-2F1C41CBB02D}"/>
            </c:ext>
          </c:extLst>
        </c:ser>
        <c:dLbls>
          <c:showLegendKey val="0"/>
          <c:showVal val="0"/>
          <c:showCatName val="0"/>
          <c:showSerName val="0"/>
          <c:showPercent val="0"/>
          <c:showBubbleSize val="0"/>
        </c:dLbls>
        <c:gapWidth val="10"/>
        <c:axId val="673828768"/>
        <c:axId val="673807552"/>
      </c:barChart>
      <c:lineChart>
        <c:grouping val="standard"/>
        <c:varyColors val="0"/>
        <c:ser>
          <c:idx val="0"/>
          <c:order val="1"/>
          <c:tx>
            <c:strRef>
              <c:f>[chartbook_TETA.xlsm]data_119!$C$4</c:f>
              <c:strCache>
                <c:ptCount val="1"/>
                <c:pt idx="0">
                  <c:v>Previous estimate</c:v>
                </c:pt>
              </c:strCache>
            </c:strRef>
          </c:tx>
          <c:spPr>
            <a:ln w="31750" cap="rnd">
              <a:noFill/>
              <a:round/>
            </a:ln>
            <a:effectLst/>
          </c:spPr>
          <c:marker>
            <c:symbol val="circle"/>
            <c:size val="6"/>
            <c:spPr>
              <a:solidFill>
                <a:srgbClr val="357C32"/>
              </a:solidFill>
              <a:ln w="22225">
                <a:noFill/>
                <a:round/>
              </a:ln>
              <a:effectLst/>
            </c:spPr>
          </c:marker>
          <c:cat>
            <c:numRef>
              <c:f>[chartbook_TETA.xlsm]data_119!$A$6:$A$30</c:f>
              <c:numCache>
                <c:formatCode>m/d/yyyy</c:formatCode>
                <c:ptCount val="25"/>
                <c:pt idx="0">
                  <c:v>45322</c:v>
                </c:pt>
                <c:pt idx="1">
                  <c:v>45351</c:v>
                </c:pt>
                <c:pt idx="2">
                  <c:v>45382</c:v>
                </c:pt>
                <c:pt idx="3">
                  <c:v>45412</c:v>
                </c:pt>
                <c:pt idx="4">
                  <c:v>45443</c:v>
                </c:pt>
                <c:pt idx="5">
                  <c:v>45473</c:v>
                </c:pt>
                <c:pt idx="6">
                  <c:v>45504</c:v>
                </c:pt>
                <c:pt idx="7">
                  <c:v>45535</c:v>
                </c:pt>
                <c:pt idx="8">
                  <c:v>45565</c:v>
                </c:pt>
                <c:pt idx="9">
                  <c:v>45596</c:v>
                </c:pt>
                <c:pt idx="10">
                  <c:v>45626</c:v>
                </c:pt>
                <c:pt idx="11">
                  <c:v>45657</c:v>
                </c:pt>
                <c:pt idx="12">
                  <c:v>45688</c:v>
                </c:pt>
                <c:pt idx="13">
                  <c:v>45716</c:v>
                </c:pt>
                <c:pt idx="14">
                  <c:v>45747</c:v>
                </c:pt>
                <c:pt idx="15">
                  <c:v>45777</c:v>
                </c:pt>
                <c:pt idx="16">
                  <c:v>45808</c:v>
                </c:pt>
                <c:pt idx="17">
                  <c:v>45838</c:v>
                </c:pt>
                <c:pt idx="18">
                  <c:v>45869</c:v>
                </c:pt>
                <c:pt idx="19">
                  <c:v>45900</c:v>
                </c:pt>
                <c:pt idx="20">
                  <c:v>45930</c:v>
                </c:pt>
                <c:pt idx="21">
                  <c:v>45961</c:v>
                </c:pt>
                <c:pt idx="22">
                  <c:v>45991</c:v>
                </c:pt>
                <c:pt idx="23">
                  <c:v>46022</c:v>
                </c:pt>
                <c:pt idx="24">
                  <c:v>46053</c:v>
                </c:pt>
              </c:numCache>
            </c:numRef>
          </c:cat>
          <c:val>
            <c:numRef>
              <c:f>[chartbook_TETA.xlsm]data_119!$C$6:$C$30</c:f>
              <c:numCache>
                <c:formatCode>General</c:formatCode>
                <c:ptCount val="25"/>
                <c:pt idx="0">
                  <c:v>1.4330000000000001</c:v>
                </c:pt>
                <c:pt idx="1">
                  <c:v>1.226</c:v>
                </c:pt>
                <c:pt idx="2">
                  <c:v>0.79600000000000004</c:v>
                </c:pt>
                <c:pt idx="3">
                  <c:v>4.7E-2</c:v>
                </c:pt>
                <c:pt idx="4">
                  <c:v>0.252</c:v>
                </c:pt>
                <c:pt idx="5">
                  <c:v>0.19700000000000001</c:v>
                </c:pt>
                <c:pt idx="6">
                  <c:v>0.65</c:v>
                </c:pt>
                <c:pt idx="7">
                  <c:v>0.27</c:v>
                </c:pt>
                <c:pt idx="8">
                  <c:v>0.16200000000000001</c:v>
                </c:pt>
                <c:pt idx="9">
                  <c:v>-0.20200000000000001</c:v>
                </c:pt>
                <c:pt idx="10">
                  <c:v>6.3E-2</c:v>
                </c:pt>
                <c:pt idx="11">
                  <c:v>0.61399999999999999</c:v>
                </c:pt>
                <c:pt idx="12">
                  <c:v>0.31900000000000001</c:v>
                </c:pt>
                <c:pt idx="13">
                  <c:v>0.67600000000000005</c:v>
                </c:pt>
                <c:pt idx="14">
                  <c:v>0.11700000000000001</c:v>
                </c:pt>
                <c:pt idx="15">
                  <c:v>0.245</c:v>
                </c:pt>
                <c:pt idx="16">
                  <c:v>9.9000000000000005E-2</c:v>
                </c:pt>
                <c:pt idx="17">
                  <c:v>-1.569</c:v>
                </c:pt>
                <c:pt idx="18">
                  <c:v>0.69799999999999995</c:v>
                </c:pt>
                <c:pt idx="19">
                  <c:v>0.03</c:v>
                </c:pt>
                <c:pt idx="20">
                  <c:v>1.885</c:v>
                </c:pt>
                <c:pt idx="21">
                  <c:v>-0.113</c:v>
                </c:pt>
                <c:pt idx="22">
                  <c:v>0.55200000000000005</c:v>
                </c:pt>
                <c:pt idx="23">
                  <c:v>0.314</c:v>
                </c:pt>
              </c:numCache>
            </c:numRef>
          </c:val>
          <c:smooth val="0"/>
          <c:extLst xmlns:c15="http://schemas.microsoft.com/office/drawing/2012/chart">
            <c:ext xmlns:c16="http://schemas.microsoft.com/office/drawing/2014/chart" uri="{C3380CC4-5D6E-409C-BE32-E72D297353CC}">
              <c16:uniqueId val="{00000001-EF6F-4EB1-B0C2-2F1C41CBB02D}"/>
            </c:ext>
          </c:extLst>
        </c:ser>
        <c:ser>
          <c:idx val="1"/>
          <c:order val="2"/>
          <c:tx>
            <c:strRef>
              <c:f>[chartbook_TETA.xlsm]data_119!$D$4</c:f>
              <c:strCache>
                <c:ptCount val="1"/>
                <c:pt idx="0">
                  <c:v>Long-term average</c:v>
                </c:pt>
              </c:strCache>
            </c:strRef>
          </c:tx>
          <c:spPr>
            <a:ln w="22225" cap="rnd">
              <a:solidFill>
                <a:srgbClr val="DA8F32"/>
              </a:solidFill>
              <a:prstDash val="solid"/>
              <a:round/>
            </a:ln>
            <a:effectLst/>
          </c:spPr>
          <c:marker>
            <c:symbol val="none"/>
          </c:marker>
          <c:cat>
            <c:numRef>
              <c:f>[chartbook_TETA.xlsm]data_119!$A$6:$A$30</c:f>
              <c:numCache>
                <c:formatCode>m/d/yyyy</c:formatCode>
                <c:ptCount val="25"/>
                <c:pt idx="0">
                  <c:v>45322</c:v>
                </c:pt>
                <c:pt idx="1">
                  <c:v>45351</c:v>
                </c:pt>
                <c:pt idx="2">
                  <c:v>45382</c:v>
                </c:pt>
                <c:pt idx="3">
                  <c:v>45412</c:v>
                </c:pt>
                <c:pt idx="4">
                  <c:v>45443</c:v>
                </c:pt>
                <c:pt idx="5">
                  <c:v>45473</c:v>
                </c:pt>
                <c:pt idx="6">
                  <c:v>45504</c:v>
                </c:pt>
                <c:pt idx="7">
                  <c:v>45535</c:v>
                </c:pt>
                <c:pt idx="8">
                  <c:v>45565</c:v>
                </c:pt>
                <c:pt idx="9">
                  <c:v>45596</c:v>
                </c:pt>
                <c:pt idx="10">
                  <c:v>45626</c:v>
                </c:pt>
                <c:pt idx="11">
                  <c:v>45657</c:v>
                </c:pt>
                <c:pt idx="12">
                  <c:v>45688</c:v>
                </c:pt>
                <c:pt idx="13">
                  <c:v>45716</c:v>
                </c:pt>
                <c:pt idx="14">
                  <c:v>45747</c:v>
                </c:pt>
                <c:pt idx="15">
                  <c:v>45777</c:v>
                </c:pt>
                <c:pt idx="16">
                  <c:v>45808</c:v>
                </c:pt>
                <c:pt idx="17">
                  <c:v>45838</c:v>
                </c:pt>
                <c:pt idx="18">
                  <c:v>45869</c:v>
                </c:pt>
                <c:pt idx="19">
                  <c:v>45900</c:v>
                </c:pt>
                <c:pt idx="20">
                  <c:v>45930</c:v>
                </c:pt>
                <c:pt idx="21">
                  <c:v>45961</c:v>
                </c:pt>
                <c:pt idx="22">
                  <c:v>45991</c:v>
                </c:pt>
                <c:pt idx="23">
                  <c:v>46022</c:v>
                </c:pt>
                <c:pt idx="24">
                  <c:v>46053</c:v>
                </c:pt>
              </c:numCache>
            </c:numRef>
          </c:cat>
          <c:val>
            <c:numRef>
              <c:f>[chartbook_TETA.xlsm]data_119!$D$6:$D$30</c:f>
              <c:numCache>
                <c:formatCode>General</c:formatCode>
                <c:ptCount val="25"/>
                <c:pt idx="0">
                  <c:v>0.30199999999999999</c:v>
                </c:pt>
                <c:pt idx="1">
                  <c:v>0.30199999999999999</c:v>
                </c:pt>
                <c:pt idx="2">
                  <c:v>0.30199999999999999</c:v>
                </c:pt>
                <c:pt idx="3">
                  <c:v>0.30199999999999999</c:v>
                </c:pt>
                <c:pt idx="4">
                  <c:v>0.30199999999999999</c:v>
                </c:pt>
                <c:pt idx="5">
                  <c:v>0.30199999999999999</c:v>
                </c:pt>
                <c:pt idx="6">
                  <c:v>0.30199999999999999</c:v>
                </c:pt>
                <c:pt idx="7">
                  <c:v>0.30199999999999999</c:v>
                </c:pt>
                <c:pt idx="8">
                  <c:v>0.30199999999999999</c:v>
                </c:pt>
                <c:pt idx="9">
                  <c:v>0.30199999999999999</c:v>
                </c:pt>
                <c:pt idx="10">
                  <c:v>0.30199999999999999</c:v>
                </c:pt>
                <c:pt idx="11">
                  <c:v>0.30199999999999999</c:v>
                </c:pt>
                <c:pt idx="12">
                  <c:v>0.30199999999999999</c:v>
                </c:pt>
                <c:pt idx="13">
                  <c:v>0.30199999999999999</c:v>
                </c:pt>
                <c:pt idx="14">
                  <c:v>0.30199999999999999</c:v>
                </c:pt>
                <c:pt idx="15">
                  <c:v>0.30199999999999999</c:v>
                </c:pt>
                <c:pt idx="16">
                  <c:v>0.30199999999999999</c:v>
                </c:pt>
                <c:pt idx="17">
                  <c:v>0.30199999999999999</c:v>
                </c:pt>
                <c:pt idx="18">
                  <c:v>0.30199999999999999</c:v>
                </c:pt>
                <c:pt idx="19">
                  <c:v>0.30199999999999999</c:v>
                </c:pt>
                <c:pt idx="20">
                  <c:v>0.30199999999999999</c:v>
                </c:pt>
                <c:pt idx="21">
                  <c:v>0.30199999999999999</c:v>
                </c:pt>
                <c:pt idx="22">
                  <c:v>0.30199999999999999</c:v>
                </c:pt>
                <c:pt idx="23">
                  <c:v>0.30199999999999999</c:v>
                </c:pt>
                <c:pt idx="24">
                  <c:v>0.30199999999999999</c:v>
                </c:pt>
              </c:numCache>
            </c:numRef>
          </c:val>
          <c:smooth val="0"/>
          <c:extLst xmlns:c15="http://schemas.microsoft.com/office/drawing/2012/chart">
            <c:ext xmlns:c16="http://schemas.microsoft.com/office/drawing/2014/chart" uri="{C3380CC4-5D6E-409C-BE32-E72D297353CC}">
              <c16:uniqueId val="{00000002-EF6F-4EB1-B0C2-2F1C41CBB02D}"/>
            </c:ext>
          </c:extLst>
        </c:ser>
        <c:ser>
          <c:idx val="2"/>
          <c:order val="3"/>
          <c:tx>
            <c:v>25th percentile</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45322</c:v>
                </c:pt>
                <c:pt idx="1">
                  <c:v>45351</c:v>
                </c:pt>
                <c:pt idx="2">
                  <c:v>45382</c:v>
                </c:pt>
                <c:pt idx="3">
                  <c:v>45412</c:v>
                </c:pt>
                <c:pt idx="4">
                  <c:v>45443</c:v>
                </c:pt>
                <c:pt idx="5">
                  <c:v>45473</c:v>
                </c:pt>
                <c:pt idx="6">
                  <c:v>45504</c:v>
                </c:pt>
                <c:pt idx="7">
                  <c:v>45535</c:v>
                </c:pt>
                <c:pt idx="8">
                  <c:v>45565</c:v>
                </c:pt>
                <c:pt idx="9">
                  <c:v>45596</c:v>
                </c:pt>
                <c:pt idx="10">
                  <c:v>45626</c:v>
                </c:pt>
                <c:pt idx="11">
                  <c:v>45657</c:v>
                </c:pt>
                <c:pt idx="12">
                  <c:v>45688</c:v>
                </c:pt>
                <c:pt idx="13">
                  <c:v>45716</c:v>
                </c:pt>
                <c:pt idx="14">
                  <c:v>45747</c:v>
                </c:pt>
                <c:pt idx="15">
                  <c:v>45777</c:v>
                </c:pt>
                <c:pt idx="16">
                  <c:v>45808</c:v>
                </c:pt>
                <c:pt idx="17">
                  <c:v>45838</c:v>
                </c:pt>
                <c:pt idx="18">
                  <c:v>45869</c:v>
                </c:pt>
                <c:pt idx="19">
                  <c:v>45900</c:v>
                </c:pt>
                <c:pt idx="20">
                  <c:v>45930</c:v>
                </c:pt>
                <c:pt idx="21">
                  <c:v>45961</c:v>
                </c:pt>
                <c:pt idx="22">
                  <c:v>45991</c:v>
                </c:pt>
                <c:pt idx="23">
                  <c:v>46022</c:v>
                </c:pt>
                <c:pt idx="24">
                  <c:v>46053</c:v>
                </c:pt>
              </c:numCache>
            </c:numRef>
          </c:cat>
          <c:val>
            <c:numRef>
              <c:f>[chartbook_TETA.xlsm]data_119!$E$6:$E$30</c:f>
              <c:numCache>
                <c:formatCode>General</c:formatCode>
                <c:ptCount val="25"/>
                <c:pt idx="0">
                  <c:v>0.125</c:v>
                </c:pt>
                <c:pt idx="1">
                  <c:v>0.125</c:v>
                </c:pt>
                <c:pt idx="2">
                  <c:v>0.125</c:v>
                </c:pt>
                <c:pt idx="3">
                  <c:v>0.125</c:v>
                </c:pt>
                <c:pt idx="4">
                  <c:v>0.125</c:v>
                </c:pt>
                <c:pt idx="5">
                  <c:v>0.125</c:v>
                </c:pt>
                <c:pt idx="6">
                  <c:v>0.125</c:v>
                </c:pt>
                <c:pt idx="7">
                  <c:v>0.125</c:v>
                </c:pt>
                <c:pt idx="8">
                  <c:v>0.125</c:v>
                </c:pt>
                <c:pt idx="9">
                  <c:v>0.125</c:v>
                </c:pt>
                <c:pt idx="10">
                  <c:v>0.125</c:v>
                </c:pt>
                <c:pt idx="11">
                  <c:v>0.125</c:v>
                </c:pt>
                <c:pt idx="12">
                  <c:v>0.125</c:v>
                </c:pt>
                <c:pt idx="13">
                  <c:v>0.125</c:v>
                </c:pt>
                <c:pt idx="14">
                  <c:v>0.125</c:v>
                </c:pt>
                <c:pt idx="15">
                  <c:v>0.125</c:v>
                </c:pt>
                <c:pt idx="16">
                  <c:v>0.125</c:v>
                </c:pt>
                <c:pt idx="17">
                  <c:v>0.125</c:v>
                </c:pt>
                <c:pt idx="18">
                  <c:v>0.125</c:v>
                </c:pt>
                <c:pt idx="19">
                  <c:v>0.125</c:v>
                </c:pt>
                <c:pt idx="20">
                  <c:v>0.125</c:v>
                </c:pt>
                <c:pt idx="21">
                  <c:v>0.125</c:v>
                </c:pt>
                <c:pt idx="22">
                  <c:v>0.125</c:v>
                </c:pt>
                <c:pt idx="23">
                  <c:v>0.125</c:v>
                </c:pt>
                <c:pt idx="24">
                  <c:v>0.125</c:v>
                </c:pt>
              </c:numCache>
            </c:numRef>
          </c:val>
          <c:smooth val="0"/>
          <c:extLst xmlns:c15="http://schemas.microsoft.com/office/drawing/2012/chart">
            <c:ext xmlns:c16="http://schemas.microsoft.com/office/drawing/2014/chart" uri="{C3380CC4-5D6E-409C-BE32-E72D297353CC}">
              <c16:uniqueId val="{00000003-EF6F-4EB1-B0C2-2F1C41CBB02D}"/>
            </c:ext>
          </c:extLst>
        </c:ser>
        <c:ser>
          <c:idx val="3"/>
          <c:order val="4"/>
          <c:tx>
            <c:v>75th percentile</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45322</c:v>
                </c:pt>
                <c:pt idx="1">
                  <c:v>45351</c:v>
                </c:pt>
                <c:pt idx="2">
                  <c:v>45382</c:v>
                </c:pt>
                <c:pt idx="3">
                  <c:v>45412</c:v>
                </c:pt>
                <c:pt idx="4">
                  <c:v>45443</c:v>
                </c:pt>
                <c:pt idx="5">
                  <c:v>45473</c:v>
                </c:pt>
                <c:pt idx="6">
                  <c:v>45504</c:v>
                </c:pt>
                <c:pt idx="7">
                  <c:v>45535</c:v>
                </c:pt>
                <c:pt idx="8">
                  <c:v>45565</c:v>
                </c:pt>
                <c:pt idx="9">
                  <c:v>45596</c:v>
                </c:pt>
                <c:pt idx="10">
                  <c:v>45626</c:v>
                </c:pt>
                <c:pt idx="11">
                  <c:v>45657</c:v>
                </c:pt>
                <c:pt idx="12">
                  <c:v>45688</c:v>
                </c:pt>
                <c:pt idx="13">
                  <c:v>45716</c:v>
                </c:pt>
                <c:pt idx="14">
                  <c:v>45747</c:v>
                </c:pt>
                <c:pt idx="15">
                  <c:v>45777</c:v>
                </c:pt>
                <c:pt idx="16">
                  <c:v>45808</c:v>
                </c:pt>
                <c:pt idx="17">
                  <c:v>45838</c:v>
                </c:pt>
                <c:pt idx="18">
                  <c:v>45869</c:v>
                </c:pt>
                <c:pt idx="19">
                  <c:v>45900</c:v>
                </c:pt>
                <c:pt idx="20">
                  <c:v>45930</c:v>
                </c:pt>
                <c:pt idx="21">
                  <c:v>45961</c:v>
                </c:pt>
                <c:pt idx="22">
                  <c:v>45991</c:v>
                </c:pt>
                <c:pt idx="23">
                  <c:v>46022</c:v>
                </c:pt>
                <c:pt idx="24">
                  <c:v>46053</c:v>
                </c:pt>
              </c:numCache>
            </c:numRef>
          </c:cat>
          <c:val>
            <c:numRef>
              <c:f>[chartbook_TETA.xlsm]data_119!$F$6:$F$30</c:f>
              <c:numCache>
                <c:formatCode>General</c:formatCode>
                <c:ptCount val="25"/>
                <c:pt idx="0">
                  <c:v>0.61899999999999999</c:v>
                </c:pt>
                <c:pt idx="1">
                  <c:v>0.61899999999999999</c:v>
                </c:pt>
                <c:pt idx="2">
                  <c:v>0.61899999999999999</c:v>
                </c:pt>
                <c:pt idx="3">
                  <c:v>0.61899999999999999</c:v>
                </c:pt>
                <c:pt idx="4">
                  <c:v>0.61899999999999999</c:v>
                </c:pt>
                <c:pt idx="5">
                  <c:v>0.61899999999999999</c:v>
                </c:pt>
                <c:pt idx="6">
                  <c:v>0.61899999999999999</c:v>
                </c:pt>
                <c:pt idx="7">
                  <c:v>0.61899999999999999</c:v>
                </c:pt>
                <c:pt idx="8">
                  <c:v>0.61899999999999999</c:v>
                </c:pt>
                <c:pt idx="9">
                  <c:v>0.61899999999999999</c:v>
                </c:pt>
                <c:pt idx="10">
                  <c:v>0.61899999999999999</c:v>
                </c:pt>
                <c:pt idx="11">
                  <c:v>0.61899999999999999</c:v>
                </c:pt>
                <c:pt idx="12">
                  <c:v>0.61899999999999999</c:v>
                </c:pt>
                <c:pt idx="13">
                  <c:v>0.61899999999999999</c:v>
                </c:pt>
                <c:pt idx="14">
                  <c:v>0.61899999999999999</c:v>
                </c:pt>
                <c:pt idx="15">
                  <c:v>0.61899999999999999</c:v>
                </c:pt>
                <c:pt idx="16">
                  <c:v>0.61899999999999999</c:v>
                </c:pt>
                <c:pt idx="17">
                  <c:v>0.61899999999999999</c:v>
                </c:pt>
                <c:pt idx="18">
                  <c:v>0.61899999999999999</c:v>
                </c:pt>
                <c:pt idx="19">
                  <c:v>0.61899999999999999</c:v>
                </c:pt>
                <c:pt idx="20">
                  <c:v>0.61899999999999999</c:v>
                </c:pt>
                <c:pt idx="21">
                  <c:v>0.61899999999999999</c:v>
                </c:pt>
                <c:pt idx="22">
                  <c:v>0.61899999999999999</c:v>
                </c:pt>
                <c:pt idx="23">
                  <c:v>0.61899999999999999</c:v>
                </c:pt>
                <c:pt idx="24">
                  <c:v>0.61899999999999999</c:v>
                </c:pt>
              </c:numCache>
            </c:numRef>
          </c:val>
          <c:smooth val="0"/>
          <c:extLst>
            <c:ext xmlns:c16="http://schemas.microsoft.com/office/drawing/2014/chart" uri="{C3380CC4-5D6E-409C-BE32-E72D297353CC}">
              <c16:uniqueId val="{00000004-EF6F-4EB1-B0C2-2F1C41CBB02D}"/>
            </c:ext>
          </c:extLst>
        </c:ser>
        <c:dLbls>
          <c:showLegendKey val="0"/>
          <c:showVal val="0"/>
          <c:showCatName val="0"/>
          <c:showSerName val="0"/>
          <c:showPercent val="0"/>
          <c:showBubbleSize val="0"/>
        </c:dLbls>
        <c:marker val="1"/>
        <c:smooth val="0"/>
        <c:axId val="673828768"/>
        <c:axId val="673807552"/>
        <c:extLst/>
      </c:lineChart>
      <c:dateAx>
        <c:axId val="673828768"/>
        <c:scaling>
          <c:orientation val="minMax"/>
        </c:scaling>
        <c:delete val="0"/>
        <c:axPos val="b"/>
        <c:numFmt formatCode="mm\-yy" sourceLinked="0"/>
        <c:majorTickMark val="none"/>
        <c:minorTickMark val="none"/>
        <c:tickLblPos val="low"/>
        <c:spPr>
          <a:noFill/>
          <a:ln w="0" cap="flat" cmpd="sng" algn="ctr">
            <a:solidFill>
              <a:schemeClr val="bg2">
                <a:lumMod val="75000"/>
                <a:alpha val="70000"/>
              </a:schemeClr>
            </a:solidFill>
            <a:round/>
          </a:ln>
          <a:effectLst/>
        </c:spPr>
        <c:txPr>
          <a:bodyPr rot="-2700000" spcFirstLastPara="1" vertOverflow="ellipsis" wrap="square" anchor="ctr" anchorCtr="1"/>
          <a:lstStyle/>
          <a:p>
            <a:pPr>
              <a:defRPr sz="1000" b="0" i="0" u="none" strike="noStrike" kern="1200" baseline="0" smtId="4294967295">
                <a:solidFill>
                  <a:schemeClr val="tx2"/>
                </a:solidFill>
                <a:latin typeface="+mn-lt"/>
                <a:ea typeface="+mn-ea"/>
                <a:cs typeface="Segoe UI" panose="020B0502040204020203" pitchFamily="34" charset="0"/>
              </a:defRPr>
            </a:pPr>
            <a:endParaRPr lang="he-IL"/>
          </a:p>
        </c:txPr>
        <c:crossAx val="673807552"/>
        <c:crosses val="autoZero"/>
        <c:auto val="1"/>
        <c:lblOffset val="100"/>
        <c:baseTimeUnit val="months"/>
        <c:majorUnit val="1"/>
        <c:majorTimeUnit val="months"/>
        <c:minorUnit val="1"/>
        <c:minorTimeUnit val="months"/>
      </c:dateAx>
      <c:valAx>
        <c:axId val="673807552"/>
        <c:scaling>
          <c:orientation val="minMax"/>
        </c:scaling>
        <c:delete val="0"/>
        <c:axPos val="l"/>
        <c:majorGridlines>
          <c:spPr>
            <a:ln w="6350" cap="flat" cmpd="sng" algn="ctr">
              <a:solidFill>
                <a:schemeClr val="bg1">
                  <a:lumMod val="65000"/>
                  <a:alpha val="70000"/>
                </a:schemeClr>
              </a:solidFill>
              <a:prstDash val="dash"/>
              <a:round/>
            </a:ln>
            <a:effectLst/>
          </c:spPr>
        </c:majorGridlines>
        <c:title>
          <c:tx>
            <c:rich>
              <a:bodyPr rot="-540000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r>
                  <a:rPr lang="he-IL"/>
                  <a:t>%</a:t>
                </a:r>
                <a:endParaRPr lang="en-US"/>
              </a:p>
            </c:rich>
          </c:tx>
          <c:layout/>
          <c:overlay val="0"/>
          <c:spPr>
            <a:noFill/>
            <a:ln>
              <a:noFill/>
            </a:ln>
            <a:effectLst/>
          </c:spPr>
          <c:txPr>
            <a:bodyPr rot="-540000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endParaRPr lang="he-I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smtId="4294967295">
                <a:solidFill>
                  <a:schemeClr val="tx2"/>
                </a:solidFill>
                <a:latin typeface="+mn-lt"/>
                <a:ea typeface="+mn-ea"/>
                <a:cs typeface="Segoe UI" panose="020B0502040204020203" pitchFamily="34" charset="0"/>
              </a:defRPr>
            </a:pPr>
            <a:endParaRPr lang="he-IL"/>
          </a:p>
        </c:txPr>
        <c:crossAx val="673828768"/>
        <c:crosses val="autoZero"/>
        <c:crossBetween val="between"/>
      </c:valAx>
      <c:spPr>
        <a:noFill/>
        <a:ln>
          <a:noFill/>
        </a:ln>
        <a:effectLst/>
      </c:spPr>
    </c:plotArea>
    <c:legend>
      <c:legendPos val="b"/>
      <c:layout>
        <c:manualLayout>
          <c:xMode val="edge"/>
          <c:yMode val="edge"/>
          <c:x val="0"/>
          <c:y val="0.91485906957378016"/>
          <c:w val="1"/>
          <c:h val="8.5140930426219882E-2"/>
        </c:manualLayout>
      </c:layout>
      <c:overlay val="0"/>
      <c:spPr>
        <a:noFill/>
        <a:ln>
          <a:noFill/>
        </a:ln>
        <a:effectLst/>
      </c:spPr>
      <c:txPr>
        <a:bodyPr rot="0" spcFirstLastPara="1" vertOverflow="ellipsis" vert="horz" wrap="square" anchor="ctr" anchorCtr="1"/>
        <a:lstStyle/>
        <a:p>
          <a:pPr>
            <a:defRPr sz="1200" b="0" i="0" u="none" strike="noStrike" kern="1200" baseline="0" smtId="4294967295">
              <a:solidFill>
                <a:schemeClr val="tx2"/>
              </a:solidFill>
              <a:latin typeface="+mn-lt"/>
              <a:ea typeface="+mn-ea"/>
              <a:cs typeface="Segoe UI" panose="020B0502040204020203" pitchFamily="34" charset="0"/>
            </a:defRPr>
          </a:pPr>
          <a:endParaRPr lang="he-IL"/>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sz="1200" b="0" smtId="4294967295">
          <a:latin typeface="+mn-lt"/>
          <a:cs typeface="Segoe UI" panose="020B0502040204020203" pitchFamily="34" charset="0"/>
        </a:defRPr>
      </a:pPr>
      <a:endParaRPr lang="he-I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1D1D17A-4574-4A3F-961C-B56909F7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1507</Characters>
  <Application>Microsoft Office Word</Application>
  <DocSecurity>4</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2026-02-19T12:15:00Z</dcterms:created>
  <dcterms:modified xsi:type="dcterms:W3CDTF">2026-02-19T12:15:00Z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