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095375" cy="1155700"/>
                  <wp:effectExtent l="0" t="0" r="9525" b="635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" contrast="-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0E725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</w:t>
            </w:r>
            <w:r w:rsidR="000E7256">
              <w:rPr>
                <w:rFonts w:cs="David" w:hint="cs"/>
                <w:sz w:val="24"/>
                <w:szCs w:val="24"/>
                <w:rtl/>
              </w:rPr>
              <w:t>"א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>
              <w:rPr>
                <w:rFonts w:cs="David"/>
                <w:sz w:val="24"/>
                <w:szCs w:val="24"/>
                <w:rtl/>
              </w:rPr>
              <w:t>תמוז, תשע"ג</w:t>
            </w:r>
          </w:p>
          <w:p w:rsidR="00DD5923" w:rsidRPr="00DF107C" w:rsidRDefault="00DD5923" w:rsidP="000E7256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0E7256">
              <w:rPr>
                <w:rFonts w:cs="David" w:hint="cs"/>
                <w:sz w:val="24"/>
                <w:szCs w:val="24"/>
                <w:rtl/>
              </w:rPr>
              <w:t>19 ב</w:t>
            </w:r>
            <w:r>
              <w:rPr>
                <w:rFonts w:cs="David"/>
                <w:sz w:val="24"/>
                <w:szCs w:val="24"/>
                <w:rtl/>
              </w:rPr>
              <w:t>יוני, 2013</w:t>
            </w:r>
          </w:p>
        </w:tc>
      </w:tr>
    </w:tbl>
    <w:p w:rsidR="00FE034E" w:rsidRDefault="00FE034E"/>
    <w:p w:rsidR="000E7256" w:rsidRDefault="000E7256" w:rsidP="000E7256">
      <w:pPr>
        <w:pStyle w:val="4"/>
        <w:bidi/>
        <w:spacing w:line="360" w:lineRule="auto"/>
        <w:rPr>
          <w:rFonts w:hint="cs"/>
          <w:color w:val="auto"/>
          <w:rtl/>
        </w:rPr>
      </w:pPr>
      <w:r>
        <w:rPr>
          <w:rFonts w:hint="cs"/>
          <w:color w:val="auto"/>
          <w:rtl/>
        </w:rPr>
        <w:t xml:space="preserve">המדד המשולב </w:t>
      </w:r>
      <w:r w:rsidRPr="001E6CA3">
        <w:rPr>
          <w:color w:val="auto"/>
          <w:rtl/>
        </w:rPr>
        <w:t xml:space="preserve"> לחודש</w:t>
      </w:r>
      <w:r w:rsidRPr="001E6CA3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 xml:space="preserve">מאי </w:t>
      </w:r>
      <w:r w:rsidRPr="001E6CA3">
        <w:rPr>
          <w:rFonts w:hint="cs"/>
          <w:color w:val="auto"/>
          <w:rtl/>
        </w:rPr>
        <w:t>201</w:t>
      </w:r>
      <w:r>
        <w:rPr>
          <w:rFonts w:hint="cs"/>
          <w:color w:val="auto"/>
          <w:rtl/>
        </w:rPr>
        <w:t>3</w:t>
      </w:r>
      <w:r w:rsidRPr="001E6CA3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>עלה ב-0.1 אחוז</w:t>
      </w:r>
      <w:r w:rsidRPr="001E6CA3">
        <w:rPr>
          <w:rFonts w:hint="cs"/>
          <w:color w:val="auto"/>
          <w:rtl/>
        </w:rPr>
        <w:t>.</w:t>
      </w:r>
    </w:p>
    <w:p w:rsidR="000E7256" w:rsidRPr="00487189" w:rsidRDefault="000E7256" w:rsidP="000E7256">
      <w:pPr>
        <w:bidi/>
        <w:spacing w:line="360" w:lineRule="auto"/>
        <w:ind w:right="-57" w:firstLine="720"/>
        <w:jc w:val="both"/>
        <w:rPr>
          <w:rFonts w:cs="David"/>
          <w:i/>
          <w:sz w:val="22"/>
          <w:szCs w:val="22"/>
          <w:rtl/>
        </w:rPr>
      </w:pPr>
      <w:r w:rsidRPr="00487189">
        <w:rPr>
          <w:rFonts w:cs="David"/>
          <w:sz w:val="22"/>
          <w:szCs w:val="22"/>
          <w:rtl/>
        </w:rPr>
        <w:t xml:space="preserve">המדד המשולב למצב המשק בחודש מאי עלה ב-0.1 אחוז. קצב גידולו של המדד החודש מצביע על המשך האטה בפעילות במשק. העלייה במדד החודש משקפת עלייה במדדי הפדיון של המסחר </w:t>
      </w:r>
      <w:proofErr w:type="spellStart"/>
      <w:r w:rsidRPr="00487189">
        <w:rPr>
          <w:rFonts w:cs="David"/>
          <w:sz w:val="22"/>
          <w:szCs w:val="22"/>
          <w:rtl/>
        </w:rPr>
        <w:t>והשירותיים</w:t>
      </w:r>
      <w:proofErr w:type="spellEnd"/>
      <w:r w:rsidRPr="00487189">
        <w:rPr>
          <w:rStyle w:val="a8"/>
          <w:sz w:val="22"/>
          <w:szCs w:val="22"/>
          <w:rtl/>
        </w:rPr>
        <w:footnoteReference w:id="1"/>
      </w:r>
      <w:r w:rsidRPr="00487189">
        <w:rPr>
          <w:rFonts w:cs="David"/>
          <w:sz w:val="22"/>
          <w:szCs w:val="22"/>
          <w:rtl/>
        </w:rPr>
        <w:t>. מנגד, ירדו יבוא מוצרי הצריכה וחומרי הגלם, כמו גם יצוא הסחורות והשירותים ומדד היצור התעשייתי (לוח 1). יצוין כי בחודשים קודמים עודכנו נתוני המד</w:t>
      </w:r>
      <w:r>
        <w:rPr>
          <w:rFonts w:cs="David"/>
          <w:sz w:val="22"/>
          <w:szCs w:val="22"/>
          <w:rtl/>
        </w:rPr>
        <w:t>ד</w:t>
      </w:r>
      <w:r w:rsidRPr="00487189">
        <w:rPr>
          <w:rFonts w:cs="David"/>
          <w:sz w:val="22"/>
          <w:szCs w:val="22"/>
          <w:rtl/>
        </w:rPr>
        <w:t xml:space="preserve"> כלפי מטה </w:t>
      </w:r>
      <w:r>
        <w:rPr>
          <w:rFonts w:cs="David"/>
          <w:sz w:val="22"/>
          <w:szCs w:val="22"/>
          <w:rtl/>
        </w:rPr>
        <w:t>בשל</w:t>
      </w:r>
      <w:r w:rsidRPr="00487189">
        <w:rPr>
          <w:rFonts w:cs="David"/>
          <w:sz w:val="22"/>
          <w:szCs w:val="22"/>
          <w:rtl/>
        </w:rPr>
        <w:t xml:space="preserve"> עדכונים ברכיבי  סחר החוץ של המדד. </w:t>
      </w:r>
      <w:r>
        <w:rPr>
          <w:rFonts w:cs="David"/>
          <w:sz w:val="22"/>
          <w:szCs w:val="22"/>
          <w:rtl/>
        </w:rPr>
        <w:t xml:space="preserve"> </w:t>
      </w:r>
      <w:r w:rsidRPr="00487189">
        <w:rPr>
          <w:rFonts w:cs="David"/>
          <w:sz w:val="22"/>
          <w:szCs w:val="22"/>
          <w:rtl/>
        </w:rPr>
        <w:t>לוח 2 מציג את התפתחות רכיבי המדד בחודשים האחרונים.</w:t>
      </w:r>
      <w:r w:rsidRPr="00487189">
        <w:rPr>
          <w:rFonts w:cs="David"/>
          <w:i/>
          <w:sz w:val="22"/>
          <w:szCs w:val="22"/>
          <w:rtl/>
        </w:rPr>
        <w:t xml:space="preserve"> </w:t>
      </w:r>
    </w:p>
    <w:p w:rsidR="000E7256" w:rsidRPr="0011689C" w:rsidRDefault="000E7256" w:rsidP="000E7256">
      <w:pPr>
        <w:bidi/>
        <w:spacing w:line="480" w:lineRule="auto"/>
        <w:ind w:right="-57" w:firstLine="720"/>
        <w:jc w:val="center"/>
        <w:rPr>
          <w:rFonts w:cs="David"/>
          <w:b/>
          <w:bCs/>
          <w:i/>
          <w:rtl/>
        </w:rPr>
      </w:pPr>
      <w:r w:rsidRPr="0011689C">
        <w:rPr>
          <w:rFonts w:cs="David"/>
          <w:b/>
          <w:bCs/>
          <w:i/>
          <w:rtl/>
        </w:rPr>
        <w:t>לוח 1</w:t>
      </w:r>
      <w:r>
        <w:rPr>
          <w:rFonts w:cs="David"/>
          <w:b/>
          <w:bCs/>
          <w:i/>
          <w:rtl/>
        </w:rPr>
        <w:t>: עדכונים לאחור במדד המשולב</w:t>
      </w:r>
    </w:p>
    <w:tbl>
      <w:tblPr>
        <w:bidiVisual/>
        <w:tblW w:w="0" w:type="auto"/>
        <w:jc w:val="center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547"/>
        <w:gridCol w:w="1989"/>
      </w:tblGrid>
      <w:tr w:rsidR="000E7256" w:rsidRPr="008E14DD" w:rsidTr="005E5EAB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326" w:type="dxa"/>
          </w:tcPr>
          <w:p w:rsidR="000E7256" w:rsidRPr="008E14DD" w:rsidRDefault="000E7256" w:rsidP="005E5EAB">
            <w:pPr>
              <w:pStyle w:val="a5"/>
              <w:ind w:left="0" w:firstLine="0"/>
              <w:jc w:val="center"/>
              <w:rPr>
                <w:rFonts w:hint="cs"/>
              </w:rPr>
            </w:pPr>
            <w:r w:rsidRPr="008E14DD">
              <w:rPr>
                <w:rFonts w:hint="cs"/>
                <w:b/>
                <w:bCs/>
                <w:rtl/>
              </w:rPr>
              <w:t xml:space="preserve">עדכון </w:t>
            </w:r>
            <w:r w:rsidRPr="008E14DD">
              <w:rPr>
                <w:b/>
                <w:bCs/>
                <w:rtl/>
              </w:rPr>
              <w:t>משולב (באחוזים)</w:t>
            </w:r>
          </w:p>
        </w:tc>
        <w:tc>
          <w:tcPr>
            <w:tcW w:w="1547" w:type="dxa"/>
          </w:tcPr>
          <w:p w:rsidR="000E7256" w:rsidRPr="008E14DD" w:rsidRDefault="000E7256" w:rsidP="005E5EAB">
            <w:pPr>
              <w:pStyle w:val="a5"/>
              <w:ind w:left="0" w:firstLine="0"/>
              <w:jc w:val="center"/>
              <w:rPr>
                <w:rFonts w:hint="cs"/>
                <w:u w:val="single"/>
              </w:rPr>
            </w:pPr>
            <w:r w:rsidRPr="008E14DD">
              <w:rPr>
                <w:rFonts w:hint="cs"/>
                <w:u w:val="single"/>
                <w:rtl/>
              </w:rPr>
              <w:t>נתון קודם</w:t>
            </w:r>
          </w:p>
        </w:tc>
        <w:tc>
          <w:tcPr>
            <w:tcW w:w="1989" w:type="dxa"/>
          </w:tcPr>
          <w:p w:rsidR="000E7256" w:rsidRPr="008E14DD" w:rsidRDefault="000E7256" w:rsidP="005E5EAB">
            <w:pPr>
              <w:pStyle w:val="a5"/>
              <w:tabs>
                <w:tab w:val="center" w:pos="886"/>
              </w:tabs>
              <w:ind w:left="0" w:firstLine="0"/>
              <w:jc w:val="center"/>
              <w:rPr>
                <w:rFonts w:hint="cs"/>
                <w:u w:val="single"/>
                <w:rtl/>
              </w:rPr>
            </w:pPr>
            <w:r w:rsidRPr="008E14DD">
              <w:rPr>
                <w:rFonts w:hint="cs"/>
                <w:u w:val="single"/>
                <w:rtl/>
              </w:rPr>
              <w:t>נתון חדש</w:t>
            </w:r>
          </w:p>
        </w:tc>
      </w:tr>
      <w:tr w:rsidR="000E7256" w:rsidRPr="008E14DD" w:rsidTr="005E5EAB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326" w:type="dxa"/>
          </w:tcPr>
          <w:p w:rsidR="000E7256" w:rsidRPr="008E14DD" w:rsidRDefault="000E7256" w:rsidP="005E5EAB">
            <w:pPr>
              <w:bidi/>
              <w:spacing w:line="480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מאי</w:t>
            </w:r>
          </w:p>
        </w:tc>
        <w:tc>
          <w:tcPr>
            <w:tcW w:w="1547" w:type="dxa"/>
          </w:tcPr>
          <w:p w:rsidR="000E7256" w:rsidRPr="00B9331A" w:rsidRDefault="000E7256" w:rsidP="005E5EAB">
            <w:pPr>
              <w:pStyle w:val="a5"/>
              <w:spacing w:after="0"/>
              <w:ind w:left="0" w:firstLine="0"/>
              <w:jc w:val="center"/>
              <w:rPr>
                <w:rFonts w:cs="Times New Roman" w:hint="cs"/>
                <w:rtl/>
              </w:rPr>
            </w:pPr>
          </w:p>
        </w:tc>
        <w:tc>
          <w:tcPr>
            <w:tcW w:w="1989" w:type="dxa"/>
          </w:tcPr>
          <w:p w:rsidR="000E7256" w:rsidRPr="00B9331A" w:rsidRDefault="000E7256" w:rsidP="005E5EAB">
            <w:pPr>
              <w:pStyle w:val="a5"/>
              <w:spacing w:after="0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0.11</w:t>
            </w:r>
          </w:p>
        </w:tc>
      </w:tr>
      <w:tr w:rsidR="000E7256" w:rsidRPr="008E14DD" w:rsidTr="005E5EAB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326" w:type="dxa"/>
          </w:tcPr>
          <w:p w:rsidR="000E7256" w:rsidRPr="008E14DD" w:rsidRDefault="000E7256" w:rsidP="005E5EAB">
            <w:pPr>
              <w:bidi/>
              <w:spacing w:line="480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אפריל</w:t>
            </w:r>
          </w:p>
        </w:tc>
        <w:tc>
          <w:tcPr>
            <w:tcW w:w="1547" w:type="dxa"/>
          </w:tcPr>
          <w:p w:rsidR="000E7256" w:rsidRPr="00B9331A" w:rsidRDefault="000E7256" w:rsidP="005E5EAB">
            <w:pPr>
              <w:pStyle w:val="a5"/>
              <w:spacing w:after="0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0.21</w:t>
            </w:r>
          </w:p>
        </w:tc>
        <w:tc>
          <w:tcPr>
            <w:tcW w:w="1989" w:type="dxa"/>
          </w:tcPr>
          <w:p w:rsidR="000E7256" w:rsidRPr="00B9331A" w:rsidRDefault="000E7256" w:rsidP="005E5EAB">
            <w:pPr>
              <w:pStyle w:val="a5"/>
              <w:spacing w:after="0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0.13</w:t>
            </w:r>
          </w:p>
        </w:tc>
      </w:tr>
      <w:tr w:rsidR="000E7256" w:rsidRPr="008E14DD" w:rsidTr="005E5EAB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326" w:type="dxa"/>
          </w:tcPr>
          <w:p w:rsidR="000E7256" w:rsidRPr="008E14DD" w:rsidRDefault="000E7256" w:rsidP="005E5EAB">
            <w:pPr>
              <w:bidi/>
              <w:spacing w:line="480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מרץ</w:t>
            </w:r>
          </w:p>
        </w:tc>
        <w:tc>
          <w:tcPr>
            <w:tcW w:w="1547" w:type="dxa"/>
          </w:tcPr>
          <w:p w:rsidR="000E7256" w:rsidRPr="00B9331A" w:rsidRDefault="000E7256" w:rsidP="005E5EAB">
            <w:pPr>
              <w:pStyle w:val="a5"/>
              <w:spacing w:after="0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0.07</w:t>
            </w:r>
          </w:p>
        </w:tc>
        <w:tc>
          <w:tcPr>
            <w:tcW w:w="1989" w:type="dxa"/>
          </w:tcPr>
          <w:p w:rsidR="000E7256" w:rsidRPr="00B9331A" w:rsidRDefault="000E7256" w:rsidP="005E5EAB">
            <w:pPr>
              <w:pStyle w:val="a5"/>
              <w:spacing w:after="0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0.01</w:t>
            </w:r>
          </w:p>
        </w:tc>
      </w:tr>
    </w:tbl>
    <w:p w:rsidR="000E7256" w:rsidRDefault="000E7256" w:rsidP="000E7256">
      <w:pPr>
        <w:autoSpaceDE w:val="0"/>
        <w:autoSpaceDN w:val="0"/>
        <w:bidi/>
        <w:adjustRightInd w:val="0"/>
        <w:spacing w:line="480" w:lineRule="auto"/>
        <w:jc w:val="center"/>
        <w:rPr>
          <w:rFonts w:cs="David"/>
          <w:b/>
          <w:bCs/>
          <w:i/>
          <w:rtl/>
        </w:rPr>
      </w:pPr>
    </w:p>
    <w:p w:rsidR="000E7256" w:rsidRPr="00841F1A" w:rsidRDefault="000E7256" w:rsidP="000E7256">
      <w:pPr>
        <w:autoSpaceDE w:val="0"/>
        <w:autoSpaceDN w:val="0"/>
        <w:bidi/>
        <w:adjustRightInd w:val="0"/>
        <w:spacing w:line="480" w:lineRule="auto"/>
        <w:jc w:val="center"/>
        <w:rPr>
          <w:rFonts w:cs="David"/>
          <w:b/>
          <w:bCs/>
          <w:i/>
          <w:rtl/>
        </w:rPr>
      </w:pPr>
      <w:r w:rsidRPr="00841F1A">
        <w:rPr>
          <w:rFonts w:cs="David"/>
          <w:b/>
          <w:bCs/>
          <w:i/>
          <w:rtl/>
        </w:rPr>
        <w:t>לוח 2</w:t>
      </w:r>
      <w:r>
        <w:rPr>
          <w:rFonts w:cs="David"/>
          <w:b/>
          <w:bCs/>
          <w:i/>
          <w:rtl/>
        </w:rPr>
        <w:t xml:space="preserve">: </w:t>
      </w:r>
      <w:r w:rsidRPr="00841F1A">
        <w:rPr>
          <w:rFonts w:cs="David"/>
          <w:b/>
          <w:bCs/>
          <w:i/>
          <w:rtl/>
        </w:rPr>
        <w:t>השינויים ברכיבי המדד בחודשים האחרונים</w:t>
      </w:r>
    </w:p>
    <w:p w:rsidR="000E7256" w:rsidRPr="00487189" w:rsidRDefault="000E7256" w:rsidP="000E7256">
      <w:pPr>
        <w:autoSpaceDE w:val="0"/>
        <w:autoSpaceDN w:val="0"/>
        <w:bidi/>
        <w:adjustRightInd w:val="0"/>
        <w:spacing w:line="480" w:lineRule="auto"/>
        <w:jc w:val="center"/>
        <w:rPr>
          <w:rFonts w:cs="David"/>
          <w:i/>
          <w:sz w:val="16"/>
          <w:szCs w:val="16"/>
          <w:rtl/>
        </w:rPr>
      </w:pPr>
      <w:r w:rsidRPr="00487189">
        <w:rPr>
          <w:rFonts w:cs="David"/>
          <w:i/>
          <w:sz w:val="16"/>
          <w:szCs w:val="16"/>
          <w:rtl/>
        </w:rPr>
        <w:t>(שיעורי שינוי חודשיים  באחוזים, אלא אם כן צוין אחרת)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900"/>
        <w:gridCol w:w="905"/>
        <w:gridCol w:w="882"/>
        <w:gridCol w:w="1021"/>
      </w:tblGrid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A32AFE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E7256" w:rsidRPr="00A32AFE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מאי</w:t>
            </w:r>
          </w:p>
        </w:tc>
        <w:tc>
          <w:tcPr>
            <w:tcW w:w="905" w:type="dxa"/>
            <w:shd w:val="clear" w:color="auto" w:fill="auto"/>
          </w:tcPr>
          <w:p w:rsidR="000E7256" w:rsidRPr="00A32AFE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אפריל</w:t>
            </w:r>
          </w:p>
        </w:tc>
        <w:tc>
          <w:tcPr>
            <w:tcW w:w="882" w:type="dxa"/>
            <w:shd w:val="clear" w:color="auto" w:fill="auto"/>
          </w:tcPr>
          <w:p w:rsidR="000E7256" w:rsidRPr="00A32AFE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מרץ</w:t>
            </w:r>
          </w:p>
        </w:tc>
        <w:tc>
          <w:tcPr>
            <w:tcW w:w="1021" w:type="dxa"/>
            <w:shd w:val="clear" w:color="auto" w:fill="auto"/>
          </w:tcPr>
          <w:p w:rsidR="000E7256" w:rsidRPr="00A32AFE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פברו</w:t>
            </w:r>
            <w:r w:rsidRPr="00A32AFE">
              <w:rPr>
                <w:rFonts w:cs="David"/>
                <w:i/>
                <w:rtl/>
              </w:rPr>
              <w:t>אר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מדד הייצור התעשייתי</w:t>
            </w:r>
            <w:r w:rsidRPr="00487189">
              <w:rPr>
                <w:rFonts w:cs="David"/>
                <w:i/>
                <w:rtl/>
              </w:rPr>
              <w:t>( ללא כריה וחציבה)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  <w:rtl/>
              </w:rPr>
            </w:pPr>
            <w:r w:rsidRPr="00487189">
              <w:rPr>
                <w:rFonts w:cs="David"/>
              </w:rPr>
              <w:t>-1.3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-1.4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  <w:rtl/>
              </w:rPr>
              <w:t>2.6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מדד הפדיון בשירותים</w:t>
            </w:r>
            <w:r w:rsidRPr="00487189">
              <w:rPr>
                <w:rFonts w:cs="David"/>
                <w:i/>
                <w:rtl/>
              </w:rPr>
              <w:t xml:space="preserve"> (ללא פיננסים, חינוך, </w:t>
            </w:r>
            <w:proofErr w:type="spellStart"/>
            <w:r w:rsidRPr="00487189">
              <w:rPr>
                <w:rFonts w:cs="David"/>
                <w:i/>
                <w:rtl/>
              </w:rPr>
              <w:t>ומינהל</w:t>
            </w:r>
            <w:proofErr w:type="spellEnd"/>
            <w:r w:rsidRPr="00487189">
              <w:rPr>
                <w:rFonts w:cs="David"/>
                <w:i/>
                <w:rtl/>
              </w:rPr>
              <w:t xml:space="preserve"> ציבורי)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2.8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-1.5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2.4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מדד הפדיון במסחר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2.6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-4.1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3.3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יבוא מוצרי הצריכה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-2.5</w:t>
            </w:r>
          </w:p>
          <w:p w:rsidR="000E7256" w:rsidRPr="00487189" w:rsidRDefault="000E7256" w:rsidP="005E5EAB">
            <w:pPr>
              <w:jc w:val="center"/>
              <w:rPr>
                <w:rFonts w:cs="David"/>
              </w:rPr>
            </w:pP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4.1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-2.1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-3.5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 xml:space="preserve">יבוא התשומות לייצור (ללא </w:t>
            </w:r>
            <w:proofErr w:type="spellStart"/>
            <w:r w:rsidRPr="00487189">
              <w:rPr>
                <w:rFonts w:cs="David"/>
                <w:rtl/>
              </w:rPr>
              <w:t>דלקים</w:t>
            </w:r>
            <w:proofErr w:type="spellEnd"/>
            <w:r w:rsidRPr="00487189">
              <w:rPr>
                <w:rFonts w:cs="David"/>
                <w:rtl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-0.9</w:t>
            </w: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1.6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-3.1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-4.4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יצוא הסחורות</w:t>
            </w:r>
            <w:r w:rsidRPr="00487189">
              <w:rPr>
                <w:rFonts w:cs="David"/>
                <w:i/>
                <w:rtl/>
              </w:rPr>
              <w:t xml:space="preserve"> (ללא חקלאות)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-8.7</w:t>
            </w: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7.6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-12.8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18.5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יצוא השירותים</w:t>
            </w:r>
            <w:r w:rsidRPr="00487189">
              <w:rPr>
                <w:rFonts w:cs="David"/>
                <w:i/>
                <w:rtl/>
              </w:rPr>
              <w:t xml:space="preserve"> (ללא תחבורה)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-4.3</w:t>
            </w: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5.2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0.0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5.1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משרות השכיר – במגזר הפרטי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-0.5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0.1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0.5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שיעור המשרות הפנויות מסך המועסקים במגזר העסקי</w:t>
            </w:r>
            <w:r w:rsidRPr="00487189">
              <w:rPr>
                <w:rFonts w:cs="David"/>
                <w:vertAlign w:val="superscript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2.8</w:t>
            </w: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2.8</w:t>
            </w: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2.9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2.9</w:t>
            </w:r>
          </w:p>
        </w:tc>
      </w:tr>
      <w:tr w:rsidR="000E7256" w:rsidRPr="00A32AFE" w:rsidTr="005E5EAB">
        <w:tc>
          <w:tcPr>
            <w:tcW w:w="4814" w:type="dxa"/>
            <w:shd w:val="clear" w:color="auto" w:fill="auto"/>
          </w:tcPr>
          <w:p w:rsidR="000E7256" w:rsidRPr="00487189" w:rsidRDefault="000E7256" w:rsidP="005E5EA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rtl/>
              </w:rPr>
            </w:pPr>
            <w:r w:rsidRPr="00487189">
              <w:rPr>
                <w:rFonts w:cs="David"/>
                <w:rtl/>
              </w:rPr>
              <w:t>התחלות הבנייה</w:t>
            </w:r>
            <w:r w:rsidRPr="00487189">
              <w:rPr>
                <w:rFonts w:cs="David"/>
                <w:vertAlign w:val="superscript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</w:p>
        </w:tc>
        <w:tc>
          <w:tcPr>
            <w:tcW w:w="905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</w:p>
        </w:tc>
        <w:tc>
          <w:tcPr>
            <w:tcW w:w="882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2.4</w:t>
            </w:r>
          </w:p>
        </w:tc>
        <w:tc>
          <w:tcPr>
            <w:tcW w:w="1021" w:type="dxa"/>
            <w:shd w:val="clear" w:color="auto" w:fill="auto"/>
          </w:tcPr>
          <w:p w:rsidR="000E7256" w:rsidRPr="00487189" w:rsidRDefault="000E7256" w:rsidP="005E5EAB">
            <w:pPr>
              <w:jc w:val="center"/>
              <w:rPr>
                <w:rFonts w:cs="David"/>
              </w:rPr>
            </w:pPr>
            <w:r w:rsidRPr="00487189">
              <w:rPr>
                <w:rFonts w:cs="David"/>
              </w:rPr>
              <w:t>3.0</w:t>
            </w:r>
          </w:p>
        </w:tc>
      </w:tr>
    </w:tbl>
    <w:p w:rsidR="000E7256" w:rsidRDefault="000E7256" w:rsidP="000E7256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rPr>
          <w:rFonts w:cs="David"/>
          <w:i/>
          <w:rtl/>
        </w:rPr>
      </w:pPr>
      <w:r>
        <w:rPr>
          <w:rFonts w:cs="David"/>
          <w:i/>
          <w:rtl/>
        </w:rPr>
        <w:t>שיעור המשרות הפניות נכנס ברמתו ולא כשיעור שינוי.</w:t>
      </w:r>
    </w:p>
    <w:p w:rsidR="000E7256" w:rsidRDefault="000E7256" w:rsidP="000E7256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rPr>
          <w:rFonts w:cs="David"/>
          <w:i/>
          <w:rtl/>
        </w:rPr>
      </w:pPr>
      <w:r>
        <w:rPr>
          <w:rFonts w:cs="David"/>
          <w:i/>
          <w:rtl/>
        </w:rPr>
        <w:t xml:space="preserve">ממוצע נע </w:t>
      </w:r>
      <w:bookmarkStart w:id="0" w:name="_GoBack"/>
      <w:bookmarkEnd w:id="0"/>
      <w:r>
        <w:rPr>
          <w:rFonts w:cs="David"/>
          <w:i/>
          <w:rtl/>
        </w:rPr>
        <w:t>לשישה חודשים.</w:t>
      </w:r>
    </w:p>
    <w:p w:rsidR="000E7256" w:rsidRPr="001E6CA3" w:rsidRDefault="000E7256" w:rsidP="000E7256">
      <w:pPr>
        <w:pStyle w:val="a5"/>
        <w:spacing w:line="240" w:lineRule="auto"/>
        <w:ind w:left="0" w:right="-180" w:firstLine="0"/>
        <w:rPr>
          <w:rFonts w:hint="cs"/>
          <w:rtl/>
        </w:rPr>
      </w:pPr>
      <w:r w:rsidRPr="001E6CA3">
        <w:rPr>
          <w:rFonts w:hint="cs"/>
          <w:rtl/>
        </w:rPr>
        <w:t xml:space="preserve">כתובתנו באתר: </w:t>
      </w:r>
    </w:p>
    <w:p w:rsidR="000E7256" w:rsidRDefault="000E7256" w:rsidP="000E7256">
      <w:pPr>
        <w:bidi/>
      </w:pPr>
      <w:hyperlink r:id="rId9" w:history="1">
        <w:r>
          <w:rPr>
            <w:rStyle w:val="Hyperlink"/>
          </w:rPr>
          <w:t>http://www.boi.org.il/he/Rese</w:t>
        </w:r>
        <w:r>
          <w:rPr>
            <w:rStyle w:val="Hyperlink"/>
          </w:rPr>
          <w:t>a</w:t>
        </w:r>
        <w:r>
          <w:rPr>
            <w:rStyle w:val="Hyperlink"/>
          </w:rPr>
          <w:t>rch/Pages/ind.aspx</w:t>
        </w:r>
      </w:hyperlink>
    </w:p>
    <w:p w:rsidR="000E7256" w:rsidRPr="00941F6A" w:rsidRDefault="000E7256" w:rsidP="000E7256">
      <w:pPr>
        <w:bidi/>
        <w:spacing w:before="120"/>
        <w:ind w:left="26" w:right="26"/>
        <w:rPr>
          <w:rFonts w:cs="David"/>
          <w:sz w:val="25"/>
          <w:szCs w:val="25"/>
          <w:rtl/>
        </w:rPr>
      </w:pPr>
    </w:p>
    <w:p w:rsidR="000E7256" w:rsidRDefault="000E7256" w:rsidP="000E7256">
      <w:pPr>
        <w:bidi/>
        <w:rPr>
          <w:rFonts w:hint="cs"/>
          <w:rtl/>
        </w:rPr>
      </w:pPr>
    </w:p>
    <w:sectPr w:rsidR="000E7256" w:rsidSect="000E7256">
      <w:pgSz w:w="11906" w:h="16838"/>
      <w:pgMar w:top="737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56" w:rsidRDefault="000E7256" w:rsidP="000E7256">
      <w:r>
        <w:separator/>
      </w:r>
    </w:p>
  </w:endnote>
  <w:endnote w:type="continuationSeparator" w:id="0">
    <w:p w:rsidR="000E7256" w:rsidRDefault="000E7256" w:rsidP="000E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56" w:rsidRDefault="000E7256" w:rsidP="000E7256">
      <w:r>
        <w:separator/>
      </w:r>
    </w:p>
  </w:footnote>
  <w:footnote w:type="continuationSeparator" w:id="0">
    <w:p w:rsidR="000E7256" w:rsidRDefault="000E7256" w:rsidP="000E7256">
      <w:r>
        <w:continuationSeparator/>
      </w:r>
    </w:p>
  </w:footnote>
  <w:footnote w:id="1">
    <w:p w:rsidR="000E7256" w:rsidRPr="004919CE" w:rsidRDefault="000E7256" w:rsidP="000E7256">
      <w:pPr>
        <w:pStyle w:val="a6"/>
        <w:rPr>
          <w:rFonts w:ascii="Arial" w:hAnsi="Arial" w:cs="David Transparent"/>
          <w:i/>
          <w:iCs w:val="0"/>
          <w:sz w:val="16"/>
          <w:szCs w:val="16"/>
        </w:rPr>
      </w:pPr>
      <w:r w:rsidRPr="004919CE">
        <w:rPr>
          <w:rStyle w:val="a8"/>
          <w:rFonts w:ascii="Arial" w:hAnsi="Arial"/>
          <w:i/>
          <w:iCs w:val="0"/>
        </w:rPr>
        <w:footnoteRef/>
      </w:r>
      <w:r w:rsidRPr="004919CE">
        <w:rPr>
          <w:rFonts w:ascii="Arial" w:hAnsi="Arial"/>
          <w:i/>
          <w:iCs w:val="0"/>
          <w:rtl/>
        </w:rPr>
        <w:t xml:space="preserve">  הנתון </w:t>
      </w:r>
      <w:r>
        <w:rPr>
          <w:rFonts w:ascii="Arial" w:hAnsi="Arial" w:hint="cs"/>
          <w:i/>
          <w:iCs w:val="0"/>
          <w:rtl/>
        </w:rPr>
        <w:t xml:space="preserve">לחודש </w:t>
      </w:r>
      <w:r w:rsidRPr="004919CE">
        <w:rPr>
          <w:rFonts w:ascii="Arial" w:hAnsi="Arial"/>
          <w:i/>
          <w:iCs w:val="0"/>
          <w:rtl/>
        </w:rPr>
        <w:t>האחרון עבור יצוא השירותים</w:t>
      </w:r>
      <w:r>
        <w:rPr>
          <w:rFonts w:ascii="Arial" w:hAnsi="Arial" w:hint="cs"/>
          <w:i/>
          <w:iCs w:val="0"/>
          <w:rtl/>
        </w:rPr>
        <w:t xml:space="preserve"> (ללא תחבורה),</w:t>
      </w:r>
      <w:r w:rsidRPr="004919CE">
        <w:rPr>
          <w:rFonts w:ascii="Arial" w:hAnsi="Arial"/>
          <w:i/>
          <w:iCs w:val="0"/>
          <w:rtl/>
        </w:rPr>
        <w:t xml:space="preserve"> מבוסס על אומדני בנק ישראל ליצוא שירותי תיירות </w:t>
      </w:r>
      <w:r>
        <w:rPr>
          <w:rFonts w:ascii="Arial" w:hAnsi="Arial" w:hint="cs"/>
          <w:i/>
          <w:iCs w:val="0"/>
          <w:rtl/>
        </w:rPr>
        <w:t>ו</w:t>
      </w:r>
      <w:r w:rsidRPr="004919CE">
        <w:rPr>
          <w:rFonts w:ascii="Arial" w:hAnsi="Arial"/>
          <w:i/>
          <w:iCs w:val="0"/>
          <w:rtl/>
        </w:rPr>
        <w:t>ליצוא שירותים אחרים</w:t>
      </w:r>
      <w:r w:rsidRPr="004919CE">
        <w:rPr>
          <w:rFonts w:ascii="Arial" w:hAnsi="Arial" w:cs="David Transparent"/>
          <w:i/>
          <w:iCs w:val="0"/>
          <w:sz w:val="16"/>
          <w:szCs w:val="16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E7256"/>
    <w:rsid w:val="00AE591E"/>
    <w:rsid w:val="00DD5923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0E7256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40">
    <w:name w:val="כותרת 4 תו"/>
    <w:basedOn w:val="a0"/>
    <w:link w:val="4"/>
    <w:rsid w:val="000E7256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5">
    <w:name w:val="Block Text"/>
    <w:basedOn w:val="a"/>
    <w:rsid w:val="000E7256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paragraph" w:styleId="a6">
    <w:name w:val="footnote text"/>
    <w:basedOn w:val="a"/>
    <w:link w:val="a7"/>
    <w:semiHidden/>
    <w:rsid w:val="000E7256"/>
    <w:pPr>
      <w:bidi/>
      <w:spacing w:after="120" w:line="320" w:lineRule="exact"/>
      <w:ind w:left="-57" w:firstLine="283"/>
      <w:jc w:val="both"/>
    </w:pPr>
    <w:rPr>
      <w:rFonts w:cs="David"/>
      <w:iCs/>
    </w:rPr>
  </w:style>
  <w:style w:type="character" w:customStyle="1" w:styleId="a7">
    <w:name w:val="טקסט הערת שוליים תו"/>
    <w:basedOn w:val="a0"/>
    <w:link w:val="a6"/>
    <w:semiHidden/>
    <w:rsid w:val="000E7256"/>
    <w:rPr>
      <w:rFonts w:ascii="Times New Roman" w:eastAsia="Times New Roman" w:hAnsi="Times New Roman" w:cs="David"/>
      <w:iCs/>
      <w:sz w:val="20"/>
      <w:szCs w:val="20"/>
      <w:lang w:eastAsia="he-IL"/>
    </w:rPr>
  </w:style>
  <w:style w:type="character" w:styleId="a8">
    <w:name w:val="footnote reference"/>
    <w:semiHidden/>
    <w:rsid w:val="000E7256"/>
    <w:rPr>
      <w:vertAlign w:val="superscript"/>
    </w:rPr>
  </w:style>
  <w:style w:type="character" w:styleId="Hyperlink">
    <w:name w:val="Hyperlink"/>
    <w:rsid w:val="000E7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0E7256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40">
    <w:name w:val="כותרת 4 תו"/>
    <w:basedOn w:val="a0"/>
    <w:link w:val="4"/>
    <w:rsid w:val="000E7256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5">
    <w:name w:val="Block Text"/>
    <w:basedOn w:val="a"/>
    <w:rsid w:val="000E7256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paragraph" w:styleId="a6">
    <w:name w:val="footnote text"/>
    <w:basedOn w:val="a"/>
    <w:link w:val="a7"/>
    <w:semiHidden/>
    <w:rsid w:val="000E7256"/>
    <w:pPr>
      <w:bidi/>
      <w:spacing w:after="120" w:line="320" w:lineRule="exact"/>
      <w:ind w:left="-57" w:firstLine="283"/>
      <w:jc w:val="both"/>
    </w:pPr>
    <w:rPr>
      <w:rFonts w:cs="David"/>
      <w:iCs/>
    </w:rPr>
  </w:style>
  <w:style w:type="character" w:customStyle="1" w:styleId="a7">
    <w:name w:val="טקסט הערת שוליים תו"/>
    <w:basedOn w:val="a0"/>
    <w:link w:val="a6"/>
    <w:semiHidden/>
    <w:rsid w:val="000E7256"/>
    <w:rPr>
      <w:rFonts w:ascii="Times New Roman" w:eastAsia="Times New Roman" w:hAnsi="Times New Roman" w:cs="David"/>
      <w:iCs/>
      <w:sz w:val="20"/>
      <w:szCs w:val="20"/>
      <w:lang w:eastAsia="he-IL"/>
    </w:rPr>
  </w:style>
  <w:style w:type="character" w:styleId="a8">
    <w:name w:val="footnote reference"/>
    <w:semiHidden/>
    <w:rsid w:val="000E7256"/>
    <w:rPr>
      <w:vertAlign w:val="superscript"/>
    </w:rPr>
  </w:style>
  <w:style w:type="character" w:styleId="Hyperlink">
    <w:name w:val="Hyperlink"/>
    <w:rsid w:val="000E7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boi.org.il/he/Research/Pages/ind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93627-A52B-4E0F-A42F-9C5A955638CD}"/>
</file>

<file path=customXml/itemProps2.xml><?xml version="1.0" encoding="utf-8"?>
<ds:datastoreItem xmlns:ds="http://schemas.openxmlformats.org/officeDocument/2006/customXml" ds:itemID="{207729C9-99FA-4351-BD0A-F3E27DF6F070}"/>
</file>

<file path=customXml/itemProps3.xml><?xml version="1.0" encoding="utf-8"?>
<ds:datastoreItem xmlns:ds="http://schemas.openxmlformats.org/officeDocument/2006/customXml" ds:itemID="{A4A9B1D9-C4D9-484B-BB4B-E471BFFFF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1202</Characters>
  <Application>Microsoft Office Word</Application>
  <DocSecurity>0</DocSecurity>
  <Lines>10</Lines>
  <Paragraphs>2</Paragraphs>
  <ScaleCrop>false</ScaleCrop>
  <Company>BOI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ריקי אחדות</dc:creator>
  <cp:lastModifiedBy>ריקי אחדות</cp:lastModifiedBy>
  <cp:revision>2</cp:revision>
  <dcterms:created xsi:type="dcterms:W3CDTF">2013-06-19T12:20:00Z</dcterms:created>
  <dcterms:modified xsi:type="dcterms:W3CDTF">2013-06-19T12:20:00Z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