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D51310" w14:paraId="439B2AB2" w14:textId="77777777" w:rsidTr="0029736D">
        <w:tc>
          <w:tcPr>
            <w:tcW w:w="3343" w:type="dxa"/>
            <w:tcBorders>
              <w:top w:val="nil"/>
              <w:left w:val="nil"/>
              <w:bottom w:val="nil"/>
              <w:right w:val="nil"/>
            </w:tcBorders>
            <w:vAlign w:val="center"/>
          </w:tcPr>
          <w:p w14:paraId="0CE0AC71" w14:textId="77777777" w:rsidR="009005BA" w:rsidRPr="00D51310" w:rsidRDefault="009005BA" w:rsidP="0029736D">
            <w:pPr>
              <w:rPr>
                <w:rFonts w:cstheme="minorHAnsi"/>
                <w:b/>
                <w:bCs/>
                <w:sz w:val="24"/>
                <w:szCs w:val="24"/>
                <w:rtl/>
              </w:rPr>
            </w:pPr>
            <w:r w:rsidRPr="00D51310">
              <w:rPr>
                <w:rFonts w:cstheme="minorHAnsi"/>
                <w:b/>
                <w:bCs/>
                <w:sz w:val="24"/>
                <w:szCs w:val="24"/>
                <w:rtl/>
              </w:rPr>
              <w:t>בנק ישראל</w:t>
            </w:r>
          </w:p>
          <w:p w14:paraId="22442460" w14:textId="77777777" w:rsidR="009005BA" w:rsidRPr="00D51310" w:rsidRDefault="009005BA" w:rsidP="0029736D">
            <w:pPr>
              <w:rPr>
                <w:rFonts w:cstheme="minorHAnsi"/>
                <w:b/>
                <w:bCs/>
                <w:sz w:val="28"/>
                <w:szCs w:val="28"/>
              </w:rPr>
            </w:pPr>
            <w:r w:rsidRPr="00D51310">
              <w:rPr>
                <w:rFonts w:cstheme="minorHAnsi"/>
                <w:rtl/>
              </w:rPr>
              <w:t>דוברות והסברה כלכלית</w:t>
            </w:r>
          </w:p>
        </w:tc>
        <w:tc>
          <w:tcPr>
            <w:tcW w:w="2596" w:type="dxa"/>
            <w:tcBorders>
              <w:top w:val="nil"/>
              <w:left w:val="nil"/>
              <w:bottom w:val="nil"/>
              <w:right w:val="nil"/>
            </w:tcBorders>
            <w:shd w:val="clear" w:color="auto" w:fill="FFFFFF"/>
          </w:tcPr>
          <w:p w14:paraId="2B3428A1" w14:textId="77777777" w:rsidR="009005BA" w:rsidRPr="00D51310" w:rsidRDefault="009005BA" w:rsidP="0029736D">
            <w:pPr>
              <w:jc w:val="center"/>
              <w:rPr>
                <w:rFonts w:cstheme="minorHAnsi"/>
              </w:rPr>
            </w:pPr>
            <w:r w:rsidRPr="00D51310">
              <w:rPr>
                <w:rFonts w:cstheme="minorHAnsi"/>
                <w:noProof/>
              </w:rPr>
              <w:drawing>
                <wp:anchor distT="0" distB="0" distL="114300" distR="114300" simplePos="0" relativeHeight="251659264" behindDoc="0" locked="0" layoutInCell="1" allowOverlap="1" wp14:anchorId="3FA1121B" wp14:editId="21406216">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14:paraId="0B077358" w14:textId="7C67C727" w:rsidR="009005BA" w:rsidRPr="00D51310" w:rsidRDefault="009005BA" w:rsidP="009005BA">
            <w:pPr>
              <w:jc w:val="right"/>
              <w:rPr>
                <w:rFonts w:cstheme="minorHAnsi"/>
                <w:rtl/>
              </w:rPr>
            </w:pPr>
            <w:r w:rsidRPr="00D51310">
              <w:rPr>
                <w:rFonts w:cstheme="minorHAnsi"/>
                <w:highlight w:val="green"/>
                <w:rtl/>
              </w:rPr>
              <w:t>‏</w:t>
            </w:r>
            <w:r w:rsidRPr="00D51310">
              <w:rPr>
                <w:rFonts w:cstheme="minorHAnsi"/>
                <w:rtl/>
              </w:rPr>
              <w:t xml:space="preserve">ירושלים, </w:t>
            </w:r>
            <w:r w:rsidRPr="00D51310">
              <w:rPr>
                <w:rFonts w:cstheme="minorHAnsi"/>
                <w:rtl/>
              </w:rPr>
              <w:fldChar w:fldCharType="begin"/>
            </w:r>
            <w:r w:rsidRPr="00D51310">
              <w:rPr>
                <w:rFonts w:cstheme="minorHAnsi"/>
                <w:rtl/>
              </w:rPr>
              <w:instrText xml:space="preserve"> </w:instrText>
            </w:r>
            <w:r w:rsidRPr="00D51310">
              <w:rPr>
                <w:rFonts w:cstheme="minorHAnsi"/>
              </w:rPr>
              <w:instrText>DATE</w:instrText>
            </w:r>
            <w:r w:rsidRPr="00D51310">
              <w:rPr>
                <w:rFonts w:cstheme="minorHAnsi"/>
                <w:rtl/>
              </w:rPr>
              <w:instrText xml:space="preserve"> \@ "</w:instrText>
            </w:r>
            <w:r w:rsidRPr="00D51310">
              <w:rPr>
                <w:rFonts w:cstheme="minorHAnsi"/>
              </w:rPr>
              <w:instrText>d MMMM, yyyy" \h</w:instrText>
            </w:r>
            <w:r w:rsidRPr="00D51310">
              <w:rPr>
                <w:rFonts w:cstheme="minorHAnsi"/>
                <w:rtl/>
              </w:rPr>
              <w:instrText xml:space="preserve"> </w:instrText>
            </w:r>
            <w:r w:rsidRPr="00D51310">
              <w:rPr>
                <w:rFonts w:cstheme="minorHAnsi"/>
                <w:rtl/>
              </w:rPr>
              <w:fldChar w:fldCharType="separate"/>
            </w:r>
            <w:r w:rsidR="00144F03">
              <w:rPr>
                <w:rFonts w:cstheme="minorHAnsi"/>
                <w:noProof/>
                <w:rtl/>
              </w:rPr>
              <w:t>‏ח' סיון, תשפ"ה</w:t>
            </w:r>
            <w:r w:rsidRPr="00D51310">
              <w:rPr>
                <w:rFonts w:cstheme="minorHAnsi"/>
                <w:rtl/>
              </w:rPr>
              <w:fldChar w:fldCharType="end"/>
            </w:r>
          </w:p>
          <w:p w14:paraId="37E0BC0E" w14:textId="12910D1F" w:rsidR="009005BA" w:rsidRPr="00D51310" w:rsidRDefault="009005BA" w:rsidP="009005BA">
            <w:pPr>
              <w:jc w:val="right"/>
              <w:rPr>
                <w:rFonts w:cstheme="minorHAnsi"/>
                <w:highlight w:val="green"/>
              </w:rPr>
            </w:pPr>
            <w:r w:rsidRPr="00D51310">
              <w:rPr>
                <w:rFonts w:cstheme="minorHAnsi"/>
                <w:rtl/>
              </w:rPr>
              <w:fldChar w:fldCharType="begin"/>
            </w:r>
            <w:r w:rsidRPr="00D51310">
              <w:rPr>
                <w:rFonts w:cstheme="minorHAnsi"/>
                <w:rtl/>
              </w:rPr>
              <w:instrText xml:space="preserve"> </w:instrText>
            </w:r>
            <w:r w:rsidRPr="00D51310">
              <w:rPr>
                <w:rFonts w:cstheme="minorHAnsi"/>
              </w:rPr>
              <w:instrText>DATE</w:instrText>
            </w:r>
            <w:r w:rsidRPr="00D51310">
              <w:rPr>
                <w:rFonts w:cstheme="minorHAnsi"/>
                <w:rtl/>
              </w:rPr>
              <w:instrText xml:space="preserve"> \@ "</w:instrText>
            </w:r>
            <w:r w:rsidRPr="00D51310">
              <w:rPr>
                <w:rFonts w:cstheme="minorHAnsi"/>
              </w:rPr>
              <w:instrText>d MMMM, yyyy</w:instrText>
            </w:r>
            <w:r w:rsidRPr="00D51310">
              <w:rPr>
                <w:rFonts w:cstheme="minorHAnsi"/>
                <w:rtl/>
              </w:rPr>
              <w:instrText xml:space="preserve">" </w:instrText>
            </w:r>
            <w:r w:rsidRPr="00D51310">
              <w:rPr>
                <w:rFonts w:cstheme="minorHAnsi"/>
                <w:rtl/>
              </w:rPr>
              <w:fldChar w:fldCharType="separate"/>
            </w:r>
            <w:r w:rsidR="00144F03">
              <w:rPr>
                <w:rFonts w:cstheme="minorHAnsi"/>
                <w:noProof/>
                <w:rtl/>
              </w:rPr>
              <w:t>‏4 יוני, 2025</w:t>
            </w:r>
            <w:r w:rsidRPr="00D51310">
              <w:rPr>
                <w:rFonts w:cstheme="minorHAnsi"/>
                <w:rtl/>
              </w:rPr>
              <w:fldChar w:fldCharType="end"/>
            </w:r>
          </w:p>
        </w:tc>
      </w:tr>
    </w:tbl>
    <w:p w14:paraId="32C1BEB0" w14:textId="77777777" w:rsidR="009005BA" w:rsidRPr="00D51310" w:rsidRDefault="009005BA" w:rsidP="008F507A">
      <w:pPr>
        <w:tabs>
          <w:tab w:val="left" w:pos="2315"/>
        </w:tabs>
        <w:spacing w:after="160"/>
        <w:rPr>
          <w:rFonts w:cstheme="minorHAnsi"/>
          <w:sz w:val="24"/>
          <w:szCs w:val="24"/>
          <w:rtl/>
        </w:rPr>
      </w:pPr>
    </w:p>
    <w:p w14:paraId="7039077B" w14:textId="4C224B06" w:rsidR="00D66255" w:rsidRPr="00D51310" w:rsidRDefault="008E761A" w:rsidP="009005BA">
      <w:pPr>
        <w:tabs>
          <w:tab w:val="left" w:pos="2315"/>
        </w:tabs>
        <w:rPr>
          <w:rFonts w:cstheme="minorHAnsi"/>
          <w:b/>
          <w:bCs/>
          <w:sz w:val="28"/>
          <w:szCs w:val="28"/>
          <w:rtl/>
        </w:rPr>
      </w:pPr>
      <w:bookmarkStart w:id="0" w:name="_GoBack"/>
      <w:r w:rsidRPr="00D51310">
        <w:rPr>
          <w:rFonts w:cstheme="minorHAnsi"/>
          <w:sz w:val="24"/>
          <w:szCs w:val="24"/>
          <w:rtl/>
        </w:rPr>
        <w:t>הודעה לעיתונות:</w:t>
      </w:r>
    </w:p>
    <w:p w14:paraId="56E0E38E" w14:textId="77777777" w:rsidR="0017406E" w:rsidRPr="00144F03" w:rsidRDefault="0017406E" w:rsidP="008F507A">
      <w:pPr>
        <w:tabs>
          <w:tab w:val="left" w:pos="2315"/>
        </w:tabs>
        <w:spacing w:after="180"/>
        <w:jc w:val="center"/>
        <w:rPr>
          <w:rFonts w:cstheme="minorHAnsi"/>
          <w:b/>
          <w:bCs/>
          <w:sz w:val="28"/>
          <w:szCs w:val="28"/>
          <w:rtl/>
        </w:rPr>
      </w:pPr>
      <w:r w:rsidRPr="00144F03">
        <w:rPr>
          <w:rFonts w:cstheme="minorHAnsi"/>
          <w:b/>
          <w:bCs/>
          <w:sz w:val="28"/>
          <w:szCs w:val="28"/>
          <w:rtl/>
        </w:rPr>
        <w:t>ניתוח חדש שמתפרסם במסגרת סדרת "ניתוחי מדיניות וסוגיות מחקריות" של חטיבת המחקר:</w:t>
      </w:r>
    </w:p>
    <w:p w14:paraId="265DF38F" w14:textId="1B2A00FB" w:rsidR="006758D9" w:rsidRPr="00144F03" w:rsidRDefault="007E140B" w:rsidP="00144F03">
      <w:pPr>
        <w:pStyle w:val="Heading1"/>
        <w:bidi/>
        <w:jc w:val="center"/>
        <w:rPr>
          <w:rFonts w:asciiTheme="minorHAnsi" w:hAnsiTheme="minorHAnsi" w:cstheme="minorHAnsi"/>
          <w:sz w:val="28"/>
          <w:szCs w:val="28"/>
          <w:rtl/>
        </w:rPr>
      </w:pPr>
      <w:r w:rsidRPr="00144F03">
        <w:rPr>
          <w:rFonts w:asciiTheme="minorHAnsi" w:hAnsiTheme="minorHAnsi" w:cstheme="minorHAnsi" w:hint="cs"/>
          <w:sz w:val="28"/>
          <w:szCs w:val="28"/>
          <w:rtl/>
        </w:rPr>
        <w:t>הקשר בין ציפיות האינפלציה של משקי הבית ונכונותם לצרוך</w:t>
      </w:r>
    </w:p>
    <w:bookmarkEnd w:id="0"/>
    <w:p w14:paraId="7D55827F" w14:textId="0F190247" w:rsidR="006758D9" w:rsidRDefault="007E140B" w:rsidP="000B71C6">
      <w:pPr>
        <w:pStyle w:val="ListParagraph"/>
        <w:numPr>
          <w:ilvl w:val="0"/>
          <w:numId w:val="17"/>
        </w:numPr>
        <w:spacing w:after="160"/>
        <w:ind w:left="0"/>
        <w:contextualSpacing w:val="0"/>
        <w:jc w:val="both"/>
        <w:rPr>
          <w:rFonts w:cstheme="minorHAnsi"/>
          <w:sz w:val="24"/>
          <w:szCs w:val="24"/>
        </w:rPr>
      </w:pPr>
      <w:r>
        <w:rPr>
          <w:rFonts w:cstheme="minorHAnsi" w:hint="cs"/>
          <w:sz w:val="24"/>
          <w:szCs w:val="24"/>
          <w:rtl/>
        </w:rPr>
        <w:t xml:space="preserve">משקי בית נוטים </w:t>
      </w:r>
      <w:r w:rsidR="00CC7852">
        <w:rPr>
          <w:rFonts w:cstheme="minorHAnsi" w:hint="cs"/>
          <w:sz w:val="24"/>
          <w:szCs w:val="24"/>
          <w:rtl/>
        </w:rPr>
        <w:t xml:space="preserve">פחות </w:t>
      </w:r>
      <w:r w:rsidR="00F428A5">
        <w:rPr>
          <w:rFonts w:cstheme="minorHAnsi" w:hint="cs"/>
          <w:sz w:val="24"/>
          <w:szCs w:val="24"/>
          <w:rtl/>
        </w:rPr>
        <w:t xml:space="preserve">לבצע </w:t>
      </w:r>
      <w:r w:rsidR="00CC7852">
        <w:rPr>
          <w:rFonts w:cstheme="minorHAnsi" w:hint="cs"/>
          <w:sz w:val="24"/>
          <w:szCs w:val="24"/>
          <w:rtl/>
        </w:rPr>
        <w:t xml:space="preserve">רכישות גדולות </w:t>
      </w:r>
      <w:r>
        <w:rPr>
          <w:rFonts w:cstheme="minorHAnsi" w:hint="cs"/>
          <w:sz w:val="24"/>
          <w:szCs w:val="24"/>
          <w:rtl/>
        </w:rPr>
        <w:t xml:space="preserve">כאשר הם צופים </w:t>
      </w:r>
      <w:r w:rsidR="00CC7852">
        <w:rPr>
          <w:rFonts w:cstheme="minorHAnsi" w:hint="cs"/>
          <w:sz w:val="24"/>
          <w:szCs w:val="24"/>
          <w:rtl/>
        </w:rPr>
        <w:t xml:space="preserve">שהמחירים יישארו </w:t>
      </w:r>
      <w:r w:rsidR="002761DF">
        <w:rPr>
          <w:rFonts w:cstheme="minorHAnsi" w:hint="cs"/>
          <w:sz w:val="24"/>
          <w:szCs w:val="24"/>
          <w:rtl/>
        </w:rPr>
        <w:t>ללא שינוי</w:t>
      </w:r>
      <w:r w:rsidR="00F428A5">
        <w:rPr>
          <w:rFonts w:cstheme="minorHAnsi" w:hint="cs"/>
          <w:sz w:val="24"/>
          <w:szCs w:val="24"/>
          <w:rtl/>
        </w:rPr>
        <w:t>, לעומת מצב בו הם צופים עליית מחירים</w:t>
      </w:r>
      <w:r>
        <w:rPr>
          <w:rFonts w:cstheme="minorHAnsi" w:hint="cs"/>
          <w:sz w:val="24"/>
          <w:szCs w:val="24"/>
          <w:rtl/>
        </w:rPr>
        <w:t>.</w:t>
      </w:r>
    </w:p>
    <w:p w14:paraId="33C2271E" w14:textId="61372213" w:rsidR="00FA6EBF" w:rsidRDefault="007E140B" w:rsidP="00DB6550">
      <w:pPr>
        <w:pStyle w:val="ListParagraph"/>
        <w:numPr>
          <w:ilvl w:val="0"/>
          <w:numId w:val="17"/>
        </w:numPr>
        <w:spacing w:after="160"/>
        <w:ind w:left="0"/>
        <w:contextualSpacing w:val="0"/>
        <w:jc w:val="both"/>
        <w:rPr>
          <w:rFonts w:cs="Calibri"/>
          <w:sz w:val="24"/>
          <w:szCs w:val="24"/>
        </w:rPr>
      </w:pPr>
      <w:r w:rsidRPr="00FA6EBF">
        <w:rPr>
          <w:rFonts w:cstheme="minorHAnsi" w:hint="cs"/>
          <w:sz w:val="24"/>
          <w:szCs w:val="24"/>
          <w:rtl/>
        </w:rPr>
        <w:t>סביבה של אינפלציה גבוהה בפועל, ורמת ריבית גבוהה פועלת לצמצום הנכונות לצרוך. לעומת זאת, הערכה שמצב הכלכלה ישתפר תומכת בנכונות לבצע רכישות גדולות.</w:t>
      </w:r>
    </w:p>
    <w:p w14:paraId="35E58F5A" w14:textId="77777777" w:rsidR="00DB6550" w:rsidRDefault="00DB6550" w:rsidP="00DB6550">
      <w:pPr>
        <w:pStyle w:val="ListParagraph"/>
        <w:numPr>
          <w:ilvl w:val="0"/>
          <w:numId w:val="17"/>
        </w:numPr>
        <w:spacing w:after="160"/>
        <w:ind w:left="0"/>
        <w:contextualSpacing w:val="0"/>
        <w:jc w:val="both"/>
        <w:rPr>
          <w:rFonts w:cstheme="minorHAnsi"/>
          <w:sz w:val="24"/>
          <w:szCs w:val="24"/>
        </w:rPr>
      </w:pPr>
      <w:r w:rsidRPr="00FA6EBF">
        <w:rPr>
          <w:rFonts w:cs="Calibri"/>
          <w:sz w:val="24"/>
          <w:szCs w:val="24"/>
          <w:rtl/>
        </w:rPr>
        <w:t>ממצאי הניתוח מלמדים שמשקי הבית מגיבים בהתנהלותם הכלכלית, ובפרט בצריכה, לסביבת האינפלציה בפועל וזו הצפויה.</w:t>
      </w:r>
    </w:p>
    <w:p w14:paraId="1B230D0B" w14:textId="77777777" w:rsidR="00DB6550" w:rsidRPr="00DB6550" w:rsidRDefault="00DB6550" w:rsidP="00DB6550">
      <w:pPr>
        <w:pStyle w:val="ListParagraph"/>
        <w:spacing w:after="160"/>
        <w:ind w:left="0"/>
        <w:contextualSpacing w:val="0"/>
        <w:jc w:val="both"/>
        <w:rPr>
          <w:rFonts w:cs="Calibri"/>
          <w:sz w:val="24"/>
          <w:szCs w:val="24"/>
          <w:rtl/>
        </w:rPr>
      </w:pPr>
    </w:p>
    <w:p w14:paraId="2C073409" w14:textId="77777777" w:rsidR="007E140B" w:rsidRPr="007E140B" w:rsidRDefault="007E140B" w:rsidP="00BE1752">
      <w:pPr>
        <w:spacing w:line="360" w:lineRule="auto"/>
        <w:jc w:val="both"/>
        <w:rPr>
          <w:rFonts w:cs="Calibri"/>
          <w:sz w:val="24"/>
          <w:szCs w:val="24"/>
          <w:rtl/>
        </w:rPr>
      </w:pPr>
      <w:r w:rsidRPr="007E140B">
        <w:rPr>
          <w:rFonts w:cs="Calibri"/>
          <w:sz w:val="24"/>
          <w:szCs w:val="24"/>
          <w:rtl/>
        </w:rPr>
        <w:t>לציפיות לאינפלציה חשיבות רבה בניהול המדיניות המוניטרית והמדיניות המאקרו כלכלית בכלל. שינוי ב</w:t>
      </w:r>
      <w:r w:rsidRPr="007E140B">
        <w:rPr>
          <w:rFonts w:cs="Calibri" w:hint="cs"/>
          <w:sz w:val="24"/>
          <w:szCs w:val="24"/>
          <w:rtl/>
        </w:rPr>
        <w:t xml:space="preserve">תפיסת הציבור את </w:t>
      </w:r>
      <w:r w:rsidRPr="007E140B">
        <w:rPr>
          <w:rFonts w:cs="Calibri"/>
          <w:sz w:val="24"/>
          <w:szCs w:val="24"/>
          <w:rtl/>
        </w:rPr>
        <w:t>סביבת האינפלציה</w:t>
      </w:r>
      <w:r>
        <w:rPr>
          <w:rFonts w:cs="Calibri" w:hint="cs"/>
          <w:sz w:val="24"/>
          <w:szCs w:val="24"/>
          <w:rtl/>
        </w:rPr>
        <w:t xml:space="preserve"> צפוי להשפיע</w:t>
      </w:r>
      <w:r w:rsidR="00B807F8">
        <w:rPr>
          <w:rFonts w:cs="Calibri" w:hint="cs"/>
          <w:sz w:val="24"/>
          <w:szCs w:val="24"/>
          <w:rtl/>
        </w:rPr>
        <w:t xml:space="preserve"> </w:t>
      </w:r>
      <w:r>
        <w:rPr>
          <w:rFonts w:cs="Calibri" w:hint="cs"/>
          <w:sz w:val="24"/>
          <w:szCs w:val="24"/>
          <w:rtl/>
        </w:rPr>
        <w:t>על התנהגותו</w:t>
      </w:r>
      <w:r w:rsidR="00CC7852">
        <w:rPr>
          <w:rFonts w:cs="Calibri" w:hint="cs"/>
          <w:sz w:val="24"/>
          <w:szCs w:val="24"/>
          <w:rtl/>
        </w:rPr>
        <w:t>,</w:t>
      </w:r>
      <w:r>
        <w:rPr>
          <w:rFonts w:cs="Calibri" w:hint="cs"/>
          <w:sz w:val="24"/>
          <w:szCs w:val="24"/>
          <w:rtl/>
        </w:rPr>
        <w:t xml:space="preserve"> ובפרט</w:t>
      </w:r>
      <w:r w:rsidRPr="007E140B">
        <w:rPr>
          <w:rFonts w:cs="Calibri"/>
          <w:sz w:val="24"/>
          <w:szCs w:val="24"/>
          <w:rtl/>
        </w:rPr>
        <w:t xml:space="preserve"> על החלטות הצריכה והחיסכון שלו. במוקד תשומת הלב עומדות בדרך כלל הציפיות של החזאים</w:t>
      </w:r>
      <w:r w:rsidR="00CC7852">
        <w:rPr>
          <w:rFonts w:cs="Calibri" w:hint="cs"/>
          <w:sz w:val="24"/>
          <w:szCs w:val="24"/>
          <w:rtl/>
        </w:rPr>
        <w:t xml:space="preserve"> המקצועיים</w:t>
      </w:r>
      <w:r w:rsidRPr="007E140B">
        <w:rPr>
          <w:rFonts w:cs="Calibri"/>
          <w:sz w:val="24"/>
          <w:szCs w:val="24"/>
          <w:rtl/>
        </w:rPr>
        <w:t xml:space="preserve">, שוק ההון או הפירמות העסקיות ופחות אלו של משקי הבית. </w:t>
      </w:r>
      <w:r>
        <w:rPr>
          <w:rFonts w:cs="Calibri" w:hint="cs"/>
          <w:sz w:val="24"/>
          <w:szCs w:val="24"/>
          <w:rtl/>
        </w:rPr>
        <w:t>אולם</w:t>
      </w:r>
      <w:r w:rsidRPr="007E140B">
        <w:rPr>
          <w:rFonts w:cs="Calibri"/>
          <w:sz w:val="24"/>
          <w:szCs w:val="24"/>
          <w:rtl/>
        </w:rPr>
        <w:t xml:space="preserve">, לציפיות משקי הבית חשיבות רבה כיון שהן אלו שרלוונטיות להחלטות </w:t>
      </w:r>
      <w:r w:rsidR="00CC7852">
        <w:rPr>
          <w:rFonts w:cs="Calibri" w:hint="cs"/>
          <w:sz w:val="24"/>
          <w:szCs w:val="24"/>
          <w:rtl/>
        </w:rPr>
        <w:t xml:space="preserve">הכלכליות </w:t>
      </w:r>
      <w:r w:rsidRPr="007E140B">
        <w:rPr>
          <w:rFonts w:cs="Calibri"/>
          <w:sz w:val="24"/>
          <w:szCs w:val="24"/>
          <w:rtl/>
        </w:rPr>
        <w:t>שלהם ובפרט לצריכה הפרטית.</w:t>
      </w:r>
    </w:p>
    <w:p w14:paraId="2B6402E1" w14:textId="77777777" w:rsidR="00047A9B" w:rsidRDefault="007E140B" w:rsidP="00611270">
      <w:pPr>
        <w:spacing w:line="360" w:lineRule="auto"/>
        <w:jc w:val="both"/>
        <w:rPr>
          <w:rFonts w:cs="Calibri"/>
          <w:sz w:val="24"/>
          <w:szCs w:val="24"/>
          <w:rtl/>
        </w:rPr>
      </w:pPr>
      <w:r w:rsidRPr="007E140B">
        <w:rPr>
          <w:rFonts w:cs="Calibri"/>
          <w:sz w:val="24"/>
          <w:szCs w:val="24"/>
          <w:rtl/>
        </w:rPr>
        <w:t xml:space="preserve">בניתוח </w:t>
      </w:r>
      <w:r>
        <w:rPr>
          <w:rFonts w:cs="Calibri" w:hint="cs"/>
          <w:sz w:val="24"/>
          <w:szCs w:val="24"/>
          <w:rtl/>
        </w:rPr>
        <w:t xml:space="preserve">שנערך על ידי אלדד </w:t>
      </w:r>
      <w:proofErr w:type="spellStart"/>
      <w:r>
        <w:rPr>
          <w:rFonts w:cs="Calibri" w:hint="cs"/>
          <w:sz w:val="24"/>
          <w:szCs w:val="24"/>
          <w:rtl/>
        </w:rPr>
        <w:t>ריקלין</w:t>
      </w:r>
      <w:proofErr w:type="spellEnd"/>
      <w:r>
        <w:rPr>
          <w:rFonts w:cs="Calibri" w:hint="cs"/>
          <w:sz w:val="24"/>
          <w:szCs w:val="24"/>
          <w:rtl/>
        </w:rPr>
        <w:t xml:space="preserve"> וד"ר סיגל ריבון מחטיבת המחקר בבנק ישראל </w:t>
      </w:r>
      <w:r w:rsidR="00CC7852">
        <w:rPr>
          <w:rFonts w:cs="Calibri" w:hint="cs"/>
          <w:sz w:val="24"/>
          <w:szCs w:val="24"/>
          <w:rtl/>
        </w:rPr>
        <w:t xml:space="preserve">נבדק </w:t>
      </w:r>
      <w:r w:rsidRPr="007E140B">
        <w:rPr>
          <w:rFonts w:cs="Calibri"/>
          <w:sz w:val="24"/>
          <w:szCs w:val="24"/>
          <w:rtl/>
        </w:rPr>
        <w:t xml:space="preserve">הקשר בין ציפיות האינפלציה של משקי הבית בישראל לבין תפיסתם את הסביבה הכלכלית כמתאימה לרכישות באופן כללי, ובפרט החלטותיהם לגבי הצריכה על ידם. </w:t>
      </w:r>
      <w:r w:rsidR="002C3C8F">
        <w:rPr>
          <w:rFonts w:cs="Calibri" w:hint="cs"/>
          <w:sz w:val="24"/>
          <w:szCs w:val="24"/>
          <w:rtl/>
        </w:rPr>
        <w:t xml:space="preserve">הניתוח </w:t>
      </w:r>
      <w:r w:rsidRPr="007E140B">
        <w:rPr>
          <w:rFonts w:cs="Calibri"/>
          <w:sz w:val="24"/>
          <w:szCs w:val="24"/>
          <w:rtl/>
        </w:rPr>
        <w:t>התבסס על נתונים פרטניים</w:t>
      </w:r>
      <w:r w:rsidR="002C3C8F">
        <w:rPr>
          <w:rFonts w:cs="Calibri"/>
          <w:sz w:val="24"/>
          <w:szCs w:val="24"/>
          <w:rtl/>
        </w:rPr>
        <w:t xml:space="preserve"> מסקר אמון הצרכנים שעורכת </w:t>
      </w:r>
      <w:proofErr w:type="spellStart"/>
      <w:r w:rsidR="002C3C8F">
        <w:rPr>
          <w:rFonts w:cs="Calibri"/>
          <w:sz w:val="24"/>
          <w:szCs w:val="24"/>
          <w:rtl/>
        </w:rPr>
        <w:t>הלמ"ס</w:t>
      </w:r>
      <w:proofErr w:type="spellEnd"/>
      <w:r w:rsidR="002C3C8F">
        <w:rPr>
          <w:rFonts w:cs="Calibri" w:hint="cs"/>
          <w:sz w:val="24"/>
          <w:szCs w:val="24"/>
          <w:rtl/>
        </w:rPr>
        <w:t xml:space="preserve"> במסגרתו הנסקרים נשאלים לגבי הערכתם את האינפלציה הצפויה וכן את הערכתם לגבי המצב הכלכלי הכללי ושל משק הבית שלהם, ובפרט האם זהו זמן טוב לרכישות גדולות (רהיטים, ציוד חשמלי) והאם הם מתכננים לבצע רכישות כאלו בשנה הקרובה.</w:t>
      </w:r>
      <w:r w:rsidRPr="007E140B">
        <w:rPr>
          <w:rFonts w:cs="Calibri"/>
          <w:sz w:val="24"/>
          <w:szCs w:val="24"/>
          <w:rtl/>
        </w:rPr>
        <w:t xml:space="preserve"> </w:t>
      </w:r>
    </w:p>
    <w:p w14:paraId="36CF41C3" w14:textId="77777777" w:rsidR="002C3C8F" w:rsidRDefault="00C474CA" w:rsidP="00C474CA">
      <w:pPr>
        <w:spacing w:before="120" w:line="360" w:lineRule="auto"/>
        <w:jc w:val="both"/>
        <w:rPr>
          <w:rFonts w:cs="Calibri"/>
          <w:sz w:val="24"/>
          <w:szCs w:val="24"/>
          <w:rtl/>
        </w:rPr>
      </w:pPr>
      <w:r>
        <w:rPr>
          <w:rFonts w:cs="Calibri" w:hint="cs"/>
          <w:sz w:val="24"/>
          <w:szCs w:val="24"/>
          <w:rtl/>
        </w:rPr>
        <w:t>כ</w:t>
      </w:r>
      <w:r w:rsidR="002C3C8F" w:rsidRPr="006917BB">
        <w:rPr>
          <w:rFonts w:cs="Calibri"/>
          <w:sz w:val="24"/>
          <w:szCs w:val="24"/>
          <w:rtl/>
        </w:rPr>
        <w:t xml:space="preserve">די לבחון </w:t>
      </w:r>
      <w:r w:rsidR="00C65A7F">
        <w:rPr>
          <w:rFonts w:cs="Calibri" w:hint="cs"/>
          <w:sz w:val="24"/>
          <w:szCs w:val="24"/>
          <w:rtl/>
        </w:rPr>
        <w:t>את הקשר בין הציפיות לאינפלציה של משק הבית והנטייה לבצע רכישות גדולות</w:t>
      </w:r>
      <w:r w:rsidR="002C3C8F" w:rsidRPr="006917BB">
        <w:rPr>
          <w:rFonts w:cs="Calibri"/>
          <w:sz w:val="24"/>
          <w:szCs w:val="24"/>
          <w:rtl/>
        </w:rPr>
        <w:t xml:space="preserve">, </w:t>
      </w:r>
      <w:r w:rsidR="00AB40A9">
        <w:rPr>
          <w:rFonts w:cs="Calibri" w:hint="cs"/>
          <w:sz w:val="24"/>
          <w:szCs w:val="24"/>
          <w:rtl/>
        </w:rPr>
        <w:t xml:space="preserve">הניתוח </w:t>
      </w:r>
      <w:r w:rsidR="00F23627">
        <w:rPr>
          <w:rFonts w:cs="Calibri" w:hint="cs"/>
          <w:sz w:val="24"/>
          <w:szCs w:val="24"/>
          <w:rtl/>
        </w:rPr>
        <w:t xml:space="preserve">הנוכחי </w:t>
      </w:r>
      <w:r w:rsidR="00C65A7F">
        <w:rPr>
          <w:rFonts w:cs="Calibri" w:hint="cs"/>
          <w:sz w:val="24"/>
          <w:szCs w:val="24"/>
          <w:rtl/>
        </w:rPr>
        <w:t xml:space="preserve">התמקד, בדומה למחקרים אחרים בעולם, </w:t>
      </w:r>
      <w:r w:rsidR="002C3C8F">
        <w:rPr>
          <w:rFonts w:cs="Calibri" w:hint="cs"/>
          <w:sz w:val="24"/>
          <w:szCs w:val="24"/>
          <w:rtl/>
        </w:rPr>
        <w:t xml:space="preserve">באבחנה בין סביבה של </w:t>
      </w:r>
      <w:r w:rsidR="00F23627">
        <w:rPr>
          <w:rFonts w:cs="Calibri" w:hint="cs"/>
          <w:sz w:val="24"/>
          <w:szCs w:val="24"/>
          <w:rtl/>
        </w:rPr>
        <w:t>מחירים יציבים</w:t>
      </w:r>
      <w:r w:rsidR="006668E6" w:rsidRPr="006917BB">
        <w:rPr>
          <w:rFonts w:cs="Calibri"/>
          <w:sz w:val="24"/>
          <w:szCs w:val="24"/>
          <w:rtl/>
        </w:rPr>
        <w:t xml:space="preserve">, כלומר אינפלציה אפס, </w:t>
      </w:r>
      <w:r w:rsidR="002C3C8F">
        <w:rPr>
          <w:rFonts w:cs="Calibri" w:hint="cs"/>
          <w:sz w:val="24"/>
          <w:szCs w:val="24"/>
          <w:rtl/>
        </w:rPr>
        <w:t xml:space="preserve">לסביבה של אינפלציה חיובית. </w:t>
      </w:r>
      <w:r w:rsidR="006668E6">
        <w:rPr>
          <w:rFonts w:cs="Calibri" w:hint="cs"/>
          <w:sz w:val="24"/>
          <w:szCs w:val="24"/>
          <w:rtl/>
        </w:rPr>
        <w:t>זאת משום ש</w:t>
      </w:r>
      <w:r w:rsidR="006668E6" w:rsidRPr="006917BB">
        <w:rPr>
          <w:rFonts w:cs="Calibri"/>
          <w:sz w:val="24"/>
          <w:szCs w:val="24"/>
          <w:rtl/>
        </w:rPr>
        <w:t xml:space="preserve">משקי הבית לא </w:t>
      </w:r>
      <w:r w:rsidR="006668E6">
        <w:rPr>
          <w:rFonts w:cs="Calibri" w:hint="cs"/>
          <w:sz w:val="24"/>
          <w:szCs w:val="24"/>
          <w:rtl/>
        </w:rPr>
        <w:t xml:space="preserve">בהכרח </w:t>
      </w:r>
      <w:r w:rsidR="006668E6" w:rsidRPr="006917BB">
        <w:rPr>
          <w:rFonts w:cs="Calibri"/>
          <w:sz w:val="24"/>
          <w:szCs w:val="24"/>
          <w:rtl/>
        </w:rPr>
        <w:t xml:space="preserve">מודעים באופן מספיק מדויק לשינויים קטנים יחסית בקצב האינפלציה, ובפרט בסביבה שבה האינפלציה לא מאד גבוהה, </w:t>
      </w:r>
      <w:r w:rsidR="006668E6">
        <w:rPr>
          <w:rFonts w:cs="Calibri" w:hint="cs"/>
          <w:sz w:val="24"/>
          <w:szCs w:val="24"/>
          <w:rtl/>
        </w:rPr>
        <w:t xml:space="preserve">ולכן </w:t>
      </w:r>
      <w:r w:rsidR="006668E6" w:rsidRPr="006917BB">
        <w:rPr>
          <w:rFonts w:cs="Calibri"/>
          <w:sz w:val="24"/>
          <w:szCs w:val="24"/>
          <w:rtl/>
        </w:rPr>
        <w:t xml:space="preserve">המאפיין החשוב של סביבת המחירים הוא האם </w:t>
      </w:r>
      <w:r w:rsidR="006516B0">
        <w:rPr>
          <w:rFonts w:cs="Calibri" w:hint="cs"/>
          <w:sz w:val="24"/>
          <w:szCs w:val="24"/>
          <w:rtl/>
        </w:rPr>
        <w:t>ההערכה היא</w:t>
      </w:r>
      <w:r w:rsidR="00F23627">
        <w:rPr>
          <w:rFonts w:cs="Calibri" w:hint="cs"/>
          <w:sz w:val="24"/>
          <w:szCs w:val="24"/>
          <w:rtl/>
        </w:rPr>
        <w:t xml:space="preserve"> ש</w:t>
      </w:r>
      <w:r w:rsidR="006668E6">
        <w:rPr>
          <w:rFonts w:cs="Calibri" w:hint="cs"/>
          <w:sz w:val="24"/>
          <w:szCs w:val="24"/>
          <w:rtl/>
        </w:rPr>
        <w:t>הם נותרים</w:t>
      </w:r>
      <w:r w:rsidR="006668E6" w:rsidRPr="006917BB">
        <w:rPr>
          <w:rFonts w:cs="Calibri"/>
          <w:sz w:val="24"/>
          <w:szCs w:val="24"/>
          <w:rtl/>
        </w:rPr>
        <w:t xml:space="preserve"> ללא שינוי</w:t>
      </w:r>
      <w:r w:rsidR="00F23627">
        <w:rPr>
          <w:rFonts w:cs="Calibri" w:hint="cs"/>
          <w:sz w:val="24"/>
          <w:szCs w:val="24"/>
          <w:rtl/>
        </w:rPr>
        <w:t xml:space="preserve">, </w:t>
      </w:r>
      <w:r w:rsidR="006668E6" w:rsidRPr="006917BB">
        <w:rPr>
          <w:rFonts w:cs="Calibri"/>
          <w:sz w:val="24"/>
          <w:szCs w:val="24"/>
          <w:rtl/>
        </w:rPr>
        <w:t xml:space="preserve">או </w:t>
      </w:r>
      <w:r w:rsidR="006668E6">
        <w:rPr>
          <w:rFonts w:cs="Calibri" w:hint="cs"/>
          <w:sz w:val="24"/>
          <w:szCs w:val="24"/>
          <w:rtl/>
        </w:rPr>
        <w:t>שהם עולים</w:t>
      </w:r>
      <w:r w:rsidR="006668E6" w:rsidRPr="006917BB">
        <w:rPr>
          <w:rFonts w:cs="Calibri"/>
          <w:sz w:val="24"/>
          <w:szCs w:val="24"/>
          <w:rtl/>
        </w:rPr>
        <w:t xml:space="preserve"> על פני זמן</w:t>
      </w:r>
      <w:r w:rsidR="006668E6">
        <w:rPr>
          <w:rFonts w:cs="Calibri" w:hint="cs"/>
          <w:sz w:val="24"/>
          <w:szCs w:val="24"/>
          <w:rtl/>
        </w:rPr>
        <w:t xml:space="preserve">, </w:t>
      </w:r>
      <w:r w:rsidR="006668E6" w:rsidRPr="006917BB">
        <w:rPr>
          <w:rFonts w:cs="Calibri"/>
          <w:sz w:val="24"/>
          <w:szCs w:val="24"/>
          <w:rtl/>
        </w:rPr>
        <w:t xml:space="preserve"> </w:t>
      </w:r>
      <w:r w:rsidR="006668E6">
        <w:rPr>
          <w:rFonts w:cs="Calibri" w:hint="cs"/>
          <w:sz w:val="24"/>
          <w:szCs w:val="24"/>
          <w:rtl/>
        </w:rPr>
        <w:t>כאשר הערך המספרי המדויק של שיעור האינפלציה פחות חשוב</w:t>
      </w:r>
      <w:r w:rsidR="006668E6" w:rsidRPr="006917BB">
        <w:rPr>
          <w:rFonts w:cs="Calibri"/>
          <w:sz w:val="24"/>
          <w:szCs w:val="24"/>
          <w:rtl/>
        </w:rPr>
        <w:t>.</w:t>
      </w:r>
    </w:p>
    <w:p w14:paraId="481AAF61" w14:textId="77777777" w:rsidR="00AB40A9" w:rsidRDefault="002C3C8F" w:rsidP="004C492D">
      <w:pPr>
        <w:spacing w:line="360" w:lineRule="auto"/>
        <w:jc w:val="both"/>
        <w:rPr>
          <w:rFonts w:cs="Calibri"/>
          <w:sz w:val="24"/>
          <w:szCs w:val="24"/>
          <w:rtl/>
        </w:rPr>
      </w:pPr>
      <w:r w:rsidRPr="006516B0">
        <w:rPr>
          <w:rFonts w:cs="Calibri" w:hint="eastAsia"/>
          <w:sz w:val="24"/>
          <w:szCs w:val="24"/>
          <w:rtl/>
        </w:rPr>
        <w:lastRenderedPageBreak/>
        <w:t>הניתוח</w:t>
      </w:r>
      <w:r w:rsidRPr="006516B0">
        <w:rPr>
          <w:rFonts w:cs="Calibri"/>
          <w:sz w:val="24"/>
          <w:szCs w:val="24"/>
          <w:rtl/>
        </w:rPr>
        <w:t xml:space="preserve">, </w:t>
      </w:r>
      <w:r w:rsidRPr="006516B0">
        <w:rPr>
          <w:rFonts w:cs="Calibri" w:hint="eastAsia"/>
          <w:sz w:val="24"/>
          <w:szCs w:val="24"/>
          <w:rtl/>
        </w:rPr>
        <w:t>שהתייחס</w:t>
      </w:r>
      <w:r w:rsidRPr="006516B0">
        <w:rPr>
          <w:rFonts w:cs="Calibri"/>
          <w:sz w:val="24"/>
          <w:szCs w:val="24"/>
          <w:rtl/>
        </w:rPr>
        <w:t xml:space="preserve"> </w:t>
      </w:r>
      <w:r w:rsidRPr="006516B0">
        <w:rPr>
          <w:rFonts w:cs="Calibri" w:hint="eastAsia"/>
          <w:sz w:val="24"/>
          <w:szCs w:val="24"/>
          <w:rtl/>
        </w:rPr>
        <w:t>לנתוני</w:t>
      </w:r>
      <w:r w:rsidR="006516B0">
        <w:rPr>
          <w:rFonts w:cs="Calibri" w:hint="cs"/>
          <w:sz w:val="24"/>
          <w:szCs w:val="24"/>
          <w:rtl/>
        </w:rPr>
        <w:t>ם</w:t>
      </w:r>
      <w:r w:rsidRPr="006516B0">
        <w:rPr>
          <w:rFonts w:cs="Calibri"/>
          <w:sz w:val="24"/>
          <w:szCs w:val="24"/>
          <w:rtl/>
        </w:rPr>
        <w:t xml:space="preserve"> </w:t>
      </w:r>
      <w:r w:rsidRPr="006516B0">
        <w:rPr>
          <w:rFonts w:cs="Calibri" w:hint="eastAsia"/>
          <w:sz w:val="24"/>
          <w:szCs w:val="24"/>
          <w:rtl/>
        </w:rPr>
        <w:t>מפורטים</w:t>
      </w:r>
      <w:r w:rsidRPr="006516B0">
        <w:rPr>
          <w:rFonts w:cs="Calibri"/>
          <w:sz w:val="24"/>
          <w:szCs w:val="24"/>
          <w:rtl/>
        </w:rPr>
        <w:t xml:space="preserve"> </w:t>
      </w:r>
      <w:r w:rsidRPr="006516B0">
        <w:rPr>
          <w:rFonts w:cs="Calibri" w:hint="eastAsia"/>
          <w:sz w:val="24"/>
          <w:szCs w:val="24"/>
          <w:rtl/>
        </w:rPr>
        <w:t>מהסקרים</w:t>
      </w:r>
      <w:r w:rsidRPr="006516B0">
        <w:rPr>
          <w:rFonts w:cs="Calibri"/>
          <w:sz w:val="24"/>
          <w:szCs w:val="24"/>
          <w:rtl/>
        </w:rPr>
        <w:t xml:space="preserve"> </w:t>
      </w:r>
      <w:r w:rsidRPr="006516B0">
        <w:rPr>
          <w:rFonts w:cs="Calibri" w:hint="eastAsia"/>
          <w:sz w:val="24"/>
          <w:szCs w:val="24"/>
          <w:rtl/>
        </w:rPr>
        <w:t>החודשיים</w:t>
      </w:r>
      <w:r w:rsidRPr="006516B0">
        <w:rPr>
          <w:rFonts w:cs="Calibri"/>
          <w:sz w:val="24"/>
          <w:szCs w:val="24"/>
          <w:rtl/>
        </w:rPr>
        <w:t xml:space="preserve"> </w:t>
      </w:r>
      <w:r w:rsidRPr="006516B0">
        <w:rPr>
          <w:rFonts w:cs="Calibri" w:hint="eastAsia"/>
          <w:sz w:val="24"/>
          <w:szCs w:val="24"/>
          <w:rtl/>
        </w:rPr>
        <w:t>שבין</w:t>
      </w:r>
      <w:r w:rsidRPr="006516B0">
        <w:rPr>
          <w:rFonts w:cs="Calibri"/>
          <w:sz w:val="24"/>
          <w:szCs w:val="24"/>
          <w:rtl/>
        </w:rPr>
        <w:t xml:space="preserve"> </w:t>
      </w:r>
      <w:r w:rsidRPr="006516B0">
        <w:rPr>
          <w:rFonts w:cs="Calibri" w:hint="eastAsia"/>
          <w:sz w:val="24"/>
          <w:szCs w:val="24"/>
          <w:rtl/>
        </w:rPr>
        <w:t>ראשית</w:t>
      </w:r>
      <w:r w:rsidRPr="006516B0">
        <w:rPr>
          <w:rFonts w:cs="Calibri"/>
          <w:sz w:val="24"/>
          <w:szCs w:val="24"/>
          <w:rtl/>
        </w:rPr>
        <w:t xml:space="preserve"> 2012 </w:t>
      </w:r>
      <w:r w:rsidRPr="006516B0">
        <w:rPr>
          <w:rFonts w:cs="Calibri" w:hint="eastAsia"/>
          <w:sz w:val="24"/>
          <w:szCs w:val="24"/>
          <w:rtl/>
        </w:rPr>
        <w:t>ועד</w:t>
      </w:r>
      <w:r w:rsidRPr="006516B0">
        <w:rPr>
          <w:rFonts w:cs="Calibri"/>
          <w:sz w:val="24"/>
          <w:szCs w:val="24"/>
          <w:rtl/>
        </w:rPr>
        <w:t xml:space="preserve"> </w:t>
      </w:r>
      <w:r w:rsidRPr="006516B0">
        <w:rPr>
          <w:rFonts w:cs="Calibri" w:hint="eastAsia"/>
          <w:sz w:val="24"/>
          <w:szCs w:val="24"/>
          <w:rtl/>
        </w:rPr>
        <w:t>אמצע</w:t>
      </w:r>
      <w:r w:rsidRPr="006516B0">
        <w:rPr>
          <w:rFonts w:cs="Calibri"/>
          <w:sz w:val="24"/>
          <w:szCs w:val="24"/>
          <w:rtl/>
        </w:rPr>
        <w:t xml:space="preserve"> 2023 (</w:t>
      </w:r>
      <w:r w:rsidR="00AB40A9" w:rsidRPr="006516B0">
        <w:rPr>
          <w:rFonts w:cs="Calibri" w:hint="eastAsia"/>
          <w:sz w:val="24"/>
          <w:szCs w:val="24"/>
          <w:rtl/>
        </w:rPr>
        <w:t>ללא</w:t>
      </w:r>
      <w:r w:rsidR="00AB40A9" w:rsidRPr="006516B0">
        <w:rPr>
          <w:rFonts w:cs="Calibri"/>
          <w:sz w:val="24"/>
          <w:szCs w:val="24"/>
          <w:rtl/>
        </w:rPr>
        <w:t xml:space="preserve"> שנת 2020 – תקופת הקורונה</w:t>
      </w:r>
      <w:r w:rsidRPr="006516B0">
        <w:rPr>
          <w:rFonts w:cs="Calibri"/>
          <w:sz w:val="24"/>
          <w:szCs w:val="24"/>
          <w:rtl/>
        </w:rPr>
        <w:t xml:space="preserve">) </w:t>
      </w:r>
      <w:r w:rsidRPr="006516B0">
        <w:rPr>
          <w:rFonts w:cs="Calibri" w:hint="eastAsia"/>
          <w:sz w:val="24"/>
          <w:szCs w:val="24"/>
          <w:rtl/>
        </w:rPr>
        <w:t>מצא</w:t>
      </w:r>
      <w:r w:rsidRPr="006516B0">
        <w:rPr>
          <w:rFonts w:cs="Calibri"/>
          <w:sz w:val="24"/>
          <w:szCs w:val="24"/>
          <w:rtl/>
        </w:rPr>
        <w:t xml:space="preserve"> </w:t>
      </w:r>
      <w:r w:rsidRPr="006516B0">
        <w:rPr>
          <w:rFonts w:cs="Calibri" w:hint="eastAsia"/>
          <w:sz w:val="24"/>
          <w:szCs w:val="24"/>
          <w:rtl/>
        </w:rPr>
        <w:t>ש</w:t>
      </w:r>
      <w:r w:rsidR="00AB40A9" w:rsidRPr="006516B0">
        <w:rPr>
          <w:rFonts w:cs="Calibri" w:hint="eastAsia"/>
          <w:sz w:val="24"/>
          <w:szCs w:val="24"/>
          <w:rtl/>
        </w:rPr>
        <w:t>ציפייה</w:t>
      </w:r>
      <w:r w:rsidR="00AB40A9" w:rsidRPr="006516B0">
        <w:rPr>
          <w:rFonts w:cs="Calibri"/>
          <w:sz w:val="24"/>
          <w:szCs w:val="24"/>
          <w:rtl/>
        </w:rPr>
        <w:t xml:space="preserve"> </w:t>
      </w:r>
      <w:r w:rsidR="006668E6" w:rsidRPr="006516B0">
        <w:rPr>
          <w:rFonts w:cs="Calibri" w:hint="eastAsia"/>
          <w:sz w:val="24"/>
          <w:szCs w:val="24"/>
          <w:rtl/>
        </w:rPr>
        <w:t>למחירים</w:t>
      </w:r>
      <w:r w:rsidR="006668E6" w:rsidRPr="006516B0">
        <w:rPr>
          <w:rFonts w:cs="Calibri"/>
          <w:sz w:val="24"/>
          <w:szCs w:val="24"/>
          <w:rtl/>
        </w:rPr>
        <w:t xml:space="preserve"> </w:t>
      </w:r>
      <w:r w:rsidR="006668E6" w:rsidRPr="006516B0">
        <w:rPr>
          <w:rFonts w:cs="Calibri" w:hint="eastAsia"/>
          <w:sz w:val="24"/>
          <w:szCs w:val="24"/>
          <w:rtl/>
        </w:rPr>
        <w:t>יציבים</w:t>
      </w:r>
      <w:r w:rsidR="00AB40A9" w:rsidRPr="006516B0">
        <w:rPr>
          <w:rFonts w:cs="Calibri"/>
          <w:sz w:val="24"/>
          <w:szCs w:val="24"/>
          <w:rtl/>
        </w:rPr>
        <w:t xml:space="preserve"> היא בעלת קשר שלילי חזק ומובהק עם ההערכה שזהו זמן טוב לצרוך ועם ההערכה שמשק הבית יבצע רכישות כאלו בשנה הקרובה. </w:t>
      </w:r>
      <w:r w:rsidR="00B807F8" w:rsidRPr="006F1EDF">
        <w:rPr>
          <w:rFonts w:cs="Calibri" w:hint="eastAsia"/>
          <w:sz w:val="24"/>
          <w:szCs w:val="24"/>
          <w:rtl/>
        </w:rPr>
        <w:t>כלומר</w:t>
      </w:r>
      <w:r w:rsidR="00B807F8" w:rsidRPr="006F1EDF">
        <w:rPr>
          <w:rFonts w:cs="Calibri"/>
          <w:sz w:val="24"/>
          <w:szCs w:val="24"/>
          <w:rtl/>
        </w:rPr>
        <w:t xml:space="preserve">, משקי בית שצופים יציבות מחירים נוטים פחות לחשוב שזהו זמן טוב לרכישות או לתכנן לבצע רכישות בעצמם. </w:t>
      </w:r>
      <w:r w:rsidR="006516B0" w:rsidRPr="006F1EDF">
        <w:rPr>
          <w:rFonts w:cs="Calibri" w:hint="cs"/>
          <w:sz w:val="24"/>
          <w:szCs w:val="24"/>
          <w:rtl/>
        </w:rPr>
        <w:t>יתכן ש</w:t>
      </w:r>
      <w:r w:rsidR="00E52343" w:rsidRPr="006F1EDF">
        <w:rPr>
          <w:rFonts w:cs="Calibri" w:hint="eastAsia"/>
          <w:sz w:val="24"/>
          <w:szCs w:val="24"/>
          <w:rtl/>
        </w:rPr>
        <w:t>הדבר</w:t>
      </w:r>
      <w:r w:rsidR="00E52343" w:rsidRPr="006F1EDF">
        <w:rPr>
          <w:rFonts w:cs="Calibri"/>
          <w:sz w:val="24"/>
          <w:szCs w:val="24"/>
          <w:rtl/>
        </w:rPr>
        <w:t xml:space="preserve"> משקף </w:t>
      </w:r>
      <w:r w:rsidR="006516B0" w:rsidRPr="006F1EDF">
        <w:rPr>
          <w:rFonts w:cs="Calibri" w:hint="cs"/>
          <w:sz w:val="24"/>
          <w:szCs w:val="24"/>
          <w:rtl/>
        </w:rPr>
        <w:t xml:space="preserve">הערכה של משקי הבית שכאשר </w:t>
      </w:r>
      <w:r w:rsidR="001E4A52" w:rsidRPr="006F1EDF">
        <w:rPr>
          <w:rFonts w:cs="Calibri" w:hint="cs"/>
          <w:sz w:val="24"/>
          <w:szCs w:val="24"/>
          <w:rtl/>
        </w:rPr>
        <w:t xml:space="preserve">צפויה </w:t>
      </w:r>
      <w:r w:rsidR="006516B0" w:rsidRPr="006F1EDF">
        <w:rPr>
          <w:rFonts w:cs="Calibri" w:hint="cs"/>
          <w:sz w:val="24"/>
          <w:szCs w:val="24"/>
          <w:rtl/>
        </w:rPr>
        <w:t xml:space="preserve">אינפלציה גבוהה </w:t>
      </w:r>
      <w:r w:rsidR="006668E6" w:rsidRPr="006F1EDF">
        <w:rPr>
          <w:rFonts w:cs="Calibri"/>
          <w:sz w:val="24"/>
          <w:szCs w:val="24"/>
          <w:rtl/>
        </w:rPr>
        <w:t xml:space="preserve">כדאי להקדים צריכה </w:t>
      </w:r>
      <w:r w:rsidR="001E4A52" w:rsidRPr="006F1EDF">
        <w:rPr>
          <w:rFonts w:cs="Calibri" w:hint="cs"/>
          <w:sz w:val="24"/>
          <w:szCs w:val="24"/>
          <w:rtl/>
        </w:rPr>
        <w:t>לפני</w:t>
      </w:r>
      <w:r w:rsidR="00F23627" w:rsidRPr="006F1EDF">
        <w:rPr>
          <w:rFonts w:cs="Calibri"/>
          <w:sz w:val="24"/>
          <w:szCs w:val="24"/>
          <w:rtl/>
        </w:rPr>
        <w:t xml:space="preserve"> </w:t>
      </w:r>
      <w:r w:rsidR="001E4A52" w:rsidRPr="006F1EDF">
        <w:rPr>
          <w:rFonts w:cs="Calibri" w:hint="cs"/>
          <w:sz w:val="24"/>
          <w:szCs w:val="24"/>
          <w:rtl/>
        </w:rPr>
        <w:t>ש</w:t>
      </w:r>
      <w:r w:rsidR="00F23627" w:rsidRPr="006F1EDF">
        <w:rPr>
          <w:rFonts w:cs="Calibri" w:hint="eastAsia"/>
          <w:sz w:val="24"/>
          <w:szCs w:val="24"/>
          <w:rtl/>
        </w:rPr>
        <w:t>המחירים</w:t>
      </w:r>
      <w:r w:rsidR="00F23627" w:rsidRPr="006F1EDF">
        <w:rPr>
          <w:rFonts w:cs="Calibri"/>
          <w:sz w:val="24"/>
          <w:szCs w:val="24"/>
          <w:rtl/>
        </w:rPr>
        <w:t xml:space="preserve"> </w:t>
      </w:r>
      <w:r w:rsidR="001E4A52" w:rsidRPr="006F1EDF">
        <w:rPr>
          <w:rFonts w:cs="Calibri" w:hint="cs"/>
          <w:sz w:val="24"/>
          <w:szCs w:val="24"/>
          <w:rtl/>
        </w:rPr>
        <w:t>י</w:t>
      </w:r>
      <w:r w:rsidR="00F23627" w:rsidRPr="006F1EDF">
        <w:rPr>
          <w:rFonts w:cs="Calibri" w:hint="eastAsia"/>
          <w:sz w:val="24"/>
          <w:szCs w:val="24"/>
          <w:rtl/>
        </w:rPr>
        <w:t>עלו</w:t>
      </w:r>
      <w:r w:rsidR="001E4A52" w:rsidRPr="006F1EDF">
        <w:rPr>
          <w:rFonts w:cs="Calibri" w:hint="cs"/>
          <w:sz w:val="24"/>
          <w:szCs w:val="24"/>
          <w:rtl/>
        </w:rPr>
        <w:t>.</w:t>
      </w:r>
      <w:r w:rsidR="006668E6" w:rsidRPr="006F1EDF">
        <w:rPr>
          <w:rFonts w:cs="Calibri"/>
          <w:sz w:val="24"/>
          <w:szCs w:val="24"/>
          <w:rtl/>
        </w:rPr>
        <w:t xml:space="preserve"> </w:t>
      </w:r>
      <w:r w:rsidR="00F23627" w:rsidRPr="006F1EDF">
        <w:rPr>
          <w:rFonts w:cs="Calibri" w:hint="eastAsia"/>
          <w:sz w:val="24"/>
          <w:szCs w:val="24"/>
          <w:rtl/>
        </w:rPr>
        <w:t>לעומת</w:t>
      </w:r>
      <w:r w:rsidR="00F23627" w:rsidRPr="006F1EDF">
        <w:rPr>
          <w:rFonts w:cs="Calibri"/>
          <w:sz w:val="24"/>
          <w:szCs w:val="24"/>
          <w:rtl/>
        </w:rPr>
        <w:t xml:space="preserve"> זאת</w:t>
      </w:r>
      <w:r w:rsidR="004C492D" w:rsidRPr="006F1EDF">
        <w:rPr>
          <w:rFonts w:cs="Calibri" w:hint="cs"/>
          <w:sz w:val="24"/>
          <w:szCs w:val="24"/>
          <w:rtl/>
        </w:rPr>
        <w:t>,</w:t>
      </w:r>
      <w:r w:rsidR="001E4A52" w:rsidRPr="006F1EDF">
        <w:rPr>
          <w:rFonts w:cs="Calibri" w:hint="cs"/>
          <w:sz w:val="24"/>
          <w:szCs w:val="24"/>
          <w:rtl/>
        </w:rPr>
        <w:t xml:space="preserve"> מי ש</w:t>
      </w:r>
      <w:r w:rsidR="006668E6" w:rsidRPr="006F1EDF">
        <w:rPr>
          <w:rFonts w:cs="Calibri" w:hint="eastAsia"/>
          <w:sz w:val="24"/>
          <w:szCs w:val="24"/>
          <w:rtl/>
        </w:rPr>
        <w:t>צ</w:t>
      </w:r>
      <w:r w:rsidR="001E4A52" w:rsidRPr="006F1EDF">
        <w:rPr>
          <w:rFonts w:cs="Calibri" w:hint="cs"/>
          <w:sz w:val="24"/>
          <w:szCs w:val="24"/>
          <w:rtl/>
        </w:rPr>
        <w:t>ו</w:t>
      </w:r>
      <w:r w:rsidR="006668E6" w:rsidRPr="006F1EDF">
        <w:rPr>
          <w:rFonts w:cs="Calibri" w:hint="eastAsia"/>
          <w:sz w:val="24"/>
          <w:szCs w:val="24"/>
          <w:rtl/>
        </w:rPr>
        <w:t>פי</w:t>
      </w:r>
      <w:r w:rsidR="001E4A52" w:rsidRPr="006F1EDF">
        <w:rPr>
          <w:rFonts w:cs="Calibri" w:hint="cs"/>
          <w:sz w:val="24"/>
          <w:szCs w:val="24"/>
          <w:rtl/>
        </w:rPr>
        <w:t>ם</w:t>
      </w:r>
      <w:r w:rsidR="006668E6" w:rsidRPr="006F1EDF">
        <w:rPr>
          <w:rFonts w:cs="Calibri"/>
          <w:sz w:val="24"/>
          <w:szCs w:val="24"/>
          <w:rtl/>
        </w:rPr>
        <w:t xml:space="preserve"> </w:t>
      </w:r>
      <w:r w:rsidR="006668E6" w:rsidRPr="006F1EDF">
        <w:rPr>
          <w:rFonts w:cs="Calibri" w:hint="eastAsia"/>
          <w:sz w:val="24"/>
          <w:szCs w:val="24"/>
          <w:rtl/>
        </w:rPr>
        <w:t>יציבות</w:t>
      </w:r>
      <w:r w:rsidR="006668E6" w:rsidRPr="006F1EDF">
        <w:rPr>
          <w:rFonts w:cs="Calibri"/>
          <w:sz w:val="24"/>
          <w:szCs w:val="24"/>
          <w:rtl/>
        </w:rPr>
        <w:t xml:space="preserve"> </w:t>
      </w:r>
      <w:r w:rsidR="006668E6" w:rsidRPr="006F1EDF">
        <w:rPr>
          <w:rFonts w:cs="Calibri" w:hint="eastAsia"/>
          <w:sz w:val="24"/>
          <w:szCs w:val="24"/>
          <w:rtl/>
        </w:rPr>
        <w:t>מחירים</w:t>
      </w:r>
      <w:r w:rsidR="00F23627" w:rsidRPr="006F1EDF">
        <w:rPr>
          <w:rFonts w:cs="Calibri"/>
          <w:sz w:val="24"/>
          <w:szCs w:val="24"/>
          <w:rtl/>
        </w:rPr>
        <w:t xml:space="preserve"> אי</w:t>
      </w:r>
      <w:r w:rsidR="001E4A52" w:rsidRPr="006F1EDF">
        <w:rPr>
          <w:rFonts w:cs="Calibri" w:hint="cs"/>
          <w:sz w:val="24"/>
          <w:szCs w:val="24"/>
          <w:rtl/>
        </w:rPr>
        <w:t>נם רואים</w:t>
      </w:r>
      <w:r w:rsidR="00F23627" w:rsidRPr="006F1EDF">
        <w:rPr>
          <w:rFonts w:cs="Calibri"/>
          <w:sz w:val="24"/>
          <w:szCs w:val="24"/>
          <w:rtl/>
        </w:rPr>
        <w:t xml:space="preserve"> צורך למהר </w:t>
      </w:r>
      <w:r w:rsidR="006668E6" w:rsidRPr="006F1EDF">
        <w:rPr>
          <w:rFonts w:cs="Calibri" w:hint="eastAsia"/>
          <w:sz w:val="24"/>
          <w:szCs w:val="24"/>
          <w:rtl/>
        </w:rPr>
        <w:t>ולרכוש</w:t>
      </w:r>
      <w:r w:rsidR="006516B0" w:rsidRPr="006F1EDF">
        <w:rPr>
          <w:rFonts w:cs="Calibri" w:hint="cs"/>
          <w:sz w:val="24"/>
          <w:szCs w:val="24"/>
          <w:rtl/>
        </w:rPr>
        <w:t xml:space="preserve"> ולכן נטיי</w:t>
      </w:r>
      <w:r w:rsidR="004C492D" w:rsidRPr="006F1EDF">
        <w:rPr>
          <w:rFonts w:cs="Calibri" w:hint="cs"/>
          <w:sz w:val="24"/>
          <w:szCs w:val="24"/>
          <w:rtl/>
        </w:rPr>
        <w:t>תם</w:t>
      </w:r>
      <w:r w:rsidR="006516B0" w:rsidRPr="006F1EDF">
        <w:rPr>
          <w:rFonts w:cs="Calibri" w:hint="cs"/>
          <w:sz w:val="24"/>
          <w:szCs w:val="24"/>
          <w:rtl/>
        </w:rPr>
        <w:t xml:space="preserve"> לבצע רכישות גדולות קטנה יותר</w:t>
      </w:r>
      <w:r w:rsidR="006668E6" w:rsidRPr="006F1EDF">
        <w:rPr>
          <w:rFonts w:cs="Calibri"/>
          <w:sz w:val="24"/>
          <w:szCs w:val="24"/>
          <w:rtl/>
        </w:rPr>
        <w:t>.</w:t>
      </w:r>
      <w:r w:rsidR="00F23627" w:rsidRPr="006F1EDF">
        <w:rPr>
          <w:rFonts w:cs="Calibri"/>
          <w:sz w:val="24"/>
          <w:szCs w:val="24"/>
          <w:rtl/>
        </w:rPr>
        <w:t xml:space="preserve"> בהתאם</w:t>
      </w:r>
      <w:r w:rsidR="00F23627" w:rsidRPr="006516B0">
        <w:rPr>
          <w:rFonts w:cs="Calibri"/>
          <w:sz w:val="24"/>
          <w:szCs w:val="24"/>
          <w:rtl/>
        </w:rPr>
        <w:t xml:space="preserve"> להערכת החוקרים אכן </w:t>
      </w:r>
      <w:r w:rsidR="00F23627" w:rsidRPr="006516B0">
        <w:rPr>
          <w:rFonts w:cs="Calibri" w:hint="eastAsia"/>
          <w:sz w:val="24"/>
          <w:szCs w:val="24"/>
          <w:rtl/>
        </w:rPr>
        <w:t>נמצא</w:t>
      </w:r>
      <w:r w:rsidR="00F23627" w:rsidRPr="006516B0">
        <w:rPr>
          <w:rFonts w:cs="Calibri"/>
          <w:sz w:val="24"/>
          <w:szCs w:val="24"/>
          <w:rtl/>
        </w:rPr>
        <w:t xml:space="preserve"> </w:t>
      </w:r>
      <w:r w:rsidR="00F23627" w:rsidRPr="006516B0">
        <w:rPr>
          <w:rFonts w:cs="Calibri" w:hint="eastAsia"/>
          <w:sz w:val="24"/>
          <w:szCs w:val="24"/>
          <w:rtl/>
        </w:rPr>
        <w:t>ש</w:t>
      </w:r>
      <w:r w:rsidR="00B807F8" w:rsidRPr="006516B0">
        <w:rPr>
          <w:rFonts w:cs="Calibri" w:hint="eastAsia"/>
          <w:sz w:val="24"/>
          <w:szCs w:val="24"/>
          <w:rtl/>
        </w:rPr>
        <w:t>לערך</w:t>
      </w:r>
      <w:r w:rsidR="00B807F8" w:rsidRPr="006516B0">
        <w:rPr>
          <w:rFonts w:cs="Calibri"/>
          <w:sz w:val="24"/>
          <w:szCs w:val="24"/>
          <w:rtl/>
        </w:rPr>
        <w:t xml:space="preserve"> </w:t>
      </w:r>
      <w:r w:rsidR="00B807F8" w:rsidRPr="006516B0">
        <w:rPr>
          <w:rFonts w:cs="Calibri" w:hint="eastAsia"/>
          <w:sz w:val="24"/>
          <w:szCs w:val="24"/>
          <w:rtl/>
        </w:rPr>
        <w:t>הכמותי</w:t>
      </w:r>
      <w:r w:rsidR="00B807F8" w:rsidRPr="006516B0">
        <w:rPr>
          <w:rFonts w:cs="Calibri"/>
          <w:sz w:val="24"/>
          <w:szCs w:val="24"/>
          <w:rtl/>
        </w:rPr>
        <w:t xml:space="preserve"> </w:t>
      </w:r>
      <w:r w:rsidR="00B807F8" w:rsidRPr="006516B0">
        <w:rPr>
          <w:rFonts w:cs="Calibri" w:hint="eastAsia"/>
          <w:sz w:val="24"/>
          <w:szCs w:val="24"/>
          <w:rtl/>
        </w:rPr>
        <w:t>של</w:t>
      </w:r>
      <w:r w:rsidR="00AB40A9" w:rsidRPr="006516B0">
        <w:rPr>
          <w:rFonts w:cs="Calibri"/>
          <w:sz w:val="24"/>
          <w:szCs w:val="24"/>
          <w:rtl/>
        </w:rPr>
        <w:t xml:space="preserve"> </w:t>
      </w:r>
      <w:r w:rsidR="00B807F8" w:rsidRPr="006516B0">
        <w:rPr>
          <w:rFonts w:cs="Calibri" w:hint="eastAsia"/>
          <w:sz w:val="24"/>
          <w:szCs w:val="24"/>
          <w:rtl/>
        </w:rPr>
        <w:t>ה</w:t>
      </w:r>
      <w:r w:rsidR="00AB40A9" w:rsidRPr="006516B0">
        <w:rPr>
          <w:rFonts w:cs="Calibri"/>
          <w:sz w:val="24"/>
          <w:szCs w:val="24"/>
          <w:rtl/>
        </w:rPr>
        <w:t>ציפיות</w:t>
      </w:r>
      <w:r w:rsidR="00B807F8" w:rsidRPr="006516B0">
        <w:rPr>
          <w:rFonts w:cs="Calibri"/>
          <w:sz w:val="24"/>
          <w:szCs w:val="24"/>
          <w:rtl/>
        </w:rPr>
        <w:t xml:space="preserve"> לאינפלציה, בהינתן שהן ל</w:t>
      </w:r>
      <w:r w:rsidR="00AB40A9" w:rsidRPr="006516B0">
        <w:rPr>
          <w:rFonts w:cs="Calibri"/>
          <w:sz w:val="24"/>
          <w:szCs w:val="24"/>
          <w:rtl/>
        </w:rPr>
        <w:t>אינפלציה חיוביות</w:t>
      </w:r>
      <w:r w:rsidR="00E52343" w:rsidRPr="006516B0">
        <w:rPr>
          <w:rFonts w:cs="Calibri"/>
          <w:sz w:val="24"/>
          <w:szCs w:val="24"/>
          <w:rtl/>
        </w:rPr>
        <w:t>,</w:t>
      </w:r>
      <w:r w:rsidR="00AB40A9" w:rsidRPr="006516B0">
        <w:rPr>
          <w:rFonts w:cs="Calibri"/>
          <w:sz w:val="24"/>
          <w:szCs w:val="24"/>
          <w:rtl/>
        </w:rPr>
        <w:t xml:space="preserve"> אין השפע</w:t>
      </w:r>
      <w:r w:rsidR="00B807F8" w:rsidRPr="006516B0">
        <w:rPr>
          <w:rFonts w:cs="Calibri" w:hint="eastAsia"/>
          <w:sz w:val="24"/>
          <w:szCs w:val="24"/>
          <w:rtl/>
        </w:rPr>
        <w:t>ה</w:t>
      </w:r>
      <w:r w:rsidR="00AB40A9" w:rsidRPr="006516B0">
        <w:rPr>
          <w:rFonts w:cs="Calibri"/>
          <w:sz w:val="24"/>
          <w:szCs w:val="24"/>
          <w:rtl/>
        </w:rPr>
        <w:t xml:space="preserve"> משמעותית</w:t>
      </w:r>
      <w:r w:rsidR="00B807F8" w:rsidRPr="006516B0">
        <w:rPr>
          <w:rFonts w:cs="Calibri"/>
          <w:sz w:val="24"/>
          <w:szCs w:val="24"/>
          <w:rtl/>
        </w:rPr>
        <w:t xml:space="preserve"> על הנטייה לבצע רכישות גדולות</w:t>
      </w:r>
      <w:r w:rsidR="00AB40A9" w:rsidRPr="006516B0">
        <w:rPr>
          <w:rFonts w:cs="Calibri"/>
          <w:sz w:val="24"/>
          <w:szCs w:val="24"/>
          <w:rtl/>
        </w:rPr>
        <w:t xml:space="preserve">. </w:t>
      </w:r>
      <w:r w:rsidR="00AB40A9" w:rsidRPr="006516B0">
        <w:rPr>
          <w:rFonts w:cs="Calibri" w:hint="eastAsia"/>
          <w:sz w:val="24"/>
          <w:szCs w:val="24"/>
          <w:rtl/>
        </w:rPr>
        <w:t>כלומר</w:t>
      </w:r>
      <w:r w:rsidR="00AB40A9" w:rsidRPr="006516B0">
        <w:rPr>
          <w:rFonts w:cs="Calibri"/>
          <w:sz w:val="24"/>
          <w:szCs w:val="24"/>
          <w:rtl/>
        </w:rPr>
        <w:t xml:space="preserve">, נראה כי הקשר בין הציפיות לאינפלציה לבין </w:t>
      </w:r>
      <w:r w:rsidR="00AB40A9" w:rsidRPr="006516B0">
        <w:rPr>
          <w:rFonts w:cs="Calibri" w:hint="eastAsia"/>
          <w:sz w:val="24"/>
          <w:szCs w:val="24"/>
          <w:rtl/>
        </w:rPr>
        <w:t>צריכה</w:t>
      </w:r>
      <w:r w:rsidR="00AB40A9" w:rsidRPr="006516B0">
        <w:rPr>
          <w:rFonts w:cs="Calibri"/>
          <w:sz w:val="24"/>
          <w:szCs w:val="24"/>
          <w:rtl/>
        </w:rPr>
        <w:t xml:space="preserve"> </w:t>
      </w:r>
      <w:r w:rsidR="00AB40A9" w:rsidRPr="006516B0">
        <w:rPr>
          <w:rFonts w:cs="Calibri" w:hint="eastAsia"/>
          <w:sz w:val="24"/>
          <w:szCs w:val="24"/>
          <w:rtl/>
        </w:rPr>
        <w:t>עתידית</w:t>
      </w:r>
      <w:r w:rsidR="00AB40A9" w:rsidRPr="006516B0">
        <w:rPr>
          <w:rFonts w:cs="Calibri"/>
          <w:sz w:val="24"/>
          <w:szCs w:val="24"/>
          <w:rtl/>
        </w:rPr>
        <w:t xml:space="preserve"> מושפע בעיקר מ</w:t>
      </w:r>
      <w:r w:rsidR="00AB40A9" w:rsidRPr="006516B0">
        <w:rPr>
          <w:rFonts w:cs="Calibri" w:hint="eastAsia"/>
          <w:sz w:val="24"/>
          <w:szCs w:val="24"/>
          <w:rtl/>
        </w:rPr>
        <w:t>האבחנה</w:t>
      </w:r>
      <w:r w:rsidR="00AB40A9" w:rsidRPr="006516B0">
        <w:rPr>
          <w:rFonts w:cs="Calibri"/>
          <w:sz w:val="24"/>
          <w:szCs w:val="24"/>
          <w:rtl/>
        </w:rPr>
        <w:t xml:space="preserve"> האם </w:t>
      </w:r>
      <w:r w:rsidR="00B807F8" w:rsidRPr="006516B0">
        <w:rPr>
          <w:rFonts w:cs="Calibri" w:hint="eastAsia"/>
          <w:sz w:val="24"/>
          <w:szCs w:val="24"/>
          <w:rtl/>
        </w:rPr>
        <w:t>משק</w:t>
      </w:r>
      <w:r w:rsidR="00B807F8" w:rsidRPr="006516B0">
        <w:rPr>
          <w:rFonts w:cs="Calibri"/>
          <w:sz w:val="24"/>
          <w:szCs w:val="24"/>
          <w:rtl/>
        </w:rPr>
        <w:t xml:space="preserve"> </w:t>
      </w:r>
      <w:r w:rsidR="00B807F8" w:rsidRPr="006516B0">
        <w:rPr>
          <w:rFonts w:cs="Calibri" w:hint="eastAsia"/>
          <w:sz w:val="24"/>
          <w:szCs w:val="24"/>
          <w:rtl/>
        </w:rPr>
        <w:t>הבית</w:t>
      </w:r>
      <w:r w:rsidR="00B807F8" w:rsidRPr="006516B0">
        <w:rPr>
          <w:rFonts w:cs="Calibri"/>
          <w:sz w:val="24"/>
          <w:szCs w:val="24"/>
          <w:rtl/>
        </w:rPr>
        <w:t xml:space="preserve"> </w:t>
      </w:r>
      <w:r w:rsidR="00B807F8" w:rsidRPr="006516B0">
        <w:rPr>
          <w:rFonts w:cs="Calibri" w:hint="eastAsia"/>
          <w:sz w:val="24"/>
          <w:szCs w:val="24"/>
          <w:rtl/>
        </w:rPr>
        <w:t>צופה</w:t>
      </w:r>
      <w:r w:rsidR="00B807F8" w:rsidRPr="006516B0">
        <w:rPr>
          <w:rFonts w:cs="Calibri"/>
          <w:sz w:val="24"/>
          <w:szCs w:val="24"/>
          <w:rtl/>
        </w:rPr>
        <w:t xml:space="preserve"> </w:t>
      </w:r>
      <w:r w:rsidR="00B807F8" w:rsidRPr="006516B0">
        <w:rPr>
          <w:rFonts w:cs="Calibri" w:hint="eastAsia"/>
          <w:sz w:val="24"/>
          <w:szCs w:val="24"/>
          <w:rtl/>
        </w:rPr>
        <w:t>שהמחירים</w:t>
      </w:r>
      <w:r w:rsidR="00B807F8" w:rsidRPr="006516B0">
        <w:rPr>
          <w:rFonts w:cs="Calibri"/>
          <w:sz w:val="24"/>
          <w:szCs w:val="24"/>
          <w:rtl/>
        </w:rPr>
        <w:t xml:space="preserve"> </w:t>
      </w:r>
      <w:r w:rsidR="00B807F8" w:rsidRPr="006516B0">
        <w:rPr>
          <w:rFonts w:cs="Calibri" w:hint="eastAsia"/>
          <w:sz w:val="24"/>
          <w:szCs w:val="24"/>
          <w:rtl/>
        </w:rPr>
        <w:t>יישארו</w:t>
      </w:r>
      <w:r w:rsidR="00B807F8" w:rsidRPr="006516B0">
        <w:rPr>
          <w:rFonts w:cs="Calibri"/>
          <w:sz w:val="24"/>
          <w:szCs w:val="24"/>
          <w:rtl/>
        </w:rPr>
        <w:t xml:space="preserve"> </w:t>
      </w:r>
      <w:r w:rsidR="00B807F8" w:rsidRPr="006516B0">
        <w:rPr>
          <w:rFonts w:cs="Calibri" w:hint="eastAsia"/>
          <w:sz w:val="24"/>
          <w:szCs w:val="24"/>
          <w:rtl/>
        </w:rPr>
        <w:t>יציבים</w:t>
      </w:r>
      <w:r w:rsidR="00B807F8" w:rsidRPr="006516B0">
        <w:rPr>
          <w:rFonts w:cs="Calibri"/>
          <w:sz w:val="24"/>
          <w:szCs w:val="24"/>
          <w:rtl/>
        </w:rPr>
        <w:t xml:space="preserve"> </w:t>
      </w:r>
      <w:r w:rsidR="00B807F8" w:rsidRPr="006516B0">
        <w:rPr>
          <w:rFonts w:cs="Calibri" w:hint="eastAsia"/>
          <w:sz w:val="24"/>
          <w:szCs w:val="24"/>
          <w:rtl/>
        </w:rPr>
        <w:t>או</w:t>
      </w:r>
      <w:r w:rsidR="00B807F8" w:rsidRPr="006516B0">
        <w:rPr>
          <w:rFonts w:cs="Calibri"/>
          <w:sz w:val="24"/>
          <w:szCs w:val="24"/>
          <w:rtl/>
        </w:rPr>
        <w:t xml:space="preserve"> </w:t>
      </w:r>
      <w:r w:rsidR="00B807F8" w:rsidRPr="006516B0">
        <w:rPr>
          <w:rFonts w:cs="Calibri" w:hint="eastAsia"/>
          <w:sz w:val="24"/>
          <w:szCs w:val="24"/>
          <w:rtl/>
        </w:rPr>
        <w:t>יעלו</w:t>
      </w:r>
      <w:r w:rsidR="00B807F8" w:rsidRPr="006516B0">
        <w:rPr>
          <w:rFonts w:cs="Calibri"/>
          <w:sz w:val="24"/>
          <w:szCs w:val="24"/>
          <w:rtl/>
        </w:rPr>
        <w:t>,</w:t>
      </w:r>
      <w:r w:rsidR="00AB40A9" w:rsidRPr="006516B0">
        <w:rPr>
          <w:rFonts w:cs="Calibri"/>
          <w:sz w:val="24"/>
          <w:szCs w:val="24"/>
          <w:rtl/>
        </w:rPr>
        <w:t xml:space="preserve"> ופחות מהגודל הכמותי של </w:t>
      </w:r>
      <w:r w:rsidR="00AB40A9" w:rsidRPr="006516B0">
        <w:rPr>
          <w:rFonts w:cs="Calibri" w:hint="eastAsia"/>
          <w:sz w:val="24"/>
          <w:szCs w:val="24"/>
          <w:rtl/>
        </w:rPr>
        <w:t>ה</w:t>
      </w:r>
      <w:r w:rsidR="00AB40A9" w:rsidRPr="006516B0">
        <w:rPr>
          <w:rFonts w:cs="Calibri"/>
          <w:sz w:val="24"/>
          <w:szCs w:val="24"/>
          <w:rtl/>
        </w:rPr>
        <w:t xml:space="preserve">אינפלציה הצפויה. תוצאה זו עקבית ודומה מאד לתוצאה </w:t>
      </w:r>
      <w:r w:rsidR="00AB40A9" w:rsidRPr="006516B0">
        <w:rPr>
          <w:rFonts w:cs="Calibri" w:hint="eastAsia"/>
          <w:sz w:val="24"/>
          <w:szCs w:val="24"/>
          <w:rtl/>
        </w:rPr>
        <w:t>שהתקבלה</w:t>
      </w:r>
      <w:r w:rsidR="00AB40A9" w:rsidRPr="006516B0">
        <w:rPr>
          <w:rFonts w:cs="Calibri"/>
          <w:sz w:val="24"/>
          <w:szCs w:val="24"/>
          <w:rtl/>
        </w:rPr>
        <w:t xml:space="preserve"> </w:t>
      </w:r>
      <w:r w:rsidR="00AB40A9" w:rsidRPr="006516B0">
        <w:rPr>
          <w:rFonts w:cs="Calibri" w:hint="eastAsia"/>
          <w:sz w:val="24"/>
          <w:szCs w:val="24"/>
          <w:rtl/>
        </w:rPr>
        <w:t>במחקרים</w:t>
      </w:r>
      <w:r w:rsidR="00AB40A9" w:rsidRPr="006516B0">
        <w:rPr>
          <w:rFonts w:cs="Calibri"/>
          <w:sz w:val="24"/>
          <w:szCs w:val="24"/>
          <w:rtl/>
        </w:rPr>
        <w:t xml:space="preserve"> </w:t>
      </w:r>
      <w:r w:rsidR="00AB40A9" w:rsidRPr="006516B0">
        <w:rPr>
          <w:rFonts w:cs="Calibri" w:hint="eastAsia"/>
          <w:sz w:val="24"/>
          <w:szCs w:val="24"/>
          <w:rtl/>
        </w:rPr>
        <w:t>אחרים</w:t>
      </w:r>
      <w:r w:rsidR="00AB40A9" w:rsidRPr="006516B0">
        <w:rPr>
          <w:rFonts w:cs="Calibri"/>
          <w:sz w:val="24"/>
          <w:szCs w:val="24"/>
          <w:rtl/>
        </w:rPr>
        <w:t xml:space="preserve"> </w:t>
      </w:r>
      <w:r w:rsidR="00AB40A9" w:rsidRPr="006516B0">
        <w:rPr>
          <w:rFonts w:cs="Calibri" w:hint="eastAsia"/>
          <w:sz w:val="24"/>
          <w:szCs w:val="24"/>
          <w:rtl/>
        </w:rPr>
        <w:t>בעולם</w:t>
      </w:r>
      <w:r w:rsidR="00AB40A9" w:rsidRPr="006516B0">
        <w:rPr>
          <w:rFonts w:cs="Calibri"/>
          <w:sz w:val="24"/>
          <w:szCs w:val="24"/>
          <w:rtl/>
        </w:rPr>
        <w:t>.</w:t>
      </w:r>
      <w:r w:rsidR="00AB40A9">
        <w:rPr>
          <w:rFonts w:cs="Calibri" w:hint="cs"/>
          <w:sz w:val="24"/>
          <w:szCs w:val="24"/>
          <w:rtl/>
        </w:rPr>
        <w:t xml:space="preserve"> </w:t>
      </w:r>
    </w:p>
    <w:p w14:paraId="42C6F866" w14:textId="1124ABDF" w:rsidR="00C474CA" w:rsidRPr="006516B0" w:rsidRDefault="00FA6EBF" w:rsidP="00C474CA">
      <w:pPr>
        <w:spacing w:line="360" w:lineRule="auto"/>
        <w:jc w:val="center"/>
        <w:rPr>
          <w:rFonts w:cs="Calibri"/>
          <w:sz w:val="24"/>
          <w:szCs w:val="24"/>
          <w:rtl/>
        </w:rPr>
      </w:pPr>
      <w:r>
        <w:rPr>
          <w:rFonts w:cs="Calibri"/>
          <w:noProof/>
          <w:sz w:val="24"/>
          <w:szCs w:val="24"/>
        </w:rPr>
        <w:drawing>
          <wp:inline distT="0" distB="0" distL="0" distR="0" wp14:anchorId="47202633" wp14:editId="6270817E">
            <wp:extent cx="5419725" cy="34442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444240"/>
                    </a:xfrm>
                    <a:prstGeom prst="rect">
                      <a:avLst/>
                    </a:prstGeom>
                    <a:noFill/>
                  </pic:spPr>
                </pic:pic>
              </a:graphicData>
            </a:graphic>
          </wp:inline>
        </w:drawing>
      </w:r>
    </w:p>
    <w:p w14:paraId="66344AED" w14:textId="77777777" w:rsidR="00C474CA" w:rsidRDefault="00C474CA" w:rsidP="00C474CA">
      <w:pPr>
        <w:spacing w:line="360" w:lineRule="auto"/>
        <w:jc w:val="both"/>
        <w:rPr>
          <w:rFonts w:cs="Calibri"/>
          <w:sz w:val="24"/>
          <w:szCs w:val="24"/>
          <w:rtl/>
        </w:rPr>
      </w:pPr>
      <w:r>
        <w:rPr>
          <w:rFonts w:cs="Calibri" w:hint="cs"/>
          <w:sz w:val="24"/>
          <w:szCs w:val="24"/>
          <w:rtl/>
        </w:rPr>
        <w:t xml:space="preserve">האיור לעיל מציג את הסיכוי </w:t>
      </w:r>
      <w:r>
        <w:rPr>
          <w:rFonts w:cs="Calibri" w:hint="cs"/>
          <w:i/>
          <w:sz w:val="24"/>
          <w:szCs w:val="24"/>
          <w:rtl/>
        </w:rPr>
        <w:t>שפרט ישיב שזהו זמן טוב לבצע רכישות עבור אלו שצופים שהמחירים יישארו יציבים ואלו שצופים שהמחירים יעלו, בהתבסס על האמידה שבוצעה.</w:t>
      </w:r>
      <w:r>
        <w:rPr>
          <w:rStyle w:val="FootnoteReference"/>
          <w:rFonts w:cs="Calibri"/>
          <w:i/>
          <w:sz w:val="24"/>
          <w:szCs w:val="24"/>
          <w:rtl/>
        </w:rPr>
        <w:footnoteReference w:id="1"/>
      </w:r>
      <w:r>
        <w:rPr>
          <w:rFonts w:cs="Calibri" w:hint="cs"/>
          <w:i/>
          <w:sz w:val="24"/>
          <w:szCs w:val="24"/>
          <w:rtl/>
        </w:rPr>
        <w:t xml:space="preserve"> בהתאם לתוצאות שהתקבלו, פרטים שצופים שהמחירים יישארו יציבים נוטים לחשוב שזהו זמן טוב לרכישה בשיעור נמוך </w:t>
      </w:r>
      <w:proofErr w:type="spellStart"/>
      <w:r>
        <w:rPr>
          <w:rFonts w:cs="Calibri" w:hint="cs"/>
          <w:i/>
          <w:sz w:val="24"/>
          <w:szCs w:val="24"/>
          <w:rtl/>
        </w:rPr>
        <w:t>בכשליש</w:t>
      </w:r>
      <w:proofErr w:type="spellEnd"/>
      <w:r>
        <w:rPr>
          <w:rFonts w:cs="Calibri" w:hint="cs"/>
          <w:i/>
          <w:sz w:val="24"/>
          <w:szCs w:val="24"/>
          <w:rtl/>
        </w:rPr>
        <w:t xml:space="preserve"> ביחס לאלו שמעריכים שהמחירים יעלו. מעבר לכך, ניתן לראות שעבור שתי הקבוצות, הנטייה לחשוב שזהו זמן טוב לביצוע רכישות גדולות פחתה מאד בשנים האחרונות.</w:t>
      </w:r>
    </w:p>
    <w:p w14:paraId="7F2B592F" w14:textId="77777777" w:rsidR="00AB40A9" w:rsidRPr="006917BB" w:rsidRDefault="00AB40A9" w:rsidP="006516B0">
      <w:pPr>
        <w:spacing w:before="240" w:line="360" w:lineRule="auto"/>
        <w:jc w:val="both"/>
        <w:rPr>
          <w:rFonts w:cs="Calibri"/>
          <w:b/>
          <w:bCs/>
          <w:sz w:val="24"/>
          <w:szCs w:val="24"/>
          <w:rtl/>
        </w:rPr>
      </w:pPr>
      <w:r w:rsidRPr="006917BB">
        <w:rPr>
          <w:rFonts w:cs="Calibri"/>
          <w:sz w:val="24"/>
          <w:szCs w:val="24"/>
          <w:rtl/>
        </w:rPr>
        <w:lastRenderedPageBreak/>
        <w:t>תוצא</w:t>
      </w:r>
      <w:r>
        <w:rPr>
          <w:rFonts w:cs="Calibri" w:hint="cs"/>
          <w:sz w:val="24"/>
          <w:szCs w:val="24"/>
          <w:rtl/>
        </w:rPr>
        <w:t>ה</w:t>
      </w:r>
      <w:r w:rsidRPr="006917BB">
        <w:rPr>
          <w:rFonts w:cs="Calibri"/>
          <w:sz w:val="24"/>
          <w:szCs w:val="24"/>
          <w:rtl/>
        </w:rPr>
        <w:t xml:space="preserve"> מעניינת נוספת </w:t>
      </w:r>
      <w:r>
        <w:rPr>
          <w:rFonts w:cs="Calibri" w:hint="cs"/>
          <w:sz w:val="24"/>
          <w:szCs w:val="24"/>
          <w:rtl/>
        </w:rPr>
        <w:t>העולה מהניתוח היא</w:t>
      </w:r>
      <w:r w:rsidRPr="006917BB">
        <w:rPr>
          <w:rFonts w:cs="Calibri"/>
          <w:sz w:val="24"/>
          <w:szCs w:val="24"/>
          <w:rtl/>
        </w:rPr>
        <w:t xml:space="preserve"> ההשפעה השלילית של הריבית</w:t>
      </w:r>
      <w:r w:rsidR="007E0CB0">
        <w:rPr>
          <w:rFonts w:cs="Calibri" w:hint="cs"/>
          <w:sz w:val="24"/>
          <w:szCs w:val="24"/>
          <w:rtl/>
        </w:rPr>
        <w:t xml:space="preserve"> של בנק ישראל</w:t>
      </w:r>
      <w:r w:rsidRPr="006917BB">
        <w:rPr>
          <w:rFonts w:cs="Calibri"/>
          <w:sz w:val="24"/>
          <w:szCs w:val="24"/>
          <w:rtl/>
        </w:rPr>
        <w:t xml:space="preserve"> על </w:t>
      </w:r>
      <w:r>
        <w:rPr>
          <w:rFonts w:cs="Calibri" w:hint="cs"/>
          <w:sz w:val="24"/>
          <w:szCs w:val="24"/>
          <w:rtl/>
        </w:rPr>
        <w:t>ההערכה שזהו זמן טוב לצרוך.</w:t>
      </w:r>
      <w:r w:rsidRPr="006917BB">
        <w:rPr>
          <w:rFonts w:cs="Calibri"/>
          <w:sz w:val="24"/>
          <w:szCs w:val="24"/>
          <w:rtl/>
        </w:rPr>
        <w:t xml:space="preserve"> </w:t>
      </w:r>
      <w:r>
        <w:rPr>
          <w:rFonts w:cs="Calibri" w:hint="cs"/>
          <w:sz w:val="24"/>
          <w:szCs w:val="24"/>
          <w:rtl/>
        </w:rPr>
        <w:t>ריבית גבוהה יותר פועלת</w:t>
      </w:r>
      <w:r w:rsidR="00B807F8">
        <w:rPr>
          <w:rFonts w:cs="Calibri" w:hint="cs"/>
          <w:sz w:val="24"/>
          <w:szCs w:val="24"/>
          <w:rtl/>
        </w:rPr>
        <w:t>, כצפוי,</w:t>
      </w:r>
      <w:r>
        <w:rPr>
          <w:rFonts w:cs="Calibri" w:hint="cs"/>
          <w:sz w:val="24"/>
          <w:szCs w:val="24"/>
          <w:rtl/>
        </w:rPr>
        <w:t xml:space="preserve"> לירידה בהערכה שזהו זמן טוב לביצוע רכישות גדולות.</w:t>
      </w:r>
      <w:r>
        <w:rPr>
          <w:rFonts w:cs="Calibri" w:hint="cs"/>
          <w:sz w:val="24"/>
          <w:szCs w:val="24"/>
        </w:rPr>
        <w:t xml:space="preserve"> </w:t>
      </w:r>
      <w:r w:rsidRPr="006917BB">
        <w:rPr>
          <w:rFonts w:cs="Calibri"/>
          <w:sz w:val="24"/>
          <w:szCs w:val="24"/>
          <w:rtl/>
        </w:rPr>
        <w:t xml:space="preserve">בנוסף, נראה כי אמונה כי המצב הכלכלי ישתפר היא בעלת קשר חיובי </w:t>
      </w:r>
      <w:r>
        <w:rPr>
          <w:rFonts w:cs="Calibri" w:hint="cs"/>
          <w:sz w:val="24"/>
          <w:szCs w:val="24"/>
          <w:rtl/>
        </w:rPr>
        <w:t>לנטייה לבצע רכישות, ואילו שיעור אינפלציה</w:t>
      </w:r>
      <w:r w:rsidR="00F23627">
        <w:rPr>
          <w:rFonts w:cs="Calibri" w:hint="cs"/>
          <w:sz w:val="24"/>
          <w:szCs w:val="24"/>
          <w:rtl/>
        </w:rPr>
        <w:t xml:space="preserve"> בפועל (להבדיל מה</w:t>
      </w:r>
      <w:r w:rsidR="006516B0">
        <w:rPr>
          <w:rFonts w:cs="Calibri" w:hint="cs"/>
          <w:sz w:val="24"/>
          <w:szCs w:val="24"/>
          <w:rtl/>
        </w:rPr>
        <w:t>צפוי</w:t>
      </w:r>
      <w:r w:rsidR="00F23627">
        <w:rPr>
          <w:rFonts w:cs="Calibri" w:hint="cs"/>
          <w:sz w:val="24"/>
          <w:szCs w:val="24"/>
          <w:rtl/>
        </w:rPr>
        <w:t>)</w:t>
      </w:r>
      <w:r>
        <w:rPr>
          <w:rFonts w:cs="Calibri" w:hint="cs"/>
          <w:sz w:val="24"/>
          <w:szCs w:val="24"/>
          <w:rtl/>
        </w:rPr>
        <w:t xml:space="preserve"> גבוה מ-3 אחוזים משפיע באופן שלילי על ההערכה שזהו זמן טוב לצרוך</w:t>
      </w:r>
      <w:r w:rsidRPr="006917BB">
        <w:rPr>
          <w:rFonts w:cs="Calibri"/>
          <w:sz w:val="24"/>
          <w:szCs w:val="24"/>
          <w:rtl/>
        </w:rPr>
        <w:t xml:space="preserve">. </w:t>
      </w:r>
    </w:p>
    <w:p w14:paraId="3D096047" w14:textId="4C3349A6" w:rsidR="00AB40A9" w:rsidRDefault="00F23627" w:rsidP="00AB40A9">
      <w:pPr>
        <w:spacing w:line="360" w:lineRule="auto"/>
        <w:jc w:val="both"/>
        <w:rPr>
          <w:rFonts w:cs="Calibri"/>
          <w:sz w:val="24"/>
          <w:szCs w:val="24"/>
          <w:rtl/>
        </w:rPr>
      </w:pPr>
      <w:r>
        <w:rPr>
          <w:rFonts w:cs="Calibri" w:hint="cs"/>
          <w:sz w:val="24"/>
          <w:szCs w:val="24"/>
          <w:rtl/>
        </w:rPr>
        <w:t xml:space="preserve">סקר אמון הצרכנים </w:t>
      </w:r>
      <w:r w:rsidR="00AB40A9">
        <w:rPr>
          <w:rFonts w:cs="Calibri" w:hint="cs"/>
          <w:sz w:val="24"/>
          <w:szCs w:val="24"/>
          <w:rtl/>
        </w:rPr>
        <w:t>כולל גם שאלות לגבי כוונת המשפחה לרכוש מכונית, לשפץ דירה או לרכוש דירה בשנה הקרובה. בחינה של המתאם עם הציפיות לאינפלציה, מעלה כי ציפייה ליציבות מחירים מתואמת עם נטייה חלשה יותר לבצע את ההוצאות האלו מאשר ציפייה לאינפלציה חיובית, אולם התוצאות חלשות יותר</w:t>
      </w:r>
      <w:r w:rsidR="00B807F8">
        <w:rPr>
          <w:rFonts w:cs="Calibri" w:hint="cs"/>
          <w:sz w:val="24"/>
          <w:szCs w:val="24"/>
          <w:rtl/>
        </w:rPr>
        <w:t xml:space="preserve"> מאשר ביחס לנטייה לבצע רכישות גדולות באופן כללי</w:t>
      </w:r>
      <w:r w:rsidR="00AB40A9">
        <w:rPr>
          <w:rFonts w:cs="Calibri" w:hint="cs"/>
          <w:sz w:val="24"/>
          <w:szCs w:val="24"/>
          <w:rtl/>
        </w:rPr>
        <w:t>.</w:t>
      </w:r>
    </w:p>
    <w:p w14:paraId="669D3C25" w14:textId="7EABF728" w:rsidR="00FA6EBF" w:rsidRDefault="00FA6EBF" w:rsidP="00FA6EBF">
      <w:pPr>
        <w:spacing w:line="360" w:lineRule="auto"/>
        <w:jc w:val="both"/>
        <w:rPr>
          <w:rFonts w:cs="Calibri"/>
          <w:sz w:val="24"/>
          <w:szCs w:val="24"/>
          <w:rtl/>
        </w:rPr>
      </w:pPr>
      <w:r w:rsidRPr="00FA6EBF">
        <w:rPr>
          <w:rFonts w:cs="Calibri"/>
          <w:sz w:val="24"/>
          <w:szCs w:val="24"/>
          <w:rtl/>
        </w:rPr>
        <w:t>ממצאי הניתוח מלמדים שמשקי הבית מגיבים בהתנהלותם הכלכלית, ובפרט בצריכה, לסביבת האינפלציה בפועל וזו הצפויה. לכן ייצוב האינפלציה והציפיות הינ</w:t>
      </w:r>
      <w:r>
        <w:rPr>
          <w:rFonts w:cs="Calibri" w:hint="cs"/>
          <w:sz w:val="24"/>
          <w:szCs w:val="24"/>
          <w:rtl/>
        </w:rPr>
        <w:t>ו</w:t>
      </w:r>
      <w:r w:rsidRPr="00FA6EBF">
        <w:rPr>
          <w:rFonts w:cs="Calibri"/>
          <w:sz w:val="24"/>
          <w:szCs w:val="24"/>
          <w:rtl/>
        </w:rPr>
        <w:t xml:space="preserve"> מרכיב חשוב </w:t>
      </w:r>
      <w:r>
        <w:rPr>
          <w:rFonts w:cs="Calibri" w:hint="cs"/>
          <w:sz w:val="24"/>
          <w:szCs w:val="24"/>
          <w:rtl/>
        </w:rPr>
        <w:t>בשמירה על היציבות הכלכלית.</w:t>
      </w:r>
    </w:p>
    <w:p w14:paraId="2BBF558B" w14:textId="77777777" w:rsidR="00AB40A9" w:rsidRDefault="00AB40A9" w:rsidP="00AB40A9">
      <w:pPr>
        <w:spacing w:after="0" w:line="240" w:lineRule="auto"/>
        <w:jc w:val="center"/>
        <w:rPr>
          <w:rFonts w:cs="Calibri"/>
          <w:b/>
          <w:bCs/>
          <w:sz w:val="24"/>
          <w:szCs w:val="24"/>
          <w:rtl/>
        </w:rPr>
      </w:pPr>
    </w:p>
    <w:p w14:paraId="66416F7D" w14:textId="77777777" w:rsidR="00AB40A9" w:rsidRDefault="00AB40A9" w:rsidP="00AB40A9">
      <w:pPr>
        <w:spacing w:after="0" w:line="240" w:lineRule="auto"/>
        <w:jc w:val="center"/>
        <w:rPr>
          <w:rFonts w:cs="Calibri"/>
          <w:b/>
          <w:bCs/>
          <w:sz w:val="24"/>
          <w:szCs w:val="24"/>
          <w:rtl/>
        </w:rPr>
      </w:pPr>
    </w:p>
    <w:p w14:paraId="775EFEE0" w14:textId="77777777" w:rsidR="00AB40A9" w:rsidRPr="006917BB" w:rsidRDefault="00AB40A9" w:rsidP="00AB40A9">
      <w:pPr>
        <w:spacing w:line="360" w:lineRule="auto"/>
        <w:jc w:val="both"/>
        <w:rPr>
          <w:rFonts w:cs="Calibri"/>
          <w:sz w:val="24"/>
          <w:szCs w:val="24"/>
          <w:rtl/>
        </w:rPr>
      </w:pPr>
    </w:p>
    <w:p w14:paraId="1264C9DE" w14:textId="77777777" w:rsidR="002C3C8F" w:rsidRPr="007E140B" w:rsidRDefault="002C3C8F" w:rsidP="002C3C8F">
      <w:pPr>
        <w:spacing w:line="360" w:lineRule="auto"/>
        <w:ind w:left="360"/>
        <w:jc w:val="both"/>
        <w:rPr>
          <w:rFonts w:cstheme="minorHAnsi"/>
          <w:sz w:val="24"/>
          <w:szCs w:val="24"/>
          <w:rtl/>
        </w:rPr>
      </w:pPr>
    </w:p>
    <w:sectPr w:rsidR="002C3C8F" w:rsidRPr="007E140B" w:rsidSect="00146100">
      <w:footerReference w:type="default" r:id="rId10"/>
      <w:footerReference w:type="first" r:id="rId11"/>
      <w:pgSz w:w="11906" w:h="16838"/>
      <w:pgMar w:top="1276" w:right="1080" w:bottom="2127"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AEF8C" w14:textId="77777777" w:rsidR="00612DDA" w:rsidRDefault="00612DDA" w:rsidP="008755E3">
      <w:pPr>
        <w:spacing w:after="0" w:line="240" w:lineRule="auto"/>
      </w:pPr>
      <w:r>
        <w:separator/>
      </w:r>
    </w:p>
  </w:endnote>
  <w:endnote w:type="continuationSeparator" w:id="0">
    <w:p w14:paraId="7074EB00" w14:textId="77777777" w:rsidR="00612DDA" w:rsidRDefault="00612DDA"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37965637"/>
      <w:docPartObj>
        <w:docPartGallery w:val="Page Numbers (Bottom of Page)"/>
        <w:docPartUnique/>
      </w:docPartObj>
    </w:sdtPr>
    <w:sdtEndPr>
      <w:rPr>
        <w:noProof/>
      </w:rPr>
    </w:sdtEndPr>
    <w:sdtContent>
      <w:p w14:paraId="4E1C2B04" w14:textId="1102D2A9" w:rsidR="00C93A63" w:rsidRDefault="00C93A63">
        <w:pPr>
          <w:pStyle w:val="Footer"/>
          <w:jc w:val="center"/>
        </w:pPr>
        <w:r>
          <w:fldChar w:fldCharType="begin"/>
        </w:r>
        <w:r>
          <w:instrText xml:space="preserve"> PAGE   \* MERGEFORMAT </w:instrText>
        </w:r>
        <w:r>
          <w:fldChar w:fldCharType="separate"/>
        </w:r>
        <w:r w:rsidR="00144F03">
          <w:rPr>
            <w:noProof/>
            <w:rtl/>
          </w:rPr>
          <w:t>3</w:t>
        </w:r>
        <w:r>
          <w:rPr>
            <w:noProof/>
          </w:rPr>
          <w:fldChar w:fldCharType="end"/>
        </w:r>
      </w:p>
    </w:sdtContent>
  </w:sdt>
  <w:p w14:paraId="29AB2A32" w14:textId="77777777" w:rsidR="00C93A63" w:rsidRDefault="00C93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3BE1" w14:textId="77777777" w:rsidR="001D340E" w:rsidRDefault="001D340E" w:rsidP="001D340E">
    <w:pPr>
      <w:pStyle w:val="Footer"/>
      <w:rPr>
        <w:rtl/>
      </w:rPr>
    </w:pPr>
    <w:r w:rsidRPr="00571971">
      <w:rPr>
        <w:rFonts w:cs="Calibri"/>
        <w:noProof/>
        <w:rtl/>
      </w:rPr>
      <w:drawing>
        <wp:anchor distT="0" distB="0" distL="114300" distR="114300" simplePos="0" relativeHeight="251674624" behindDoc="0" locked="0" layoutInCell="1" allowOverlap="1" wp14:anchorId="425F8924" wp14:editId="661CF561">
          <wp:simplePos x="0" y="0"/>
          <wp:positionH relativeFrom="margin">
            <wp:posOffset>5628736</wp:posOffset>
          </wp:positionH>
          <wp:positionV relativeFrom="paragraph">
            <wp:posOffset>-161769</wp:posOffset>
          </wp:positionV>
          <wp:extent cx="310551" cy="310551"/>
          <wp:effectExtent l="0" t="0" r="0" b="0"/>
          <wp:wrapNone/>
          <wp:docPr id="20" name="תמונה 20"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FFE7921" wp14:editId="6079E098">
          <wp:simplePos x="0" y="0"/>
          <wp:positionH relativeFrom="column">
            <wp:posOffset>4231257</wp:posOffset>
          </wp:positionH>
          <wp:positionV relativeFrom="paragraph">
            <wp:posOffset>-127468</wp:posOffset>
          </wp:positionV>
          <wp:extent cx="241539" cy="241539"/>
          <wp:effectExtent l="0" t="0" r="6350" b="6350"/>
          <wp:wrapNone/>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3EAA1FEE" wp14:editId="1F97B8D7">
          <wp:simplePos x="0" y="0"/>
          <wp:positionH relativeFrom="column">
            <wp:posOffset>2411084</wp:posOffset>
          </wp:positionH>
          <wp:positionV relativeFrom="paragraph">
            <wp:posOffset>-135638</wp:posOffset>
          </wp:positionV>
          <wp:extent cx="266528" cy="262039"/>
          <wp:effectExtent l="0" t="0" r="635" b="5080"/>
          <wp:wrapNone/>
          <wp:docPr id="2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A9ADF9B" wp14:editId="42810C6F">
          <wp:simplePos x="0" y="0"/>
          <wp:positionH relativeFrom="column">
            <wp:posOffset>565030</wp:posOffset>
          </wp:positionH>
          <wp:positionV relativeFrom="paragraph">
            <wp:posOffset>-118386</wp:posOffset>
          </wp:positionV>
          <wp:extent cx="329206" cy="241456"/>
          <wp:effectExtent l="0" t="0" r="0" b="6350"/>
          <wp:wrapNone/>
          <wp:docPr id="23"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6BC6D0F8" wp14:editId="454BA15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7EDAEB13" w14:textId="77777777"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C5023"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01799280" wp14:editId="2FF5F0B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57FCFA78" w14:textId="77777777"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B1030"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091FBF59" wp14:editId="21FC80C7">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6A93EE50" w14:textId="77777777"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97512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EE52067" wp14:editId="67190A43">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1A95A2ED" w14:textId="77777777"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7481E"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6AB91B8" wp14:editId="3F021078">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8E30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14:paraId="00B81FC0" w14:textId="77777777" w:rsidR="001D340E" w:rsidRPr="009005BA" w:rsidRDefault="001D340E" w:rsidP="001D340E">
    <w:pPr>
      <w:pStyle w:val="Footer"/>
    </w:pPr>
  </w:p>
  <w:p w14:paraId="32A6C9A4" w14:textId="77777777"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926A" w14:textId="77777777" w:rsidR="00612DDA" w:rsidRDefault="00612DDA" w:rsidP="008755E3">
      <w:pPr>
        <w:spacing w:after="0" w:line="240" w:lineRule="auto"/>
      </w:pPr>
      <w:r>
        <w:separator/>
      </w:r>
    </w:p>
  </w:footnote>
  <w:footnote w:type="continuationSeparator" w:id="0">
    <w:p w14:paraId="674DB9CF" w14:textId="77777777" w:rsidR="00612DDA" w:rsidRDefault="00612DDA" w:rsidP="008755E3">
      <w:pPr>
        <w:spacing w:after="0" w:line="240" w:lineRule="auto"/>
      </w:pPr>
      <w:r>
        <w:continuationSeparator/>
      </w:r>
    </w:p>
  </w:footnote>
  <w:footnote w:id="1">
    <w:p w14:paraId="4D3E9027" w14:textId="77777777" w:rsidR="00C474CA" w:rsidRDefault="00C474CA" w:rsidP="00E34DEF">
      <w:pPr>
        <w:pStyle w:val="FootnoteText"/>
        <w:rPr>
          <w:rtl/>
        </w:rPr>
      </w:pPr>
      <w:r>
        <w:rPr>
          <w:rStyle w:val="FootnoteReference"/>
        </w:rPr>
        <w:footnoteRef/>
      </w:r>
      <w:r>
        <w:rPr>
          <w:rtl/>
        </w:rPr>
        <w:t xml:space="preserve"> </w:t>
      </w:r>
      <w:r w:rsidR="00E34DEF">
        <w:rPr>
          <w:rFonts w:cs="Calibri" w:hint="cs"/>
          <w:rtl/>
        </w:rPr>
        <w:t>שנת 2020 הושמטה מהאמידה בשל ההשפעות החריגות של תקופת הקורונה.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5C3E11"/>
    <w:multiLevelType w:val="hybridMultilevel"/>
    <w:tmpl w:val="8FC4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415E17"/>
    <w:multiLevelType w:val="hybridMultilevel"/>
    <w:tmpl w:val="D1D6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9F3982"/>
    <w:multiLevelType w:val="hybridMultilevel"/>
    <w:tmpl w:val="EFCCFC24"/>
    <w:lvl w:ilvl="0" w:tplc="2FD0C26C">
      <w:start w:val="1"/>
      <w:numFmt w:val="bullet"/>
      <w:lvlText w:val=""/>
      <w:lvlJc w:val="left"/>
      <w:pPr>
        <w:ind w:left="720" w:hanging="360"/>
      </w:pPr>
      <w:rPr>
        <w:rFonts w:ascii="Symbol" w:hAnsi="Symbol" w:hint="default"/>
      </w:rPr>
    </w:lvl>
    <w:lvl w:ilvl="1" w:tplc="5C5C8F80" w:tentative="1">
      <w:start w:val="1"/>
      <w:numFmt w:val="bullet"/>
      <w:lvlText w:val="o"/>
      <w:lvlJc w:val="left"/>
      <w:pPr>
        <w:ind w:left="1440" w:hanging="360"/>
      </w:pPr>
      <w:rPr>
        <w:rFonts w:ascii="Courier New" w:hAnsi="Courier New" w:cs="Courier New" w:hint="default"/>
      </w:rPr>
    </w:lvl>
    <w:lvl w:ilvl="2" w:tplc="96EC7030" w:tentative="1">
      <w:start w:val="1"/>
      <w:numFmt w:val="bullet"/>
      <w:lvlText w:val=""/>
      <w:lvlJc w:val="left"/>
      <w:pPr>
        <w:ind w:left="2160" w:hanging="360"/>
      </w:pPr>
      <w:rPr>
        <w:rFonts w:ascii="Wingdings" w:hAnsi="Wingdings" w:hint="default"/>
      </w:rPr>
    </w:lvl>
    <w:lvl w:ilvl="3" w:tplc="718C76EE" w:tentative="1">
      <w:start w:val="1"/>
      <w:numFmt w:val="bullet"/>
      <w:lvlText w:val=""/>
      <w:lvlJc w:val="left"/>
      <w:pPr>
        <w:ind w:left="2880" w:hanging="360"/>
      </w:pPr>
      <w:rPr>
        <w:rFonts w:ascii="Symbol" w:hAnsi="Symbol" w:hint="default"/>
      </w:rPr>
    </w:lvl>
    <w:lvl w:ilvl="4" w:tplc="F9302FDE" w:tentative="1">
      <w:start w:val="1"/>
      <w:numFmt w:val="bullet"/>
      <w:lvlText w:val="o"/>
      <w:lvlJc w:val="left"/>
      <w:pPr>
        <w:ind w:left="3600" w:hanging="360"/>
      </w:pPr>
      <w:rPr>
        <w:rFonts w:ascii="Courier New" w:hAnsi="Courier New" w:cs="Courier New" w:hint="default"/>
      </w:rPr>
    </w:lvl>
    <w:lvl w:ilvl="5" w:tplc="A080E298" w:tentative="1">
      <w:start w:val="1"/>
      <w:numFmt w:val="bullet"/>
      <w:lvlText w:val=""/>
      <w:lvlJc w:val="left"/>
      <w:pPr>
        <w:ind w:left="4320" w:hanging="360"/>
      </w:pPr>
      <w:rPr>
        <w:rFonts w:ascii="Wingdings" w:hAnsi="Wingdings" w:hint="default"/>
      </w:rPr>
    </w:lvl>
    <w:lvl w:ilvl="6" w:tplc="6C72CA80" w:tentative="1">
      <w:start w:val="1"/>
      <w:numFmt w:val="bullet"/>
      <w:lvlText w:val=""/>
      <w:lvlJc w:val="left"/>
      <w:pPr>
        <w:ind w:left="5040" w:hanging="360"/>
      </w:pPr>
      <w:rPr>
        <w:rFonts w:ascii="Symbol" w:hAnsi="Symbol" w:hint="default"/>
      </w:rPr>
    </w:lvl>
    <w:lvl w:ilvl="7" w:tplc="32DEDDC8" w:tentative="1">
      <w:start w:val="1"/>
      <w:numFmt w:val="bullet"/>
      <w:lvlText w:val="o"/>
      <w:lvlJc w:val="left"/>
      <w:pPr>
        <w:ind w:left="5760" w:hanging="360"/>
      </w:pPr>
      <w:rPr>
        <w:rFonts w:ascii="Courier New" w:hAnsi="Courier New" w:cs="Courier New" w:hint="default"/>
      </w:rPr>
    </w:lvl>
    <w:lvl w:ilvl="8" w:tplc="E0386D4A"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1"/>
  </w:num>
  <w:num w:numId="8">
    <w:abstractNumId w:val="16"/>
  </w:num>
  <w:num w:numId="9">
    <w:abstractNumId w:val="17"/>
  </w:num>
  <w:num w:numId="10">
    <w:abstractNumId w:val="13"/>
  </w:num>
  <w:num w:numId="11">
    <w:abstractNumId w:val="10"/>
  </w:num>
  <w:num w:numId="12">
    <w:abstractNumId w:val="14"/>
  </w:num>
  <w:num w:numId="13">
    <w:abstractNumId w:val="8"/>
  </w:num>
  <w:num w:numId="14">
    <w:abstractNumId w:val="2"/>
  </w:num>
  <w:num w:numId="15">
    <w:abstractNumId w:val="15"/>
  </w:num>
  <w:num w:numId="16">
    <w:abstractNumId w:val="0"/>
  </w:num>
  <w:num w:numId="17">
    <w:abstractNumId w:val="18"/>
  </w:num>
  <w:num w:numId="18">
    <w:abstractNumId w:val="9"/>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47A9B"/>
    <w:rsid w:val="00050663"/>
    <w:rsid w:val="00050E93"/>
    <w:rsid w:val="00052F10"/>
    <w:rsid w:val="00052FF9"/>
    <w:rsid w:val="00054E73"/>
    <w:rsid w:val="00056420"/>
    <w:rsid w:val="0005729C"/>
    <w:rsid w:val="00060928"/>
    <w:rsid w:val="00064D3C"/>
    <w:rsid w:val="0006606D"/>
    <w:rsid w:val="00066BDB"/>
    <w:rsid w:val="00067953"/>
    <w:rsid w:val="000706BA"/>
    <w:rsid w:val="00070B92"/>
    <w:rsid w:val="000718EE"/>
    <w:rsid w:val="00073160"/>
    <w:rsid w:val="00073585"/>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6B7E"/>
    <w:rsid w:val="000A7049"/>
    <w:rsid w:val="000B0E51"/>
    <w:rsid w:val="000B0EE8"/>
    <w:rsid w:val="000B3FAE"/>
    <w:rsid w:val="000B471C"/>
    <w:rsid w:val="000B71C6"/>
    <w:rsid w:val="000C2F0B"/>
    <w:rsid w:val="000C32D8"/>
    <w:rsid w:val="000C33AB"/>
    <w:rsid w:val="000C346E"/>
    <w:rsid w:val="000C550D"/>
    <w:rsid w:val="000C75FD"/>
    <w:rsid w:val="000D07B1"/>
    <w:rsid w:val="000D1F9E"/>
    <w:rsid w:val="000D3975"/>
    <w:rsid w:val="000D439D"/>
    <w:rsid w:val="000D5007"/>
    <w:rsid w:val="000D5FE3"/>
    <w:rsid w:val="000D7108"/>
    <w:rsid w:val="000E0A8A"/>
    <w:rsid w:val="000E2793"/>
    <w:rsid w:val="000E2975"/>
    <w:rsid w:val="000E3D04"/>
    <w:rsid w:val="000E779F"/>
    <w:rsid w:val="000E781C"/>
    <w:rsid w:val="000F031D"/>
    <w:rsid w:val="000F0BD4"/>
    <w:rsid w:val="000F0ECA"/>
    <w:rsid w:val="000F1133"/>
    <w:rsid w:val="000F33DC"/>
    <w:rsid w:val="000F3EAC"/>
    <w:rsid w:val="000F40AF"/>
    <w:rsid w:val="000F4139"/>
    <w:rsid w:val="000F4A85"/>
    <w:rsid w:val="000F5DDC"/>
    <w:rsid w:val="000F7CAB"/>
    <w:rsid w:val="00100AE5"/>
    <w:rsid w:val="0010186F"/>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1D4B"/>
    <w:rsid w:val="00132ED1"/>
    <w:rsid w:val="00133384"/>
    <w:rsid w:val="00133DB6"/>
    <w:rsid w:val="001343A1"/>
    <w:rsid w:val="0013442E"/>
    <w:rsid w:val="001353DD"/>
    <w:rsid w:val="001371F0"/>
    <w:rsid w:val="0013763C"/>
    <w:rsid w:val="00141888"/>
    <w:rsid w:val="00142115"/>
    <w:rsid w:val="0014229A"/>
    <w:rsid w:val="00142F71"/>
    <w:rsid w:val="00142F72"/>
    <w:rsid w:val="00143EDD"/>
    <w:rsid w:val="00144C67"/>
    <w:rsid w:val="00144CD6"/>
    <w:rsid w:val="00144F03"/>
    <w:rsid w:val="00146100"/>
    <w:rsid w:val="001472FC"/>
    <w:rsid w:val="001474C5"/>
    <w:rsid w:val="001513FE"/>
    <w:rsid w:val="0015200F"/>
    <w:rsid w:val="00153235"/>
    <w:rsid w:val="001537BC"/>
    <w:rsid w:val="0015483F"/>
    <w:rsid w:val="00156E60"/>
    <w:rsid w:val="0015726F"/>
    <w:rsid w:val="00157873"/>
    <w:rsid w:val="0016061D"/>
    <w:rsid w:val="00161A75"/>
    <w:rsid w:val="00164B82"/>
    <w:rsid w:val="00164BA9"/>
    <w:rsid w:val="00166FE3"/>
    <w:rsid w:val="00167449"/>
    <w:rsid w:val="00170461"/>
    <w:rsid w:val="0017071A"/>
    <w:rsid w:val="001712A1"/>
    <w:rsid w:val="00171378"/>
    <w:rsid w:val="0017406E"/>
    <w:rsid w:val="001749ED"/>
    <w:rsid w:val="001750CB"/>
    <w:rsid w:val="00177DF4"/>
    <w:rsid w:val="001804D4"/>
    <w:rsid w:val="001814EF"/>
    <w:rsid w:val="001860B4"/>
    <w:rsid w:val="00186545"/>
    <w:rsid w:val="001867DE"/>
    <w:rsid w:val="0018725C"/>
    <w:rsid w:val="00190517"/>
    <w:rsid w:val="00192F1B"/>
    <w:rsid w:val="00193637"/>
    <w:rsid w:val="001941C9"/>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201"/>
    <w:rsid w:val="001C1A17"/>
    <w:rsid w:val="001C2385"/>
    <w:rsid w:val="001C3136"/>
    <w:rsid w:val="001C3633"/>
    <w:rsid w:val="001C41B6"/>
    <w:rsid w:val="001C623A"/>
    <w:rsid w:val="001C67EF"/>
    <w:rsid w:val="001C6C89"/>
    <w:rsid w:val="001D1076"/>
    <w:rsid w:val="001D1385"/>
    <w:rsid w:val="001D2ECB"/>
    <w:rsid w:val="001D340E"/>
    <w:rsid w:val="001D3E3C"/>
    <w:rsid w:val="001D4545"/>
    <w:rsid w:val="001E2FAE"/>
    <w:rsid w:val="001E4A52"/>
    <w:rsid w:val="001E78F9"/>
    <w:rsid w:val="001E7BF7"/>
    <w:rsid w:val="001E7EAF"/>
    <w:rsid w:val="001F0F02"/>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C13"/>
    <w:rsid w:val="00256FF4"/>
    <w:rsid w:val="002618FB"/>
    <w:rsid w:val="00262FA2"/>
    <w:rsid w:val="002634E2"/>
    <w:rsid w:val="00270BFC"/>
    <w:rsid w:val="00270E19"/>
    <w:rsid w:val="00270EAA"/>
    <w:rsid w:val="00272352"/>
    <w:rsid w:val="0027581E"/>
    <w:rsid w:val="002761DF"/>
    <w:rsid w:val="00276A46"/>
    <w:rsid w:val="00276E1B"/>
    <w:rsid w:val="002771AE"/>
    <w:rsid w:val="00277311"/>
    <w:rsid w:val="00277C5C"/>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4AFD"/>
    <w:rsid w:val="002B5F94"/>
    <w:rsid w:val="002B665C"/>
    <w:rsid w:val="002B668F"/>
    <w:rsid w:val="002B715B"/>
    <w:rsid w:val="002C1302"/>
    <w:rsid w:val="002C3C8F"/>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07DCB"/>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5B5B"/>
    <w:rsid w:val="00326B33"/>
    <w:rsid w:val="003273D3"/>
    <w:rsid w:val="00330C1F"/>
    <w:rsid w:val="00331022"/>
    <w:rsid w:val="00333D9A"/>
    <w:rsid w:val="00336147"/>
    <w:rsid w:val="003369AE"/>
    <w:rsid w:val="003412FE"/>
    <w:rsid w:val="0035064E"/>
    <w:rsid w:val="0035096F"/>
    <w:rsid w:val="003520CA"/>
    <w:rsid w:val="0035399C"/>
    <w:rsid w:val="0035757B"/>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2779"/>
    <w:rsid w:val="003F3956"/>
    <w:rsid w:val="00400CD3"/>
    <w:rsid w:val="0040657F"/>
    <w:rsid w:val="0040658F"/>
    <w:rsid w:val="00407D3F"/>
    <w:rsid w:val="00407DE2"/>
    <w:rsid w:val="00412026"/>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136F"/>
    <w:rsid w:val="00453E2A"/>
    <w:rsid w:val="004562EE"/>
    <w:rsid w:val="00456351"/>
    <w:rsid w:val="00456854"/>
    <w:rsid w:val="00462E7F"/>
    <w:rsid w:val="00463DF9"/>
    <w:rsid w:val="00464964"/>
    <w:rsid w:val="00465B0F"/>
    <w:rsid w:val="00467246"/>
    <w:rsid w:val="00471294"/>
    <w:rsid w:val="0047247F"/>
    <w:rsid w:val="00473299"/>
    <w:rsid w:val="0047639C"/>
    <w:rsid w:val="00480BCE"/>
    <w:rsid w:val="004813D2"/>
    <w:rsid w:val="0048245F"/>
    <w:rsid w:val="00482E9C"/>
    <w:rsid w:val="004843DB"/>
    <w:rsid w:val="00490CD9"/>
    <w:rsid w:val="00492C50"/>
    <w:rsid w:val="0049563C"/>
    <w:rsid w:val="00495E66"/>
    <w:rsid w:val="004976BA"/>
    <w:rsid w:val="004A0AF0"/>
    <w:rsid w:val="004A0C72"/>
    <w:rsid w:val="004A275C"/>
    <w:rsid w:val="004A295D"/>
    <w:rsid w:val="004A3474"/>
    <w:rsid w:val="004A3AE6"/>
    <w:rsid w:val="004A74CC"/>
    <w:rsid w:val="004B4676"/>
    <w:rsid w:val="004B5166"/>
    <w:rsid w:val="004B6140"/>
    <w:rsid w:val="004B6D20"/>
    <w:rsid w:val="004B7DB7"/>
    <w:rsid w:val="004C0EC4"/>
    <w:rsid w:val="004C13EB"/>
    <w:rsid w:val="004C1655"/>
    <w:rsid w:val="004C48CC"/>
    <w:rsid w:val="004C492D"/>
    <w:rsid w:val="004C5105"/>
    <w:rsid w:val="004C56D2"/>
    <w:rsid w:val="004C5822"/>
    <w:rsid w:val="004C6F2C"/>
    <w:rsid w:val="004C7D34"/>
    <w:rsid w:val="004D1250"/>
    <w:rsid w:val="004D1778"/>
    <w:rsid w:val="004D46CE"/>
    <w:rsid w:val="004D4750"/>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1CFC"/>
    <w:rsid w:val="00542A34"/>
    <w:rsid w:val="00544F59"/>
    <w:rsid w:val="005461F2"/>
    <w:rsid w:val="005471CB"/>
    <w:rsid w:val="00551454"/>
    <w:rsid w:val="00551484"/>
    <w:rsid w:val="00552FAD"/>
    <w:rsid w:val="00553031"/>
    <w:rsid w:val="00553D7A"/>
    <w:rsid w:val="00554457"/>
    <w:rsid w:val="00554F85"/>
    <w:rsid w:val="00556181"/>
    <w:rsid w:val="005571E9"/>
    <w:rsid w:val="00560805"/>
    <w:rsid w:val="00560A37"/>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81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4BC8"/>
    <w:rsid w:val="005F5870"/>
    <w:rsid w:val="0060118D"/>
    <w:rsid w:val="00603182"/>
    <w:rsid w:val="00603F47"/>
    <w:rsid w:val="006056E2"/>
    <w:rsid w:val="00610E08"/>
    <w:rsid w:val="00611270"/>
    <w:rsid w:val="00612A19"/>
    <w:rsid w:val="00612D5E"/>
    <w:rsid w:val="00612DDA"/>
    <w:rsid w:val="00614269"/>
    <w:rsid w:val="006144C3"/>
    <w:rsid w:val="00614952"/>
    <w:rsid w:val="00614BCC"/>
    <w:rsid w:val="00615F80"/>
    <w:rsid w:val="00616D29"/>
    <w:rsid w:val="00617B98"/>
    <w:rsid w:val="00621564"/>
    <w:rsid w:val="00630532"/>
    <w:rsid w:val="0063665D"/>
    <w:rsid w:val="006366A3"/>
    <w:rsid w:val="00641674"/>
    <w:rsid w:val="006431B3"/>
    <w:rsid w:val="00645353"/>
    <w:rsid w:val="00645777"/>
    <w:rsid w:val="00645B06"/>
    <w:rsid w:val="00645E51"/>
    <w:rsid w:val="00647081"/>
    <w:rsid w:val="006516B0"/>
    <w:rsid w:val="00652E0E"/>
    <w:rsid w:val="00654E79"/>
    <w:rsid w:val="00657EFD"/>
    <w:rsid w:val="00663EAB"/>
    <w:rsid w:val="006646E1"/>
    <w:rsid w:val="006668E6"/>
    <w:rsid w:val="00670F2B"/>
    <w:rsid w:val="0067409C"/>
    <w:rsid w:val="006743B4"/>
    <w:rsid w:val="00674509"/>
    <w:rsid w:val="006758D9"/>
    <w:rsid w:val="00676C0B"/>
    <w:rsid w:val="0067778F"/>
    <w:rsid w:val="00680703"/>
    <w:rsid w:val="00681F46"/>
    <w:rsid w:val="00684B42"/>
    <w:rsid w:val="00685685"/>
    <w:rsid w:val="00686B6D"/>
    <w:rsid w:val="00686E01"/>
    <w:rsid w:val="006877B6"/>
    <w:rsid w:val="00687CF4"/>
    <w:rsid w:val="00696611"/>
    <w:rsid w:val="00696808"/>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4BF1"/>
    <w:rsid w:val="006E5D28"/>
    <w:rsid w:val="006E6550"/>
    <w:rsid w:val="006E7957"/>
    <w:rsid w:val="006E7D50"/>
    <w:rsid w:val="006F0C22"/>
    <w:rsid w:val="006F1E18"/>
    <w:rsid w:val="006F1EDF"/>
    <w:rsid w:val="006F2048"/>
    <w:rsid w:val="006F29F7"/>
    <w:rsid w:val="006F34EB"/>
    <w:rsid w:val="006F506E"/>
    <w:rsid w:val="006F5C83"/>
    <w:rsid w:val="00700B49"/>
    <w:rsid w:val="007010A1"/>
    <w:rsid w:val="00702511"/>
    <w:rsid w:val="00702ED2"/>
    <w:rsid w:val="007030F0"/>
    <w:rsid w:val="00704331"/>
    <w:rsid w:val="007045F6"/>
    <w:rsid w:val="007050C9"/>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2600"/>
    <w:rsid w:val="0074343C"/>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4A80"/>
    <w:rsid w:val="0077510D"/>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125"/>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CB0"/>
    <w:rsid w:val="007E0F0A"/>
    <w:rsid w:val="007E140B"/>
    <w:rsid w:val="007E1EB5"/>
    <w:rsid w:val="007E394E"/>
    <w:rsid w:val="007E63B9"/>
    <w:rsid w:val="007F2E40"/>
    <w:rsid w:val="007F4DE7"/>
    <w:rsid w:val="007F74D2"/>
    <w:rsid w:val="00800596"/>
    <w:rsid w:val="00801151"/>
    <w:rsid w:val="00805CE4"/>
    <w:rsid w:val="00806F1F"/>
    <w:rsid w:val="00807E47"/>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140D"/>
    <w:rsid w:val="008B2264"/>
    <w:rsid w:val="008B27A1"/>
    <w:rsid w:val="008B3313"/>
    <w:rsid w:val="008B620A"/>
    <w:rsid w:val="008B6DDA"/>
    <w:rsid w:val="008C21F9"/>
    <w:rsid w:val="008C33FC"/>
    <w:rsid w:val="008C512A"/>
    <w:rsid w:val="008C710A"/>
    <w:rsid w:val="008C7110"/>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07A"/>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961B8"/>
    <w:rsid w:val="009A1602"/>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000"/>
    <w:rsid w:val="009C7E3D"/>
    <w:rsid w:val="009D1AB8"/>
    <w:rsid w:val="009D2FF9"/>
    <w:rsid w:val="009D4305"/>
    <w:rsid w:val="009D5459"/>
    <w:rsid w:val="009D68BA"/>
    <w:rsid w:val="009D6A33"/>
    <w:rsid w:val="009D78DB"/>
    <w:rsid w:val="009E0994"/>
    <w:rsid w:val="009E0AAD"/>
    <w:rsid w:val="009E27FB"/>
    <w:rsid w:val="009E3490"/>
    <w:rsid w:val="009E5A18"/>
    <w:rsid w:val="009F119F"/>
    <w:rsid w:val="009F1390"/>
    <w:rsid w:val="009F3067"/>
    <w:rsid w:val="009F4EAA"/>
    <w:rsid w:val="009F748A"/>
    <w:rsid w:val="009F78A1"/>
    <w:rsid w:val="00A01454"/>
    <w:rsid w:val="00A029B5"/>
    <w:rsid w:val="00A03CA3"/>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36ABF"/>
    <w:rsid w:val="00A41052"/>
    <w:rsid w:val="00A416F9"/>
    <w:rsid w:val="00A420C3"/>
    <w:rsid w:val="00A4299E"/>
    <w:rsid w:val="00A42B2B"/>
    <w:rsid w:val="00A4686B"/>
    <w:rsid w:val="00A50841"/>
    <w:rsid w:val="00A515F2"/>
    <w:rsid w:val="00A51BED"/>
    <w:rsid w:val="00A52AB9"/>
    <w:rsid w:val="00A53CD1"/>
    <w:rsid w:val="00A53FD2"/>
    <w:rsid w:val="00A548BB"/>
    <w:rsid w:val="00A566D4"/>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0A39"/>
    <w:rsid w:val="00A91116"/>
    <w:rsid w:val="00A91CD3"/>
    <w:rsid w:val="00AA0C01"/>
    <w:rsid w:val="00AA198F"/>
    <w:rsid w:val="00AA2932"/>
    <w:rsid w:val="00AA347A"/>
    <w:rsid w:val="00AA5F95"/>
    <w:rsid w:val="00AA6341"/>
    <w:rsid w:val="00AA6D6C"/>
    <w:rsid w:val="00AA7586"/>
    <w:rsid w:val="00AB02D6"/>
    <w:rsid w:val="00AB15F9"/>
    <w:rsid w:val="00AB2600"/>
    <w:rsid w:val="00AB3186"/>
    <w:rsid w:val="00AB40A9"/>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466BA"/>
    <w:rsid w:val="00B50F72"/>
    <w:rsid w:val="00B51787"/>
    <w:rsid w:val="00B55C75"/>
    <w:rsid w:val="00B55E3A"/>
    <w:rsid w:val="00B62973"/>
    <w:rsid w:val="00B6364C"/>
    <w:rsid w:val="00B65B71"/>
    <w:rsid w:val="00B6657F"/>
    <w:rsid w:val="00B67A12"/>
    <w:rsid w:val="00B67B62"/>
    <w:rsid w:val="00B70F94"/>
    <w:rsid w:val="00B7205D"/>
    <w:rsid w:val="00B7299C"/>
    <w:rsid w:val="00B72D6E"/>
    <w:rsid w:val="00B77A08"/>
    <w:rsid w:val="00B807F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A4EBA"/>
    <w:rsid w:val="00BB06F1"/>
    <w:rsid w:val="00BB0B61"/>
    <w:rsid w:val="00BB2CB3"/>
    <w:rsid w:val="00BB3D20"/>
    <w:rsid w:val="00BB43FF"/>
    <w:rsid w:val="00BB44DD"/>
    <w:rsid w:val="00BB49A0"/>
    <w:rsid w:val="00BB6032"/>
    <w:rsid w:val="00BB6F00"/>
    <w:rsid w:val="00BB72E6"/>
    <w:rsid w:val="00BB788E"/>
    <w:rsid w:val="00BC16C8"/>
    <w:rsid w:val="00BC1C5E"/>
    <w:rsid w:val="00BC29FC"/>
    <w:rsid w:val="00BC3C04"/>
    <w:rsid w:val="00BC3C0A"/>
    <w:rsid w:val="00BC4188"/>
    <w:rsid w:val="00BC419A"/>
    <w:rsid w:val="00BC4A34"/>
    <w:rsid w:val="00BC531B"/>
    <w:rsid w:val="00BC542A"/>
    <w:rsid w:val="00BC5C45"/>
    <w:rsid w:val="00BC6700"/>
    <w:rsid w:val="00BC7D0B"/>
    <w:rsid w:val="00BD17B8"/>
    <w:rsid w:val="00BD2326"/>
    <w:rsid w:val="00BD5370"/>
    <w:rsid w:val="00BE1752"/>
    <w:rsid w:val="00BE2693"/>
    <w:rsid w:val="00BE2AFA"/>
    <w:rsid w:val="00BE2DA2"/>
    <w:rsid w:val="00BE499B"/>
    <w:rsid w:val="00BF31DB"/>
    <w:rsid w:val="00BF4421"/>
    <w:rsid w:val="00BF4445"/>
    <w:rsid w:val="00BF445F"/>
    <w:rsid w:val="00BF559D"/>
    <w:rsid w:val="00BF5950"/>
    <w:rsid w:val="00BF788D"/>
    <w:rsid w:val="00C0011C"/>
    <w:rsid w:val="00C00E59"/>
    <w:rsid w:val="00C01FE2"/>
    <w:rsid w:val="00C02E3D"/>
    <w:rsid w:val="00C037AA"/>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344D"/>
    <w:rsid w:val="00C46301"/>
    <w:rsid w:val="00C474CA"/>
    <w:rsid w:val="00C50A9E"/>
    <w:rsid w:val="00C50E25"/>
    <w:rsid w:val="00C52F23"/>
    <w:rsid w:val="00C5324A"/>
    <w:rsid w:val="00C53812"/>
    <w:rsid w:val="00C60FD4"/>
    <w:rsid w:val="00C63603"/>
    <w:rsid w:val="00C65A7F"/>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A63"/>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4C36"/>
    <w:rsid w:val="00CB5618"/>
    <w:rsid w:val="00CB5C75"/>
    <w:rsid w:val="00CB65B6"/>
    <w:rsid w:val="00CB6D81"/>
    <w:rsid w:val="00CC51A2"/>
    <w:rsid w:val="00CC6E3B"/>
    <w:rsid w:val="00CC7852"/>
    <w:rsid w:val="00CC78A4"/>
    <w:rsid w:val="00CC7989"/>
    <w:rsid w:val="00CD1822"/>
    <w:rsid w:val="00CD1DFB"/>
    <w:rsid w:val="00CD215C"/>
    <w:rsid w:val="00CD2312"/>
    <w:rsid w:val="00CD3AFE"/>
    <w:rsid w:val="00CD4B9F"/>
    <w:rsid w:val="00CD4BE4"/>
    <w:rsid w:val="00CD5226"/>
    <w:rsid w:val="00CD5B2C"/>
    <w:rsid w:val="00CD5D4F"/>
    <w:rsid w:val="00CD7A7E"/>
    <w:rsid w:val="00CE25F7"/>
    <w:rsid w:val="00CE35A4"/>
    <w:rsid w:val="00CE44EE"/>
    <w:rsid w:val="00CE4CBD"/>
    <w:rsid w:val="00CE61ED"/>
    <w:rsid w:val="00CE6A97"/>
    <w:rsid w:val="00CF1658"/>
    <w:rsid w:val="00CF5024"/>
    <w:rsid w:val="00CF7906"/>
    <w:rsid w:val="00D00328"/>
    <w:rsid w:val="00D02989"/>
    <w:rsid w:val="00D02D66"/>
    <w:rsid w:val="00D032C1"/>
    <w:rsid w:val="00D03866"/>
    <w:rsid w:val="00D050A2"/>
    <w:rsid w:val="00D07BFD"/>
    <w:rsid w:val="00D118C0"/>
    <w:rsid w:val="00D11ACB"/>
    <w:rsid w:val="00D122B6"/>
    <w:rsid w:val="00D13394"/>
    <w:rsid w:val="00D14C77"/>
    <w:rsid w:val="00D15300"/>
    <w:rsid w:val="00D15364"/>
    <w:rsid w:val="00D15F5E"/>
    <w:rsid w:val="00D17046"/>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310"/>
    <w:rsid w:val="00D51D14"/>
    <w:rsid w:val="00D532AC"/>
    <w:rsid w:val="00D54289"/>
    <w:rsid w:val="00D57E17"/>
    <w:rsid w:val="00D615FC"/>
    <w:rsid w:val="00D63C48"/>
    <w:rsid w:val="00D63FE1"/>
    <w:rsid w:val="00D64CFC"/>
    <w:rsid w:val="00D66255"/>
    <w:rsid w:val="00D671E3"/>
    <w:rsid w:val="00D6789F"/>
    <w:rsid w:val="00D71448"/>
    <w:rsid w:val="00D71CED"/>
    <w:rsid w:val="00D7267D"/>
    <w:rsid w:val="00D73584"/>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A6607"/>
    <w:rsid w:val="00DB0EE4"/>
    <w:rsid w:val="00DB2121"/>
    <w:rsid w:val="00DB3F4C"/>
    <w:rsid w:val="00DB4E4A"/>
    <w:rsid w:val="00DB6550"/>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4DEF"/>
    <w:rsid w:val="00E36A35"/>
    <w:rsid w:val="00E40627"/>
    <w:rsid w:val="00E41ED2"/>
    <w:rsid w:val="00E43949"/>
    <w:rsid w:val="00E445B8"/>
    <w:rsid w:val="00E46000"/>
    <w:rsid w:val="00E503B5"/>
    <w:rsid w:val="00E50C78"/>
    <w:rsid w:val="00E51353"/>
    <w:rsid w:val="00E52343"/>
    <w:rsid w:val="00E532C1"/>
    <w:rsid w:val="00E54BA9"/>
    <w:rsid w:val="00E56AB0"/>
    <w:rsid w:val="00E610B7"/>
    <w:rsid w:val="00E62BDB"/>
    <w:rsid w:val="00E6524A"/>
    <w:rsid w:val="00E665D8"/>
    <w:rsid w:val="00E66B9A"/>
    <w:rsid w:val="00E66BA3"/>
    <w:rsid w:val="00E6783B"/>
    <w:rsid w:val="00E71D38"/>
    <w:rsid w:val="00E723E4"/>
    <w:rsid w:val="00E73941"/>
    <w:rsid w:val="00E74692"/>
    <w:rsid w:val="00E74FE9"/>
    <w:rsid w:val="00E7644E"/>
    <w:rsid w:val="00E7700F"/>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19BA"/>
    <w:rsid w:val="00EE28BA"/>
    <w:rsid w:val="00EE38B7"/>
    <w:rsid w:val="00EE662C"/>
    <w:rsid w:val="00EF02EC"/>
    <w:rsid w:val="00EF1001"/>
    <w:rsid w:val="00EF6013"/>
    <w:rsid w:val="00EF6826"/>
    <w:rsid w:val="00EF740A"/>
    <w:rsid w:val="00EF7F40"/>
    <w:rsid w:val="00F04298"/>
    <w:rsid w:val="00F04C55"/>
    <w:rsid w:val="00F04D3E"/>
    <w:rsid w:val="00F055CD"/>
    <w:rsid w:val="00F10B2C"/>
    <w:rsid w:val="00F10D5B"/>
    <w:rsid w:val="00F11304"/>
    <w:rsid w:val="00F11EDB"/>
    <w:rsid w:val="00F133A3"/>
    <w:rsid w:val="00F14181"/>
    <w:rsid w:val="00F14194"/>
    <w:rsid w:val="00F1475C"/>
    <w:rsid w:val="00F14F50"/>
    <w:rsid w:val="00F20242"/>
    <w:rsid w:val="00F23422"/>
    <w:rsid w:val="00F23627"/>
    <w:rsid w:val="00F24A43"/>
    <w:rsid w:val="00F25432"/>
    <w:rsid w:val="00F25A6E"/>
    <w:rsid w:val="00F27BB0"/>
    <w:rsid w:val="00F30AD4"/>
    <w:rsid w:val="00F3141F"/>
    <w:rsid w:val="00F3173C"/>
    <w:rsid w:val="00F3420D"/>
    <w:rsid w:val="00F344C7"/>
    <w:rsid w:val="00F36D02"/>
    <w:rsid w:val="00F40C89"/>
    <w:rsid w:val="00F42389"/>
    <w:rsid w:val="00F428A5"/>
    <w:rsid w:val="00F42979"/>
    <w:rsid w:val="00F432C0"/>
    <w:rsid w:val="00F43D62"/>
    <w:rsid w:val="00F457DD"/>
    <w:rsid w:val="00F45D90"/>
    <w:rsid w:val="00F47FC9"/>
    <w:rsid w:val="00F50EA4"/>
    <w:rsid w:val="00F5129A"/>
    <w:rsid w:val="00F52404"/>
    <w:rsid w:val="00F5356A"/>
    <w:rsid w:val="00F61D79"/>
    <w:rsid w:val="00F63BEE"/>
    <w:rsid w:val="00F66550"/>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57FF"/>
    <w:rsid w:val="00F96D34"/>
    <w:rsid w:val="00FA429E"/>
    <w:rsid w:val="00FA6EBF"/>
    <w:rsid w:val="00FB748C"/>
    <w:rsid w:val="00FC1FBB"/>
    <w:rsid w:val="00FC5F81"/>
    <w:rsid w:val="00FC75C5"/>
    <w:rsid w:val="00FD000E"/>
    <w:rsid w:val="00FD1E91"/>
    <w:rsid w:val="00FD2074"/>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88D04E"/>
  <w15:docId w15:val="{400C101D-74D4-4A40-A68B-65A3DA9C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7EF"/>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טקסט הערת שוליים חדש,number"/>
    <w:basedOn w:val="DefaultParagraphFont"/>
    <w:uiPriority w:val="99"/>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rsid w:val="000F40AF"/>
    <w:rPr>
      <w:rFonts w:ascii="Calibri" w:eastAsia="Times New Roman" w:hAnsi="Calibri" w:cs="Calibri"/>
      <w:sz w:val="24"/>
      <w:szCs w:val="24"/>
    </w:rPr>
  </w:style>
  <w:style w:type="paragraph" w:styleId="Caption">
    <w:name w:val="caption"/>
    <w:basedOn w:val="Normal"/>
    <w:next w:val="Normal"/>
    <w:uiPriority w:val="35"/>
    <w:unhideWhenUsed/>
    <w:qFormat/>
    <w:rsid w:val="00D1530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CD55-7005-4C98-9243-D2EE3B8B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3550</Characters>
  <Application>Microsoft Office Word</Application>
  <DocSecurity>4</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רוסול דכוור</cp:lastModifiedBy>
  <cp:revision>2</cp:revision>
  <dcterms:created xsi:type="dcterms:W3CDTF">2025-06-04T06:56:00Z</dcterms:created>
  <dcterms:modified xsi:type="dcterms:W3CDTF">2025-06-04T06:56:00Z</dcterms:modified>
</cp:coreProperties>
</file>