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0105E584" w:rsidR="00650B9A" w:rsidRDefault="00125AB8" w:rsidP="00A60E0E">
      <w:pPr>
        <w:pStyle w:val="regpar"/>
        <w:spacing w:line="300" w:lineRule="atLeast"/>
        <w:ind w:firstLine="0"/>
        <w:jc w:val="center"/>
        <w:rPr>
          <w:rFonts w:ascii="Times New Roman" w:hAnsi="Times New Roman" w:cs="David"/>
          <w:bCs/>
        </w:rPr>
      </w:pPr>
      <w:r>
        <w:rPr>
          <w:noProof/>
        </w:rPr>
        <w:drawing>
          <wp:inline distT="0" distB="0" distL="0" distR="0" wp14:anchorId="48CFD75F" wp14:editId="68863E03">
            <wp:extent cx="2924175" cy="9715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4175" cy="971550"/>
                    </a:xfrm>
                    <a:prstGeom prst="rect">
                      <a:avLst/>
                    </a:prstGeom>
                    <a:noFill/>
                    <a:ln>
                      <a:noFill/>
                    </a:ln>
                  </pic:spPr>
                </pic:pic>
              </a:graphicData>
            </a:graphic>
          </wp:inline>
        </w:drawing>
      </w:r>
    </w:p>
    <w:p w14:paraId="5A42A60F" w14:textId="77777777" w:rsidR="00125AB8" w:rsidRDefault="00125AB8" w:rsidP="00A60E0E">
      <w:pPr>
        <w:pStyle w:val="regpar"/>
        <w:spacing w:line="300" w:lineRule="atLeast"/>
        <w:ind w:firstLine="0"/>
        <w:jc w:val="center"/>
        <w:rPr>
          <w:rFonts w:ascii="Times New Roman" w:hAnsi="Times New Roman" w:cs="David"/>
          <w:bCs/>
        </w:rPr>
      </w:pPr>
    </w:p>
    <w:p w14:paraId="5FEC0092" w14:textId="77777777" w:rsidR="00650B9A" w:rsidRPr="0012431B" w:rsidRDefault="00650B9A" w:rsidP="00A60E0E">
      <w:pPr>
        <w:pStyle w:val="regpar"/>
        <w:spacing w:line="300" w:lineRule="atLeast"/>
        <w:ind w:firstLine="0"/>
        <w:jc w:val="center"/>
        <w:rPr>
          <w:rFonts w:ascii="Segoe UI" w:hAnsi="Segoe UI" w:cs="Segoe UI"/>
          <w:bCs/>
          <w:sz w:val="22"/>
          <w:szCs w:val="22"/>
        </w:rPr>
      </w:pPr>
      <w:r w:rsidRPr="0012431B">
        <w:rPr>
          <w:rFonts w:ascii="Segoe UI" w:hAnsi="Segoe UI" w:cs="Segoe UI"/>
          <w:bCs/>
          <w:sz w:val="22"/>
          <w:szCs w:val="22"/>
        </w:rPr>
        <w:t>BANK OF ISRAEL</w:t>
      </w:r>
    </w:p>
    <w:p w14:paraId="7BDED074" w14:textId="1F140308" w:rsidR="00650B9A" w:rsidRPr="0012431B" w:rsidRDefault="00650B9A" w:rsidP="0009048D">
      <w:pPr>
        <w:pStyle w:val="regpar"/>
        <w:spacing w:line="300" w:lineRule="atLeast"/>
        <w:ind w:firstLine="0"/>
        <w:jc w:val="center"/>
        <w:rPr>
          <w:rFonts w:ascii="Segoe UI" w:hAnsi="Segoe UI" w:cs="Segoe UI"/>
          <w:sz w:val="22"/>
          <w:szCs w:val="22"/>
        </w:rPr>
      </w:pPr>
      <w:r w:rsidRPr="0012431B">
        <w:rPr>
          <w:rFonts w:ascii="Segoe UI" w:hAnsi="Segoe UI" w:cs="Segoe UI"/>
          <w:sz w:val="22"/>
          <w:szCs w:val="22"/>
        </w:rPr>
        <w:t xml:space="preserve">Office of the </w:t>
      </w:r>
      <w:r w:rsidR="0009048D" w:rsidRPr="0012431B">
        <w:rPr>
          <w:rFonts w:ascii="Segoe UI" w:hAnsi="Segoe UI" w:cs="Segoe UI"/>
          <w:sz w:val="22"/>
          <w:szCs w:val="22"/>
        </w:rPr>
        <w:t>Spokesperson and Economic Information</w:t>
      </w:r>
    </w:p>
    <w:p w14:paraId="5DC516B5" w14:textId="6D04FE8F" w:rsidR="0009048D" w:rsidRPr="0012431B" w:rsidRDefault="0009048D" w:rsidP="0009048D">
      <w:pPr>
        <w:pStyle w:val="regpar"/>
        <w:spacing w:line="300" w:lineRule="atLeast"/>
        <w:ind w:firstLine="0"/>
        <w:jc w:val="center"/>
        <w:rPr>
          <w:rFonts w:ascii="Segoe UI" w:hAnsi="Segoe UI" w:cs="Segoe UI"/>
          <w:sz w:val="22"/>
          <w:szCs w:val="22"/>
        </w:rPr>
      </w:pPr>
    </w:p>
    <w:p w14:paraId="73A6A7DC" w14:textId="3569AD15" w:rsidR="0009048D" w:rsidRPr="0012431B" w:rsidRDefault="0009048D" w:rsidP="0009048D">
      <w:pPr>
        <w:pStyle w:val="regpar"/>
        <w:spacing w:line="300" w:lineRule="atLeast"/>
        <w:ind w:firstLine="0"/>
        <w:jc w:val="center"/>
        <w:rPr>
          <w:rFonts w:ascii="Segoe UI" w:hAnsi="Segoe UI" w:cs="Segoe UI"/>
          <w:sz w:val="22"/>
          <w:szCs w:val="22"/>
        </w:rPr>
      </w:pPr>
      <w:r w:rsidRPr="0012431B">
        <w:rPr>
          <w:rFonts w:ascii="Segoe UI" w:hAnsi="Segoe UI" w:cs="Segoe UI"/>
          <w:sz w:val="22"/>
          <w:szCs w:val="22"/>
        </w:rPr>
        <w:t>Press release</w:t>
      </w:r>
    </w:p>
    <w:p w14:paraId="2DEFF62A" w14:textId="77777777" w:rsidR="00DD0AB5" w:rsidRPr="0012431B" w:rsidRDefault="00DD0AB5" w:rsidP="00A60E0E">
      <w:pPr>
        <w:pStyle w:val="regpar"/>
        <w:spacing w:line="300" w:lineRule="atLeast"/>
        <w:ind w:firstLine="0"/>
        <w:jc w:val="center"/>
        <w:rPr>
          <w:rFonts w:ascii="Segoe UI" w:hAnsi="Segoe UI" w:cs="Segoe UI"/>
          <w:b/>
          <w:sz w:val="22"/>
          <w:szCs w:val="22"/>
        </w:rPr>
      </w:pPr>
    </w:p>
    <w:p w14:paraId="0CD9A423" w14:textId="42065CE9" w:rsidR="007617BD" w:rsidRPr="0012431B" w:rsidRDefault="00BB1CE1" w:rsidP="00651EE8">
      <w:pPr>
        <w:pStyle w:val="regpar"/>
        <w:jc w:val="right"/>
        <w:rPr>
          <w:rFonts w:ascii="Segoe UI" w:hAnsi="Segoe UI" w:cs="Segoe UI"/>
          <w:sz w:val="22"/>
          <w:szCs w:val="22"/>
        </w:rPr>
      </w:pPr>
      <w:r>
        <w:rPr>
          <w:rFonts w:ascii="Segoe UI" w:hAnsi="Segoe UI" w:cs="Segoe UI"/>
          <w:sz w:val="22"/>
          <w:szCs w:val="22"/>
        </w:rPr>
        <w:t>May 20</w:t>
      </w:r>
      <w:r w:rsidR="00443EB3">
        <w:rPr>
          <w:rFonts w:ascii="Segoe UI" w:hAnsi="Segoe UI" w:cs="Segoe UI"/>
          <w:sz w:val="22"/>
          <w:szCs w:val="22"/>
        </w:rPr>
        <w:t>, 2025</w:t>
      </w:r>
    </w:p>
    <w:p w14:paraId="22D7AE78" w14:textId="3BEA9B84" w:rsidR="00F23C43" w:rsidRPr="0012431B" w:rsidRDefault="00F23C43" w:rsidP="00F23C43">
      <w:pPr>
        <w:pStyle w:val="regpar"/>
        <w:rPr>
          <w:rFonts w:ascii="Segoe UI" w:hAnsi="Segoe UI" w:cs="Segoe UI"/>
          <w:sz w:val="22"/>
          <w:szCs w:val="22"/>
        </w:rPr>
      </w:pPr>
    </w:p>
    <w:p w14:paraId="325CE029" w14:textId="30104A21" w:rsidR="00D00CF7" w:rsidRPr="0012431B" w:rsidRDefault="00D00CF7" w:rsidP="00D00CF7">
      <w:pPr>
        <w:pStyle w:val="regpar"/>
        <w:jc w:val="center"/>
        <w:rPr>
          <w:rFonts w:ascii="Segoe UI" w:hAnsi="Segoe UI" w:cs="Segoe UI"/>
          <w:b/>
          <w:bCs/>
          <w:sz w:val="22"/>
          <w:szCs w:val="22"/>
        </w:rPr>
      </w:pPr>
    </w:p>
    <w:p w14:paraId="7BF8A788" w14:textId="07C83AA3" w:rsidR="00D00CF7" w:rsidRPr="002E350B" w:rsidRDefault="002E350B" w:rsidP="0087598A">
      <w:pPr>
        <w:pStyle w:val="regpar"/>
        <w:ind w:firstLine="0"/>
        <w:jc w:val="center"/>
        <w:rPr>
          <w:rFonts w:ascii="Segoe UI" w:hAnsi="Segoe UI" w:cs="Segoe UI"/>
          <w:b/>
          <w:bCs/>
          <w:sz w:val="22"/>
          <w:szCs w:val="22"/>
        </w:rPr>
      </w:pPr>
      <w:r w:rsidRPr="002E350B">
        <w:rPr>
          <w:rFonts w:ascii="Segoe UI" w:hAnsi="Segoe UI" w:cs="Segoe UI"/>
          <w:b/>
          <w:bCs/>
          <w:sz w:val="22"/>
          <w:szCs w:val="22"/>
        </w:rPr>
        <w:t>New Research Department Policy Paper:</w:t>
      </w:r>
    </w:p>
    <w:p w14:paraId="277E3E62" w14:textId="03205A6B" w:rsidR="002E350B" w:rsidRPr="007064D7" w:rsidRDefault="00B0238F" w:rsidP="002E350B">
      <w:pPr>
        <w:pStyle w:val="regpar"/>
        <w:ind w:firstLine="0"/>
        <w:jc w:val="center"/>
        <w:rPr>
          <w:rFonts w:ascii="Segoe UI" w:hAnsi="Segoe UI" w:cs="Segoe UI"/>
          <w:b/>
          <w:bCs/>
        </w:rPr>
      </w:pPr>
      <w:r>
        <w:rPr>
          <w:rFonts w:ascii="Segoe UI" w:hAnsi="Segoe UI" w:cs="Segoe UI"/>
          <w:b/>
          <w:bCs/>
        </w:rPr>
        <w:t xml:space="preserve">The </w:t>
      </w:r>
      <w:r w:rsidR="002E350B">
        <w:rPr>
          <w:rFonts w:ascii="Segoe UI" w:hAnsi="Segoe UI" w:cs="Segoe UI"/>
          <w:b/>
          <w:bCs/>
        </w:rPr>
        <w:t xml:space="preserve">Two-Pillar Reform of the International Taxation of Multinational </w:t>
      </w:r>
      <w:bookmarkStart w:id="0" w:name="_GoBack"/>
      <w:r w:rsidR="002E350B">
        <w:rPr>
          <w:rFonts w:ascii="Segoe UI" w:hAnsi="Segoe UI" w:cs="Segoe UI"/>
          <w:b/>
          <w:bCs/>
        </w:rPr>
        <w:t>Corporations: Challenges and Policy Recommendations</w:t>
      </w:r>
    </w:p>
    <w:bookmarkEnd w:id="0"/>
    <w:p w14:paraId="57364676" w14:textId="31A5CF0C" w:rsidR="00477DE2" w:rsidRPr="00443EB3" w:rsidRDefault="00477DE2" w:rsidP="00477DE2">
      <w:pPr>
        <w:pStyle w:val="regpar"/>
        <w:ind w:firstLine="0"/>
        <w:jc w:val="center"/>
        <w:rPr>
          <w:rFonts w:ascii="Segoe UI" w:hAnsi="Segoe UI" w:cs="Segoe UI"/>
          <w:b/>
          <w:bCs/>
          <w:sz w:val="22"/>
          <w:szCs w:val="22"/>
        </w:rPr>
      </w:pPr>
    </w:p>
    <w:p w14:paraId="55D9FF65" w14:textId="77777777" w:rsidR="002E350B" w:rsidRDefault="002E350B" w:rsidP="002E350B">
      <w:pPr>
        <w:pStyle w:val="NormalWeb"/>
        <w:numPr>
          <w:ilvl w:val="0"/>
          <w:numId w:val="19"/>
        </w:numPr>
        <w:jc w:val="both"/>
        <w:rPr>
          <w:rFonts w:ascii="Segoe UI" w:hAnsi="Segoe UI" w:cs="Segoe UI"/>
          <w:sz w:val="22"/>
          <w:szCs w:val="22"/>
        </w:rPr>
      </w:pPr>
      <w:r w:rsidRPr="002E350B">
        <w:rPr>
          <w:rFonts w:ascii="Segoe UI" w:hAnsi="Segoe UI" w:cs="Segoe UI"/>
          <w:sz w:val="22"/>
          <w:szCs w:val="22"/>
        </w:rPr>
        <w:t xml:space="preserve">The </w:t>
      </w:r>
      <w:r>
        <w:rPr>
          <w:rFonts w:ascii="Segoe UI" w:hAnsi="Segoe UI" w:cs="Segoe UI"/>
          <w:sz w:val="22"/>
          <w:szCs w:val="22"/>
        </w:rPr>
        <w:t>T</w:t>
      </w:r>
      <w:r w:rsidRPr="002E350B">
        <w:rPr>
          <w:rFonts w:ascii="Segoe UI" w:hAnsi="Segoe UI" w:cs="Segoe UI"/>
          <w:sz w:val="22"/>
          <w:szCs w:val="22"/>
        </w:rPr>
        <w:t>wo-</w:t>
      </w:r>
      <w:r>
        <w:rPr>
          <w:rFonts w:ascii="Segoe UI" w:hAnsi="Segoe UI" w:cs="Segoe UI"/>
          <w:sz w:val="22"/>
          <w:szCs w:val="22"/>
        </w:rPr>
        <w:t>Pillar</w:t>
      </w:r>
      <w:r w:rsidRPr="002E350B">
        <w:rPr>
          <w:rFonts w:ascii="Segoe UI" w:hAnsi="Segoe UI" w:cs="Segoe UI"/>
          <w:sz w:val="22"/>
          <w:szCs w:val="22"/>
        </w:rPr>
        <w:t xml:space="preserve"> </w:t>
      </w:r>
      <w:r>
        <w:rPr>
          <w:rFonts w:ascii="Segoe UI" w:hAnsi="Segoe UI" w:cs="Segoe UI"/>
          <w:sz w:val="22"/>
          <w:szCs w:val="22"/>
        </w:rPr>
        <w:t>R</w:t>
      </w:r>
      <w:r w:rsidRPr="002E350B">
        <w:rPr>
          <w:rFonts w:ascii="Segoe UI" w:hAnsi="Segoe UI" w:cs="Segoe UI"/>
          <w:sz w:val="22"/>
          <w:szCs w:val="22"/>
        </w:rPr>
        <w:t xml:space="preserve">eform in </w:t>
      </w:r>
      <w:r>
        <w:rPr>
          <w:rFonts w:ascii="Segoe UI" w:hAnsi="Segoe UI" w:cs="Segoe UI"/>
          <w:sz w:val="22"/>
          <w:szCs w:val="22"/>
        </w:rPr>
        <w:t>i</w:t>
      </w:r>
      <w:r w:rsidRPr="002E350B">
        <w:rPr>
          <w:rFonts w:ascii="Segoe UI" w:hAnsi="Segoe UI" w:cs="Segoe UI"/>
          <w:sz w:val="22"/>
          <w:szCs w:val="22"/>
        </w:rPr>
        <w:t xml:space="preserve">nternational </w:t>
      </w:r>
      <w:r>
        <w:rPr>
          <w:rFonts w:ascii="Segoe UI" w:hAnsi="Segoe UI" w:cs="Segoe UI"/>
          <w:sz w:val="22"/>
          <w:szCs w:val="22"/>
        </w:rPr>
        <w:t>t</w:t>
      </w:r>
      <w:r w:rsidRPr="002E350B">
        <w:rPr>
          <w:rFonts w:ascii="Segoe UI" w:hAnsi="Segoe UI" w:cs="Segoe UI"/>
          <w:sz w:val="22"/>
          <w:szCs w:val="22"/>
        </w:rPr>
        <w:t>axation aims to ensure fair and efficient taxation of multinational corporations by addressing the challenges posed by the digital and global economy. These challenges include the ability of companies operating in one country to register their income and pay taxes in another country with lower tax rates.</w:t>
      </w:r>
    </w:p>
    <w:p w14:paraId="397CAE4D" w14:textId="77777777" w:rsidR="002E350B" w:rsidRDefault="002E350B" w:rsidP="002E350B">
      <w:pPr>
        <w:pStyle w:val="NormalWeb"/>
        <w:numPr>
          <w:ilvl w:val="0"/>
          <w:numId w:val="19"/>
        </w:numPr>
        <w:jc w:val="both"/>
        <w:rPr>
          <w:rFonts w:ascii="Segoe UI" w:hAnsi="Segoe UI" w:cs="Segoe UI"/>
          <w:sz w:val="22"/>
          <w:szCs w:val="22"/>
        </w:rPr>
      </w:pPr>
      <w:r w:rsidRPr="002E350B">
        <w:rPr>
          <w:rFonts w:ascii="Segoe UI" w:hAnsi="Segoe UI" w:cs="Segoe UI"/>
          <w:sz w:val="22"/>
          <w:szCs w:val="22"/>
        </w:rPr>
        <w:t>The first pillar focuses on taxing large and highly profitable multinational corporations, creating a new taxation right for market destination countries where the economic activity generating the profits took place. The second pillar establishes a global mechanism for an effective minimum tax rate of 15</w:t>
      </w:r>
      <w:r>
        <w:rPr>
          <w:rFonts w:ascii="Segoe UI" w:hAnsi="Segoe UI" w:cs="Segoe UI"/>
          <w:sz w:val="22"/>
          <w:szCs w:val="22"/>
        </w:rPr>
        <w:t xml:space="preserve"> percent</w:t>
      </w:r>
      <w:r w:rsidRPr="002E350B">
        <w:rPr>
          <w:rFonts w:ascii="Segoe UI" w:hAnsi="Segoe UI" w:cs="Segoe UI"/>
          <w:sz w:val="22"/>
          <w:szCs w:val="22"/>
        </w:rPr>
        <w:t>, addressing the phenomenon of profit shifting and base erosion.</w:t>
      </w:r>
    </w:p>
    <w:p w14:paraId="662D5631" w14:textId="00A4DB53" w:rsidR="002E350B" w:rsidRPr="002E350B" w:rsidRDefault="002E350B" w:rsidP="00B0238F">
      <w:pPr>
        <w:pStyle w:val="NormalWeb"/>
        <w:numPr>
          <w:ilvl w:val="0"/>
          <w:numId w:val="19"/>
        </w:numPr>
        <w:jc w:val="both"/>
        <w:rPr>
          <w:rFonts w:ascii="Segoe UI" w:hAnsi="Segoe UI" w:cs="Segoe UI"/>
          <w:sz w:val="22"/>
          <w:szCs w:val="22"/>
        </w:rPr>
      </w:pPr>
      <w:r w:rsidRPr="002E350B">
        <w:rPr>
          <w:rFonts w:ascii="Segoe UI" w:hAnsi="Segoe UI" w:cs="Segoe UI"/>
          <w:sz w:val="22"/>
          <w:szCs w:val="22"/>
        </w:rPr>
        <w:t>The reform necessitates an examination of its potential impacts on Israel</w:t>
      </w:r>
      <w:r w:rsidR="00B65755">
        <w:rPr>
          <w:rFonts w:ascii="Segoe UI" w:hAnsi="Segoe UI" w:cs="Segoe UI"/>
          <w:sz w:val="22"/>
          <w:szCs w:val="22"/>
        </w:rPr>
        <w:t>’</w:t>
      </w:r>
      <w:r w:rsidRPr="002E350B">
        <w:rPr>
          <w:rFonts w:ascii="Segoe UI" w:hAnsi="Segoe UI" w:cs="Segoe UI"/>
          <w:sz w:val="22"/>
          <w:szCs w:val="22"/>
        </w:rPr>
        <w:t>s attractiveness as a destination for foreign investments, while also creating opportunities to increase tax collection and reduce the use of tax benefits.</w:t>
      </w:r>
    </w:p>
    <w:p w14:paraId="2E64071F" w14:textId="0B396BE1" w:rsidR="002E350B" w:rsidRPr="002E350B" w:rsidRDefault="002E350B" w:rsidP="002E350B">
      <w:pPr>
        <w:pStyle w:val="NormalWeb"/>
        <w:jc w:val="both"/>
        <w:rPr>
          <w:rFonts w:ascii="Segoe UI" w:hAnsi="Segoe UI" w:cs="Segoe UI"/>
          <w:sz w:val="22"/>
          <w:szCs w:val="22"/>
        </w:rPr>
      </w:pPr>
      <w:r w:rsidRPr="002E350B">
        <w:rPr>
          <w:rFonts w:ascii="Segoe UI" w:hAnsi="Segoe UI" w:cs="Segoe UI"/>
          <w:sz w:val="22"/>
          <w:szCs w:val="22"/>
        </w:rPr>
        <w:t xml:space="preserve">The current international taxation system, designed over a century ago, </w:t>
      </w:r>
      <w:r>
        <w:rPr>
          <w:rFonts w:ascii="Segoe UI" w:hAnsi="Segoe UI" w:cs="Segoe UI"/>
          <w:sz w:val="22"/>
          <w:szCs w:val="22"/>
        </w:rPr>
        <w:t xml:space="preserve">is </w:t>
      </w:r>
      <w:r w:rsidRPr="002E350B">
        <w:rPr>
          <w:rFonts w:ascii="Segoe UI" w:hAnsi="Segoe UI" w:cs="Segoe UI"/>
          <w:sz w:val="22"/>
          <w:szCs w:val="22"/>
        </w:rPr>
        <w:t>struggl</w:t>
      </w:r>
      <w:r>
        <w:rPr>
          <w:rFonts w:ascii="Segoe UI" w:hAnsi="Segoe UI" w:cs="Segoe UI"/>
          <w:sz w:val="22"/>
          <w:szCs w:val="22"/>
        </w:rPr>
        <w:t>ing</w:t>
      </w:r>
      <w:r w:rsidRPr="002E350B">
        <w:rPr>
          <w:rFonts w:ascii="Segoe UI" w:hAnsi="Segoe UI" w:cs="Segoe UI"/>
          <w:sz w:val="22"/>
          <w:szCs w:val="22"/>
        </w:rPr>
        <w:t xml:space="preserve"> to cope with increased globalization and the modern economy, where much business activity occurs in a virtual space without the need for physical presence. The international tax reform, led by the OECD, aims to address these challenges. It includes two main pillars designed to close gaps in the tax system in the digital age of the global economy. These changes are intended to ensure that the tax system is fairer and more efficient, and meets the needs of the modern economy. A new policy paper written by Dr. </w:t>
      </w:r>
      <w:proofErr w:type="spellStart"/>
      <w:r w:rsidRPr="002E350B">
        <w:rPr>
          <w:rFonts w:ascii="Segoe UI" w:hAnsi="Segoe UI" w:cs="Segoe UI"/>
          <w:sz w:val="22"/>
          <w:szCs w:val="22"/>
        </w:rPr>
        <w:t>Sagit</w:t>
      </w:r>
      <w:proofErr w:type="spellEnd"/>
      <w:r w:rsidRPr="002E350B">
        <w:rPr>
          <w:rFonts w:ascii="Segoe UI" w:hAnsi="Segoe UI" w:cs="Segoe UI"/>
          <w:sz w:val="22"/>
          <w:szCs w:val="22"/>
        </w:rPr>
        <w:t xml:space="preserve"> </w:t>
      </w:r>
      <w:proofErr w:type="spellStart"/>
      <w:r w:rsidRPr="002E350B">
        <w:rPr>
          <w:rFonts w:ascii="Segoe UI" w:hAnsi="Segoe UI" w:cs="Segoe UI"/>
          <w:sz w:val="22"/>
          <w:szCs w:val="22"/>
        </w:rPr>
        <w:t>Leviner</w:t>
      </w:r>
      <w:proofErr w:type="spellEnd"/>
      <w:r w:rsidRPr="002E350B">
        <w:rPr>
          <w:rFonts w:ascii="Segoe UI" w:hAnsi="Segoe UI" w:cs="Segoe UI"/>
          <w:sz w:val="22"/>
          <w:szCs w:val="22"/>
        </w:rPr>
        <w:t xml:space="preserve"> and Yehuda Porat</w:t>
      </w:r>
      <w:r w:rsidR="00B0238F">
        <w:rPr>
          <w:rFonts w:ascii="Segoe UI" w:hAnsi="Segoe UI" w:cs="Segoe UI"/>
          <w:sz w:val="22"/>
          <w:szCs w:val="22"/>
        </w:rPr>
        <w:t>h</w:t>
      </w:r>
      <w:r w:rsidRPr="002E350B">
        <w:rPr>
          <w:rFonts w:ascii="Segoe UI" w:hAnsi="Segoe UI" w:cs="Segoe UI"/>
          <w:sz w:val="22"/>
          <w:szCs w:val="22"/>
        </w:rPr>
        <w:t xml:space="preserve"> </w:t>
      </w:r>
      <w:r>
        <w:rPr>
          <w:rFonts w:ascii="Segoe UI" w:hAnsi="Segoe UI" w:cs="Segoe UI"/>
          <w:sz w:val="22"/>
          <w:szCs w:val="22"/>
        </w:rPr>
        <w:t>of</w:t>
      </w:r>
      <w:r w:rsidRPr="002E350B">
        <w:rPr>
          <w:rFonts w:ascii="Segoe UI" w:hAnsi="Segoe UI" w:cs="Segoe UI"/>
          <w:sz w:val="22"/>
          <w:szCs w:val="22"/>
        </w:rPr>
        <w:t xml:space="preserve"> the</w:t>
      </w:r>
      <w:r>
        <w:rPr>
          <w:rFonts w:ascii="Segoe UI" w:hAnsi="Segoe UI" w:cs="Segoe UI"/>
          <w:sz w:val="22"/>
          <w:szCs w:val="22"/>
        </w:rPr>
        <w:t xml:space="preserve"> Bank of Israel</w:t>
      </w:r>
      <w:r w:rsidRPr="002E350B">
        <w:rPr>
          <w:rFonts w:ascii="Segoe UI" w:hAnsi="Segoe UI" w:cs="Segoe UI"/>
          <w:sz w:val="22"/>
          <w:szCs w:val="22"/>
        </w:rPr>
        <w:t xml:space="preserve"> Research D</w:t>
      </w:r>
      <w:r>
        <w:rPr>
          <w:rFonts w:ascii="Segoe UI" w:hAnsi="Segoe UI" w:cs="Segoe UI"/>
          <w:sz w:val="22"/>
          <w:szCs w:val="22"/>
        </w:rPr>
        <w:t>epartment</w:t>
      </w:r>
      <w:r w:rsidRPr="002E350B">
        <w:rPr>
          <w:rFonts w:ascii="Segoe UI" w:hAnsi="Segoe UI" w:cs="Segoe UI"/>
          <w:sz w:val="22"/>
          <w:szCs w:val="22"/>
        </w:rPr>
        <w:t xml:space="preserve"> reviews the reform from a macroeconomic perspective, explains its components, and discusses its possible implications on investment promotion policies.</w:t>
      </w:r>
    </w:p>
    <w:p w14:paraId="4E71F439" w14:textId="7261C57D" w:rsidR="002E350B" w:rsidRPr="002E350B" w:rsidRDefault="002E350B" w:rsidP="002E350B">
      <w:pPr>
        <w:pStyle w:val="NormalWeb"/>
        <w:jc w:val="both"/>
        <w:rPr>
          <w:rFonts w:ascii="Segoe UI" w:hAnsi="Segoe UI" w:cs="Segoe UI"/>
          <w:sz w:val="22"/>
          <w:szCs w:val="22"/>
        </w:rPr>
      </w:pPr>
      <w:r w:rsidRPr="002E350B">
        <w:rPr>
          <w:rFonts w:ascii="Segoe UI" w:hAnsi="Segoe UI" w:cs="Segoe UI"/>
          <w:sz w:val="22"/>
          <w:szCs w:val="22"/>
        </w:rPr>
        <w:t>The first pillar of the reform focuses on taxing large and highly profitable multinational corporations. It transfers the right to tax a portion of the business profits generated by these companies to market destination countries where the final consumers of the companies</w:t>
      </w:r>
      <w:r w:rsidR="00B65755">
        <w:rPr>
          <w:rFonts w:ascii="Segoe UI" w:hAnsi="Segoe UI" w:cs="Segoe UI"/>
          <w:sz w:val="22"/>
          <w:szCs w:val="22"/>
        </w:rPr>
        <w:t>’</w:t>
      </w:r>
      <w:r w:rsidRPr="002E350B">
        <w:rPr>
          <w:rFonts w:ascii="Segoe UI" w:hAnsi="Segoe UI" w:cs="Segoe UI"/>
          <w:sz w:val="22"/>
          <w:szCs w:val="22"/>
        </w:rPr>
        <w:t xml:space="preserve"> products or services are located. Most of the affected companies are currently based in developed countries, so this pillar is expected to primarily transfer tax revenues from developed to developing countries. However, its impact on the global economy, as well as on Israel</w:t>
      </w:r>
      <w:r w:rsidR="00B65755">
        <w:rPr>
          <w:rFonts w:ascii="Segoe UI" w:hAnsi="Segoe UI" w:cs="Segoe UI"/>
          <w:sz w:val="22"/>
          <w:szCs w:val="22"/>
        </w:rPr>
        <w:t>’</w:t>
      </w:r>
      <w:r w:rsidRPr="002E350B">
        <w:rPr>
          <w:rFonts w:ascii="Segoe UI" w:hAnsi="Segoe UI" w:cs="Segoe UI"/>
          <w:sz w:val="22"/>
          <w:szCs w:val="22"/>
        </w:rPr>
        <w:t>s economy, is expected to be relatively small.</w:t>
      </w:r>
    </w:p>
    <w:p w14:paraId="04B2FEE2" w14:textId="68282761" w:rsidR="002E350B" w:rsidRDefault="002E350B" w:rsidP="00C50988">
      <w:pPr>
        <w:pStyle w:val="NormalWeb"/>
        <w:jc w:val="both"/>
        <w:rPr>
          <w:rFonts w:ascii="Segoe UI" w:hAnsi="Segoe UI" w:cs="Segoe UI"/>
          <w:sz w:val="22"/>
          <w:szCs w:val="22"/>
        </w:rPr>
      </w:pPr>
      <w:r w:rsidRPr="002E350B">
        <w:rPr>
          <w:rFonts w:ascii="Segoe UI" w:hAnsi="Segoe UI" w:cs="Segoe UI"/>
          <w:sz w:val="22"/>
          <w:szCs w:val="22"/>
        </w:rPr>
        <w:lastRenderedPageBreak/>
        <w:t>The second pillar establishes a global mechanism for an effective minimum tax rate of 15</w:t>
      </w:r>
      <w:r>
        <w:rPr>
          <w:rFonts w:ascii="Segoe UI" w:hAnsi="Segoe UI" w:cs="Segoe UI"/>
          <w:sz w:val="22"/>
          <w:szCs w:val="22"/>
        </w:rPr>
        <w:t xml:space="preserve"> percent</w:t>
      </w:r>
      <w:r w:rsidRPr="002E350B">
        <w:rPr>
          <w:rFonts w:ascii="Segoe UI" w:hAnsi="Segoe UI" w:cs="Segoe UI"/>
          <w:sz w:val="22"/>
          <w:szCs w:val="22"/>
        </w:rPr>
        <w:t xml:space="preserve"> for multinational corporations.</w:t>
      </w:r>
      <w:r w:rsidR="00B65755">
        <w:rPr>
          <w:rStyle w:val="a6"/>
          <w:rFonts w:ascii="Segoe UI" w:hAnsi="Segoe UI" w:cs="Segoe UI"/>
        </w:rPr>
        <w:footnoteReference w:id="1"/>
      </w:r>
      <w:r w:rsidRPr="002E350B">
        <w:rPr>
          <w:rFonts w:ascii="Segoe UI" w:hAnsi="Segoe UI" w:cs="Segoe UI"/>
          <w:sz w:val="22"/>
          <w:szCs w:val="22"/>
        </w:rPr>
        <w:t xml:space="preserve"> </w:t>
      </w:r>
      <w:r w:rsidRPr="00B4118F">
        <w:rPr>
          <w:rFonts w:ascii="Segoe UI" w:hAnsi="Segoe UI" w:cs="Segoe UI"/>
          <w:sz w:val="22"/>
          <w:szCs w:val="22"/>
        </w:rPr>
        <w:t>This pillar addresses the ongoing decline in corporate tax rates (</w:t>
      </w:r>
      <w:r w:rsidR="00B65755" w:rsidRPr="00B4118F">
        <w:rPr>
          <w:rFonts w:ascii="Segoe UI" w:hAnsi="Segoe UI" w:cs="Segoe UI"/>
          <w:sz w:val="22"/>
          <w:szCs w:val="22"/>
        </w:rPr>
        <w:t>“</w:t>
      </w:r>
      <w:r w:rsidRPr="00B4118F">
        <w:rPr>
          <w:rFonts w:ascii="Segoe UI" w:hAnsi="Segoe UI" w:cs="Segoe UI"/>
          <w:sz w:val="22"/>
          <w:szCs w:val="22"/>
        </w:rPr>
        <w:t>the race to the bottom</w:t>
      </w:r>
      <w:r w:rsidR="00B65755" w:rsidRPr="00B4118F">
        <w:rPr>
          <w:rFonts w:ascii="Segoe UI" w:hAnsi="Segoe UI" w:cs="Segoe UI"/>
          <w:sz w:val="22"/>
          <w:szCs w:val="22"/>
        </w:rPr>
        <w:t>”</w:t>
      </w:r>
      <w:r w:rsidR="00B4118F">
        <w:rPr>
          <w:rFonts w:ascii="Segoe UI" w:hAnsi="Segoe UI" w:cs="Segoe UI"/>
          <w:sz w:val="22"/>
          <w:szCs w:val="22"/>
        </w:rPr>
        <w:t xml:space="preserve">, </w:t>
      </w:r>
      <w:r w:rsidR="00C50988">
        <w:rPr>
          <w:rFonts w:ascii="Segoe UI" w:hAnsi="Segoe UI" w:cs="Segoe UI"/>
          <w:sz w:val="22"/>
          <w:szCs w:val="22"/>
        </w:rPr>
        <w:t>see the figure below</w:t>
      </w:r>
      <w:r w:rsidRPr="00B4118F">
        <w:rPr>
          <w:rFonts w:ascii="Segoe UI" w:hAnsi="Segoe UI" w:cs="Segoe UI"/>
          <w:sz w:val="22"/>
          <w:szCs w:val="22"/>
        </w:rPr>
        <w:t xml:space="preserve">) and </w:t>
      </w:r>
      <w:r w:rsidR="00B4118F" w:rsidRPr="00B4118F">
        <w:rPr>
          <w:rFonts w:ascii="Segoe UI" w:hAnsi="Segoe UI" w:cs="Segoe UI"/>
          <w:sz w:val="22"/>
          <w:szCs w:val="22"/>
        </w:rPr>
        <w:t xml:space="preserve">the </w:t>
      </w:r>
      <w:r w:rsidRPr="00B4118F">
        <w:rPr>
          <w:rFonts w:ascii="Segoe UI" w:hAnsi="Segoe UI" w:cs="Segoe UI"/>
          <w:sz w:val="22"/>
          <w:szCs w:val="22"/>
        </w:rPr>
        <w:t>profit shifting that has significantly eroded the tax base in recent decades</w:t>
      </w:r>
      <w:r w:rsidRPr="002E350B">
        <w:rPr>
          <w:rFonts w:ascii="Segoe UI" w:hAnsi="Segoe UI" w:cs="Segoe UI"/>
          <w:sz w:val="22"/>
          <w:szCs w:val="22"/>
        </w:rPr>
        <w:t xml:space="preserve">. It does so by setting a limit on international tax competition. The mechanism operates by creating an additional taxation right in countries </w:t>
      </w:r>
      <w:r w:rsidRPr="00B4118F">
        <w:rPr>
          <w:rFonts w:ascii="Segoe UI" w:hAnsi="Segoe UI" w:cs="Segoe UI"/>
          <w:sz w:val="22"/>
          <w:szCs w:val="22"/>
        </w:rPr>
        <w:t>related to the company</w:t>
      </w:r>
      <w:r w:rsidR="00B65755" w:rsidRPr="00B4118F">
        <w:rPr>
          <w:rFonts w:ascii="Segoe UI" w:hAnsi="Segoe UI" w:cs="Segoe UI"/>
          <w:sz w:val="22"/>
          <w:szCs w:val="22"/>
        </w:rPr>
        <w:t>’</w:t>
      </w:r>
      <w:r w:rsidRPr="00B4118F">
        <w:rPr>
          <w:rFonts w:ascii="Segoe UI" w:hAnsi="Segoe UI" w:cs="Segoe UI"/>
          <w:sz w:val="22"/>
          <w:szCs w:val="22"/>
        </w:rPr>
        <w:t>s activities</w:t>
      </w:r>
      <w:r w:rsidRPr="002E350B">
        <w:rPr>
          <w:rFonts w:ascii="Segoe UI" w:hAnsi="Segoe UI" w:cs="Segoe UI"/>
          <w:sz w:val="22"/>
          <w:szCs w:val="22"/>
        </w:rPr>
        <w:t xml:space="preserve"> if a multinational corporation does not reach the minimum tax rate in the country where it operates. It is designed to ensure that multinational corporations pay minimum taxes regardless of where they operate. The scope of the second pillar is broader than that of the first, applying to a larger number of companies and potentially having a more significant impact on the global economy in general, and on Israel</w:t>
      </w:r>
      <w:r w:rsidR="00B65755">
        <w:rPr>
          <w:rFonts w:ascii="Segoe UI" w:hAnsi="Segoe UI" w:cs="Segoe UI"/>
          <w:sz w:val="22"/>
          <w:szCs w:val="22"/>
        </w:rPr>
        <w:t>’</w:t>
      </w:r>
      <w:r w:rsidRPr="002E350B">
        <w:rPr>
          <w:rFonts w:ascii="Segoe UI" w:hAnsi="Segoe UI" w:cs="Segoe UI"/>
          <w:sz w:val="22"/>
          <w:szCs w:val="22"/>
        </w:rPr>
        <w:t>s economy in particular.</w:t>
      </w:r>
    </w:p>
    <w:p w14:paraId="4E6D38F4" w14:textId="5329F3EC" w:rsidR="00C50988" w:rsidRPr="002E350B" w:rsidRDefault="00C50988" w:rsidP="00B4118F">
      <w:pPr>
        <w:pStyle w:val="NormalWeb"/>
        <w:jc w:val="both"/>
        <w:rPr>
          <w:rFonts w:ascii="Segoe UI" w:hAnsi="Segoe UI" w:cs="Segoe UI"/>
          <w:sz w:val="22"/>
          <w:szCs w:val="22"/>
        </w:rPr>
      </w:pPr>
      <w:r>
        <w:rPr>
          <w:noProof/>
        </w:rPr>
        <w:drawing>
          <wp:inline distT="0" distB="0" distL="0" distR="0" wp14:anchorId="0B7F858C" wp14:editId="4B686565">
            <wp:extent cx="5760720" cy="3841750"/>
            <wp:effectExtent l="0" t="0" r="11430" b="6350"/>
            <wp:docPr id="3" name="Chart 3">
              <a:extLst xmlns:a="http://schemas.openxmlformats.org/drawingml/2006/main">
                <a:ext uri="{FF2B5EF4-FFF2-40B4-BE49-F238E27FC236}">
                  <a16:creationId xmlns:a16="http://schemas.microsoft.com/office/drawing/2014/main" id="{1E493007-506E-4ADD-B058-5CBB44D2CC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E8E536" w14:textId="0BBE3327" w:rsidR="002E350B" w:rsidRPr="002E350B" w:rsidRDefault="002E350B" w:rsidP="00B4118F">
      <w:pPr>
        <w:pStyle w:val="NormalWeb"/>
        <w:jc w:val="both"/>
        <w:rPr>
          <w:rFonts w:ascii="Segoe UI" w:hAnsi="Segoe UI" w:cs="Segoe UI"/>
          <w:sz w:val="22"/>
          <w:szCs w:val="22"/>
        </w:rPr>
      </w:pPr>
      <w:r w:rsidRPr="002E350B">
        <w:rPr>
          <w:rFonts w:ascii="Segoe UI" w:hAnsi="Segoe UI" w:cs="Segoe UI"/>
          <w:sz w:val="22"/>
          <w:szCs w:val="22"/>
        </w:rPr>
        <w:t>As of now, 147 countries have joined the Two-Pillar Reform in principle through the OECD</w:t>
      </w:r>
      <w:r w:rsidR="00B65755">
        <w:rPr>
          <w:rFonts w:ascii="Segoe UI" w:hAnsi="Segoe UI" w:cs="Segoe UI"/>
          <w:sz w:val="22"/>
          <w:szCs w:val="22"/>
        </w:rPr>
        <w:t>’</w:t>
      </w:r>
      <w:r w:rsidRPr="002E350B">
        <w:rPr>
          <w:rFonts w:ascii="Segoe UI" w:hAnsi="Segoe UI" w:cs="Segoe UI"/>
          <w:sz w:val="22"/>
          <w:szCs w:val="22"/>
        </w:rPr>
        <w:t>s Inclusive Framework. Of the 118 countries that have joined the Inclusive Framework and for which data is available in PwC</w:t>
      </w:r>
      <w:r w:rsidR="00B65755">
        <w:rPr>
          <w:rFonts w:ascii="Segoe UI" w:hAnsi="Segoe UI" w:cs="Segoe UI"/>
          <w:sz w:val="22"/>
          <w:szCs w:val="22"/>
        </w:rPr>
        <w:t>’</w:t>
      </w:r>
      <w:r w:rsidRPr="002E350B">
        <w:rPr>
          <w:rFonts w:ascii="Segoe UI" w:hAnsi="Segoe UI" w:cs="Segoe UI"/>
          <w:sz w:val="22"/>
          <w:szCs w:val="22"/>
        </w:rPr>
        <w:t>s databases, 58 countries have already published detailed plans for implementing the reform or adopted the second pillar arrangements in local legislation, and 12 others have announced plans related to the reform or sought public comments, including Israel. OECD and G20 countries are leading the implementation of the reform. However, there is still much work to be done to complete the implementation of the reform in all of the Inclusive Framework</w:t>
      </w:r>
      <w:r w:rsidR="00B65755">
        <w:rPr>
          <w:rFonts w:ascii="Segoe UI" w:hAnsi="Segoe UI" w:cs="Segoe UI"/>
          <w:sz w:val="22"/>
          <w:szCs w:val="22"/>
        </w:rPr>
        <w:t xml:space="preserve"> </w:t>
      </w:r>
      <w:r w:rsidR="00B65755" w:rsidRPr="002E350B">
        <w:rPr>
          <w:rFonts w:ascii="Segoe UI" w:hAnsi="Segoe UI" w:cs="Segoe UI"/>
          <w:sz w:val="22"/>
          <w:szCs w:val="22"/>
        </w:rPr>
        <w:t>member countries</w:t>
      </w:r>
      <w:r w:rsidRPr="002E350B">
        <w:rPr>
          <w:rFonts w:ascii="Segoe UI" w:hAnsi="Segoe UI" w:cs="Segoe UI"/>
          <w:sz w:val="22"/>
          <w:szCs w:val="22"/>
        </w:rPr>
        <w:t>. Given the US administration</w:t>
      </w:r>
      <w:r w:rsidR="00B65755">
        <w:rPr>
          <w:rFonts w:ascii="Segoe UI" w:hAnsi="Segoe UI" w:cs="Segoe UI"/>
          <w:sz w:val="22"/>
          <w:szCs w:val="22"/>
        </w:rPr>
        <w:t>’</w:t>
      </w:r>
      <w:r w:rsidRPr="002E350B">
        <w:rPr>
          <w:rFonts w:ascii="Segoe UI" w:hAnsi="Segoe UI" w:cs="Segoe UI"/>
          <w:sz w:val="22"/>
          <w:szCs w:val="22"/>
        </w:rPr>
        <w:t xml:space="preserve">s opposition to the reform, it is possible that the United States will slow down the reform or demand further examination. For example, a new </w:t>
      </w:r>
      <w:r w:rsidR="00B65755">
        <w:rPr>
          <w:rFonts w:ascii="Segoe UI" w:hAnsi="Segoe UI" w:cs="Segoe UI"/>
          <w:sz w:val="22"/>
          <w:szCs w:val="22"/>
        </w:rPr>
        <w:t>Executive</w:t>
      </w:r>
      <w:r w:rsidRPr="002E350B">
        <w:rPr>
          <w:rFonts w:ascii="Segoe UI" w:hAnsi="Segoe UI" w:cs="Segoe UI"/>
          <w:sz w:val="22"/>
          <w:szCs w:val="22"/>
        </w:rPr>
        <w:t xml:space="preserve"> </w:t>
      </w:r>
      <w:r w:rsidR="00B65755">
        <w:rPr>
          <w:rFonts w:ascii="Segoe UI" w:hAnsi="Segoe UI" w:cs="Segoe UI"/>
          <w:sz w:val="22"/>
          <w:szCs w:val="22"/>
        </w:rPr>
        <w:t>O</w:t>
      </w:r>
      <w:r w:rsidRPr="002E350B">
        <w:rPr>
          <w:rFonts w:ascii="Segoe UI" w:hAnsi="Segoe UI" w:cs="Segoe UI"/>
          <w:sz w:val="22"/>
          <w:szCs w:val="22"/>
        </w:rPr>
        <w:t xml:space="preserve">rder has </w:t>
      </w:r>
      <w:r w:rsidR="00B4118F">
        <w:rPr>
          <w:rFonts w:ascii="Segoe UI" w:hAnsi="Segoe UI" w:cs="Segoe UI"/>
          <w:sz w:val="22"/>
          <w:szCs w:val="22"/>
        </w:rPr>
        <w:t>declared</w:t>
      </w:r>
      <w:r w:rsidR="00B4118F" w:rsidRPr="002E350B">
        <w:rPr>
          <w:rFonts w:ascii="Segoe UI" w:hAnsi="Segoe UI" w:cs="Segoe UI"/>
          <w:sz w:val="22"/>
          <w:szCs w:val="22"/>
        </w:rPr>
        <w:t xml:space="preserve"> </w:t>
      </w:r>
      <w:r w:rsidRPr="002E350B">
        <w:rPr>
          <w:rFonts w:ascii="Segoe UI" w:hAnsi="Segoe UI" w:cs="Segoe UI"/>
          <w:sz w:val="22"/>
          <w:szCs w:val="22"/>
        </w:rPr>
        <w:t>that the international tax reform will not be implemented in the US</w:t>
      </w:r>
      <w:r w:rsidR="00B65755">
        <w:rPr>
          <w:rFonts w:ascii="Segoe UI" w:hAnsi="Segoe UI" w:cs="Segoe UI"/>
          <w:sz w:val="22"/>
          <w:szCs w:val="22"/>
        </w:rPr>
        <w:t>,</w:t>
      </w:r>
      <w:r w:rsidRPr="002E350B">
        <w:rPr>
          <w:rFonts w:ascii="Segoe UI" w:hAnsi="Segoe UI" w:cs="Segoe UI"/>
          <w:sz w:val="22"/>
          <w:szCs w:val="22"/>
        </w:rPr>
        <w:t xml:space="preserve"> and has instructed the planning of countermeasures against countries that apply tax rules that discriminate against American companies.</w:t>
      </w:r>
      <w:r w:rsidR="00B65755">
        <w:rPr>
          <w:rStyle w:val="a6"/>
          <w:rFonts w:ascii="Segoe UI" w:hAnsi="Segoe UI" w:cs="Segoe UI"/>
        </w:rPr>
        <w:footnoteReference w:id="2"/>
      </w:r>
    </w:p>
    <w:p w14:paraId="766BEDB3" w14:textId="036F837E" w:rsidR="00B65755" w:rsidRDefault="00FF3865" w:rsidP="00C17405">
      <w:pPr>
        <w:pStyle w:val="regpar"/>
        <w:ind w:firstLine="0"/>
        <w:jc w:val="both"/>
        <w:rPr>
          <w:rFonts w:ascii="Segoe UI" w:hAnsi="Segoe UI" w:cs="Segoe UI"/>
          <w:sz w:val="22"/>
          <w:szCs w:val="22"/>
        </w:rPr>
      </w:pPr>
      <w:r w:rsidRPr="00FF3865">
        <w:rPr>
          <w:noProof/>
        </w:rPr>
        <w:lastRenderedPageBreak/>
        <w:drawing>
          <wp:inline distT="0" distB="0" distL="0" distR="0" wp14:anchorId="51164D74" wp14:editId="633E6DE1">
            <wp:extent cx="5760720" cy="219002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190026"/>
                    </a:xfrm>
                    <a:prstGeom prst="rect">
                      <a:avLst/>
                    </a:prstGeom>
                    <a:noFill/>
                    <a:ln>
                      <a:noFill/>
                    </a:ln>
                  </pic:spPr>
                </pic:pic>
              </a:graphicData>
            </a:graphic>
          </wp:inline>
        </w:drawing>
      </w:r>
    </w:p>
    <w:p w14:paraId="7F696172" w14:textId="7F26B1FD" w:rsidR="00B65755" w:rsidRPr="00B65755" w:rsidRDefault="00B65755" w:rsidP="00CA198A">
      <w:pPr>
        <w:pStyle w:val="NormalWeb"/>
        <w:jc w:val="both"/>
        <w:rPr>
          <w:rFonts w:ascii="Segoe UI" w:hAnsi="Segoe UI" w:cs="Segoe UI"/>
          <w:sz w:val="22"/>
          <w:szCs w:val="22"/>
        </w:rPr>
      </w:pPr>
      <w:r w:rsidRPr="00B65755">
        <w:rPr>
          <w:rFonts w:ascii="Segoe UI" w:hAnsi="Segoe UI" w:cs="Segoe UI"/>
          <w:sz w:val="22"/>
          <w:szCs w:val="22"/>
        </w:rPr>
        <w:t>The reform has the potential to moderate international competition for attracting investments, thereby reducing the extent of tax incentives that Israel needs to offer to attract companies. Currently, the economic cost of these incentives is approximately 0.3</w:t>
      </w:r>
      <w:r>
        <w:rPr>
          <w:rFonts w:ascii="Segoe UI" w:hAnsi="Segoe UI" w:cs="Segoe UI"/>
          <w:sz w:val="22"/>
          <w:szCs w:val="22"/>
        </w:rPr>
        <w:t xml:space="preserve"> percent</w:t>
      </w:r>
      <w:r w:rsidRPr="00B65755">
        <w:rPr>
          <w:rFonts w:ascii="Segoe UI" w:hAnsi="Segoe UI" w:cs="Segoe UI"/>
          <w:sz w:val="22"/>
          <w:szCs w:val="22"/>
        </w:rPr>
        <w:t xml:space="preserve"> of GDP annually (around </w:t>
      </w:r>
      <w:r>
        <w:rPr>
          <w:rFonts w:ascii="Segoe UI" w:hAnsi="Segoe UI" w:cs="Segoe UI"/>
          <w:sz w:val="22"/>
          <w:szCs w:val="22"/>
        </w:rPr>
        <w:t xml:space="preserve">NIS </w:t>
      </w:r>
      <w:r w:rsidRPr="00B65755">
        <w:rPr>
          <w:rFonts w:ascii="Segoe UI" w:hAnsi="Segoe UI" w:cs="Segoe UI"/>
          <w:sz w:val="22"/>
          <w:szCs w:val="22"/>
        </w:rPr>
        <w:t>6 billion per year)</w:t>
      </w:r>
      <w:r>
        <w:rPr>
          <w:rFonts w:ascii="Segoe UI" w:hAnsi="Segoe UI" w:cs="Segoe UI"/>
          <w:sz w:val="22"/>
          <w:szCs w:val="22"/>
        </w:rPr>
        <w:t>.</w:t>
      </w:r>
      <w:r>
        <w:rPr>
          <w:rStyle w:val="a6"/>
          <w:rFonts w:ascii="Segoe UI" w:hAnsi="Segoe UI" w:cs="Segoe UI"/>
        </w:rPr>
        <w:footnoteReference w:id="3"/>
      </w:r>
      <w:r w:rsidRPr="00B65755">
        <w:rPr>
          <w:rFonts w:ascii="Segoe UI" w:hAnsi="Segoe UI" w:cs="Segoe UI"/>
          <w:sz w:val="22"/>
          <w:szCs w:val="22"/>
        </w:rPr>
        <w:t xml:space="preserve"> Reducing these incentives would increase state revenues, which is particularly important in the current period given the long-term increase in defense expenditures. Specifically, </w:t>
      </w:r>
      <w:r>
        <w:rPr>
          <w:rFonts w:ascii="Segoe UI" w:hAnsi="Segoe UI" w:cs="Segoe UI"/>
          <w:sz w:val="22"/>
          <w:szCs w:val="22"/>
        </w:rPr>
        <w:t>equalizing</w:t>
      </w:r>
      <w:r w:rsidRPr="00B65755">
        <w:rPr>
          <w:rFonts w:ascii="Segoe UI" w:hAnsi="Segoe UI" w:cs="Segoe UI"/>
          <w:sz w:val="22"/>
          <w:szCs w:val="22"/>
        </w:rPr>
        <w:t xml:space="preserve"> the global minimum tax rate presents an opportunity to reassess Israel</w:t>
      </w:r>
      <w:r>
        <w:rPr>
          <w:rFonts w:ascii="Segoe UI" w:hAnsi="Segoe UI" w:cs="Segoe UI"/>
          <w:sz w:val="22"/>
          <w:szCs w:val="22"/>
        </w:rPr>
        <w:t>’</w:t>
      </w:r>
      <w:r w:rsidRPr="00B65755">
        <w:rPr>
          <w:rFonts w:ascii="Segoe UI" w:hAnsi="Segoe UI" w:cs="Segoe UI"/>
          <w:sz w:val="22"/>
          <w:szCs w:val="22"/>
        </w:rPr>
        <w:t xml:space="preserve">s investment promotion regime, </w:t>
      </w:r>
      <w:r>
        <w:rPr>
          <w:rFonts w:ascii="Segoe UI" w:hAnsi="Segoe UI" w:cs="Segoe UI"/>
          <w:sz w:val="22"/>
          <w:szCs w:val="22"/>
        </w:rPr>
        <w:t>with the aim</w:t>
      </w:r>
      <w:r w:rsidRPr="00B65755">
        <w:rPr>
          <w:rFonts w:ascii="Segoe UI" w:hAnsi="Segoe UI" w:cs="Segoe UI"/>
          <w:sz w:val="22"/>
          <w:szCs w:val="22"/>
        </w:rPr>
        <w:t xml:space="preserve"> to focus</w:t>
      </w:r>
      <w:r>
        <w:rPr>
          <w:rFonts w:ascii="Segoe UI" w:hAnsi="Segoe UI" w:cs="Segoe UI"/>
          <w:sz w:val="22"/>
          <w:szCs w:val="22"/>
        </w:rPr>
        <w:t xml:space="preserve"> it</w:t>
      </w:r>
      <w:r w:rsidRPr="00B65755">
        <w:rPr>
          <w:rFonts w:ascii="Segoe UI" w:hAnsi="Segoe UI" w:cs="Segoe UI"/>
          <w:sz w:val="22"/>
          <w:szCs w:val="22"/>
        </w:rPr>
        <w:t xml:space="preserve"> on companies that provide special benefits to the economy: investments that create broader value than what is reflected in the company</w:t>
      </w:r>
      <w:r>
        <w:rPr>
          <w:rFonts w:ascii="Segoe UI" w:hAnsi="Segoe UI" w:cs="Segoe UI"/>
          <w:sz w:val="22"/>
          <w:szCs w:val="22"/>
        </w:rPr>
        <w:t>’</w:t>
      </w:r>
      <w:r w:rsidRPr="00B65755">
        <w:rPr>
          <w:rFonts w:ascii="Segoe UI" w:hAnsi="Segoe UI" w:cs="Segoe UI"/>
          <w:sz w:val="22"/>
          <w:szCs w:val="22"/>
        </w:rPr>
        <w:t>s profits (</w:t>
      </w:r>
      <w:r>
        <w:rPr>
          <w:rFonts w:ascii="Segoe UI" w:hAnsi="Segoe UI" w:cs="Segoe UI"/>
          <w:sz w:val="22"/>
          <w:szCs w:val="22"/>
        </w:rPr>
        <w:t>“</w:t>
      </w:r>
      <w:r w:rsidRPr="00B65755">
        <w:rPr>
          <w:rFonts w:ascii="Segoe UI" w:hAnsi="Segoe UI" w:cs="Segoe UI"/>
          <w:sz w:val="22"/>
          <w:szCs w:val="22"/>
        </w:rPr>
        <w:t>positive externalities</w:t>
      </w:r>
      <w:r>
        <w:rPr>
          <w:rFonts w:ascii="Segoe UI" w:hAnsi="Segoe UI" w:cs="Segoe UI"/>
          <w:sz w:val="22"/>
          <w:szCs w:val="22"/>
        </w:rPr>
        <w:t>”</w:t>
      </w:r>
      <w:r w:rsidRPr="00B65755">
        <w:rPr>
          <w:rFonts w:ascii="Segoe UI" w:hAnsi="Segoe UI" w:cs="Segoe UI"/>
          <w:sz w:val="22"/>
          <w:szCs w:val="22"/>
        </w:rPr>
        <w:t>), or those that are of high value to the economy and where the investing companies have the ability to relocate from Israel.</w:t>
      </w:r>
    </w:p>
    <w:p w14:paraId="08CC3F4A" w14:textId="7FA281FF" w:rsidR="00B65755" w:rsidRPr="00B65755" w:rsidRDefault="00B65755" w:rsidP="00397572">
      <w:pPr>
        <w:pStyle w:val="NormalWeb"/>
        <w:jc w:val="both"/>
        <w:rPr>
          <w:rFonts w:ascii="Segoe UI" w:hAnsi="Segoe UI" w:cs="Segoe UI"/>
          <w:sz w:val="22"/>
          <w:szCs w:val="22"/>
        </w:rPr>
      </w:pPr>
      <w:r w:rsidRPr="00B65755">
        <w:rPr>
          <w:rFonts w:ascii="Segoe UI" w:hAnsi="Segoe UI" w:cs="Segoe UI"/>
          <w:sz w:val="22"/>
          <w:szCs w:val="22"/>
        </w:rPr>
        <w:t xml:space="preserve">Alongside the inherent benefits of the </w:t>
      </w:r>
      <w:r>
        <w:rPr>
          <w:rFonts w:ascii="Segoe UI" w:hAnsi="Segoe UI" w:cs="Segoe UI"/>
          <w:sz w:val="22"/>
          <w:szCs w:val="22"/>
        </w:rPr>
        <w:t>R</w:t>
      </w:r>
      <w:r w:rsidRPr="00B65755">
        <w:rPr>
          <w:rFonts w:ascii="Segoe UI" w:hAnsi="Segoe UI" w:cs="Segoe UI"/>
          <w:sz w:val="22"/>
          <w:szCs w:val="22"/>
        </w:rPr>
        <w:t>eform, it is necessary to examine if and where it might reduce Israel</w:t>
      </w:r>
      <w:r>
        <w:rPr>
          <w:rFonts w:ascii="Segoe UI" w:hAnsi="Segoe UI" w:cs="Segoe UI"/>
          <w:sz w:val="22"/>
          <w:szCs w:val="22"/>
        </w:rPr>
        <w:t>’</w:t>
      </w:r>
      <w:r w:rsidRPr="00B65755">
        <w:rPr>
          <w:rFonts w:ascii="Segoe UI" w:hAnsi="Segoe UI" w:cs="Segoe UI"/>
          <w:sz w:val="22"/>
          <w:szCs w:val="22"/>
        </w:rPr>
        <w:t>s attractiveness as a destination for foreign investments. Israel currently encourages investments primarily through a reduced corporate tax rate under the Encouragement of Capital Investments</w:t>
      </w:r>
      <w:r>
        <w:rPr>
          <w:rFonts w:ascii="Segoe UI" w:hAnsi="Segoe UI" w:cs="Segoe UI"/>
          <w:sz w:val="22"/>
          <w:szCs w:val="22"/>
        </w:rPr>
        <w:t xml:space="preserve"> Law</w:t>
      </w:r>
      <w:r w:rsidRPr="00B65755">
        <w:rPr>
          <w:rFonts w:ascii="Segoe UI" w:hAnsi="Segoe UI" w:cs="Segoe UI"/>
          <w:sz w:val="22"/>
          <w:szCs w:val="22"/>
        </w:rPr>
        <w:t>. Companies eligible for corporate tax benefits enjoy significantly reduced tax rates, which can be as low as 6</w:t>
      </w:r>
      <w:r>
        <w:rPr>
          <w:rFonts w:ascii="Segoe UI" w:hAnsi="Segoe UI" w:cs="Segoe UI"/>
          <w:sz w:val="22"/>
          <w:szCs w:val="22"/>
        </w:rPr>
        <w:t xml:space="preserve"> percent</w:t>
      </w:r>
      <w:r w:rsidRPr="00B65755">
        <w:rPr>
          <w:rFonts w:ascii="Segoe UI" w:hAnsi="Segoe UI" w:cs="Segoe UI"/>
          <w:sz w:val="22"/>
          <w:szCs w:val="22"/>
        </w:rPr>
        <w:t>, compared to the statutory corporate tax rate in Israel of 23</w:t>
      </w:r>
      <w:r>
        <w:rPr>
          <w:rFonts w:ascii="Segoe UI" w:hAnsi="Segoe UI" w:cs="Segoe UI"/>
          <w:sz w:val="22"/>
          <w:szCs w:val="22"/>
        </w:rPr>
        <w:t xml:space="preserve"> percent</w:t>
      </w:r>
      <w:r w:rsidRPr="00B65755">
        <w:rPr>
          <w:rFonts w:ascii="Segoe UI" w:hAnsi="Segoe UI" w:cs="Segoe UI"/>
          <w:sz w:val="22"/>
          <w:szCs w:val="22"/>
        </w:rPr>
        <w:t xml:space="preserve">. According to the </w:t>
      </w:r>
      <w:r>
        <w:rPr>
          <w:rFonts w:ascii="Segoe UI" w:hAnsi="Segoe UI" w:cs="Segoe UI"/>
          <w:sz w:val="22"/>
          <w:szCs w:val="22"/>
        </w:rPr>
        <w:t>R</w:t>
      </w:r>
      <w:r w:rsidRPr="00B65755">
        <w:rPr>
          <w:rFonts w:ascii="Segoe UI" w:hAnsi="Segoe UI" w:cs="Segoe UI"/>
          <w:sz w:val="22"/>
          <w:szCs w:val="22"/>
        </w:rPr>
        <w:t>eform</w:t>
      </w:r>
      <w:r>
        <w:rPr>
          <w:rFonts w:ascii="Segoe UI" w:hAnsi="Segoe UI" w:cs="Segoe UI"/>
          <w:sz w:val="22"/>
          <w:szCs w:val="22"/>
        </w:rPr>
        <w:t>’</w:t>
      </w:r>
      <w:r w:rsidRPr="00B65755">
        <w:rPr>
          <w:rFonts w:ascii="Segoe UI" w:hAnsi="Segoe UI" w:cs="Segoe UI"/>
          <w:sz w:val="22"/>
          <w:szCs w:val="22"/>
        </w:rPr>
        <w:t>s rules, if these companies pay an effective tax rate lower than 15</w:t>
      </w:r>
      <w:r>
        <w:rPr>
          <w:rFonts w:ascii="Segoe UI" w:hAnsi="Segoe UI" w:cs="Segoe UI"/>
          <w:sz w:val="22"/>
          <w:szCs w:val="22"/>
        </w:rPr>
        <w:t xml:space="preserve"> percent</w:t>
      </w:r>
      <w:r w:rsidRPr="00B65755">
        <w:rPr>
          <w:rFonts w:ascii="Segoe UI" w:hAnsi="Segoe UI" w:cs="Segoe UI"/>
          <w:sz w:val="22"/>
          <w:szCs w:val="22"/>
        </w:rPr>
        <w:t xml:space="preserve"> in Israel, other countries where these companies operate could tax them on the difference between 6 and 15</w:t>
      </w:r>
      <w:r>
        <w:rPr>
          <w:rFonts w:ascii="Segoe UI" w:hAnsi="Segoe UI" w:cs="Segoe UI"/>
          <w:sz w:val="22"/>
          <w:szCs w:val="22"/>
        </w:rPr>
        <w:t xml:space="preserve"> percent</w:t>
      </w:r>
      <w:r w:rsidRPr="00B65755">
        <w:rPr>
          <w:rFonts w:ascii="Segoe UI" w:hAnsi="Segoe UI" w:cs="Segoe UI"/>
          <w:sz w:val="22"/>
          <w:szCs w:val="22"/>
        </w:rPr>
        <w:t>. Therefore, it is appropriate for Israel to impose a local effective minimum corporate tax of 15</w:t>
      </w:r>
      <w:r>
        <w:rPr>
          <w:rFonts w:ascii="Segoe UI" w:hAnsi="Segoe UI" w:cs="Segoe UI"/>
          <w:sz w:val="22"/>
          <w:szCs w:val="22"/>
        </w:rPr>
        <w:t xml:space="preserve"> percent</w:t>
      </w:r>
      <w:r w:rsidRPr="00B65755">
        <w:rPr>
          <w:rFonts w:ascii="Segoe UI" w:hAnsi="Segoe UI" w:cs="Segoe UI"/>
          <w:sz w:val="22"/>
          <w:szCs w:val="22"/>
        </w:rPr>
        <w:t xml:space="preserve">, either through a supplementary local tax or by reducing existing benefits. </w:t>
      </w:r>
      <w:r w:rsidR="00397572">
        <w:rPr>
          <w:rFonts w:ascii="Segoe UI" w:hAnsi="Segoe UI" w:cs="Segoe UI"/>
          <w:sz w:val="22"/>
          <w:szCs w:val="22"/>
        </w:rPr>
        <w:t>To compensate</w:t>
      </w:r>
      <w:r w:rsidRPr="00B65755">
        <w:rPr>
          <w:rFonts w:ascii="Segoe UI" w:hAnsi="Segoe UI" w:cs="Segoe UI"/>
          <w:sz w:val="22"/>
          <w:szCs w:val="22"/>
        </w:rPr>
        <w:t xml:space="preserve">, in cases where there is a special benefit from the activities of some companies, alternative incentives that comply with the </w:t>
      </w:r>
      <w:r>
        <w:rPr>
          <w:rFonts w:ascii="Segoe UI" w:hAnsi="Segoe UI" w:cs="Segoe UI"/>
          <w:sz w:val="22"/>
          <w:szCs w:val="22"/>
        </w:rPr>
        <w:t>R</w:t>
      </w:r>
      <w:r w:rsidRPr="00B65755">
        <w:rPr>
          <w:rFonts w:ascii="Segoe UI" w:hAnsi="Segoe UI" w:cs="Segoe UI"/>
          <w:sz w:val="22"/>
          <w:szCs w:val="22"/>
        </w:rPr>
        <w:t>eform</w:t>
      </w:r>
      <w:r>
        <w:rPr>
          <w:rFonts w:ascii="Segoe UI" w:hAnsi="Segoe UI" w:cs="Segoe UI"/>
          <w:sz w:val="22"/>
          <w:szCs w:val="22"/>
        </w:rPr>
        <w:t>’</w:t>
      </w:r>
      <w:r w:rsidRPr="00B65755">
        <w:rPr>
          <w:rFonts w:ascii="Segoe UI" w:hAnsi="Segoe UI" w:cs="Segoe UI"/>
          <w:sz w:val="22"/>
          <w:szCs w:val="22"/>
        </w:rPr>
        <w:t>s rules will need to be developed.</w:t>
      </w:r>
    </w:p>
    <w:p w14:paraId="1EA4AA83" w14:textId="4FD36E96" w:rsidR="00B65755" w:rsidRPr="00B65755" w:rsidRDefault="00B65755" w:rsidP="00CA198A">
      <w:pPr>
        <w:pStyle w:val="NormalWeb"/>
        <w:jc w:val="both"/>
        <w:rPr>
          <w:rFonts w:ascii="Segoe UI" w:hAnsi="Segoe UI" w:cs="Segoe UI"/>
          <w:sz w:val="22"/>
          <w:szCs w:val="22"/>
        </w:rPr>
      </w:pPr>
      <w:r w:rsidRPr="00B65755">
        <w:rPr>
          <w:rFonts w:ascii="Segoe UI" w:hAnsi="Segoe UI" w:cs="Segoe UI"/>
          <w:sz w:val="22"/>
          <w:szCs w:val="22"/>
        </w:rPr>
        <w:t>Beyond adjusting direct incentives where necessary, the potential reduction in international competition for companies through tax incentives highlights the need to improve the fundamentals of Israel</w:t>
      </w:r>
      <w:r>
        <w:rPr>
          <w:rFonts w:ascii="Segoe UI" w:hAnsi="Segoe UI" w:cs="Segoe UI"/>
          <w:sz w:val="22"/>
          <w:szCs w:val="22"/>
        </w:rPr>
        <w:t>’</w:t>
      </w:r>
      <w:r w:rsidRPr="00B65755">
        <w:rPr>
          <w:rFonts w:ascii="Segoe UI" w:hAnsi="Segoe UI" w:cs="Segoe UI"/>
          <w:sz w:val="22"/>
          <w:szCs w:val="22"/>
        </w:rPr>
        <w:t>s economy by investing in human capital and infrastructure to enhance Israel</w:t>
      </w:r>
      <w:r>
        <w:rPr>
          <w:rFonts w:ascii="Segoe UI" w:hAnsi="Segoe UI" w:cs="Segoe UI"/>
          <w:sz w:val="22"/>
          <w:szCs w:val="22"/>
        </w:rPr>
        <w:t>’</w:t>
      </w:r>
      <w:r w:rsidRPr="00B65755">
        <w:rPr>
          <w:rFonts w:ascii="Segoe UI" w:hAnsi="Segoe UI" w:cs="Segoe UI"/>
          <w:sz w:val="22"/>
          <w:szCs w:val="22"/>
        </w:rPr>
        <w:t>s attractiveness to investors. Recommendations for such measures, which will help maintain Israel</w:t>
      </w:r>
      <w:r>
        <w:rPr>
          <w:rFonts w:ascii="Segoe UI" w:hAnsi="Segoe UI" w:cs="Segoe UI"/>
          <w:sz w:val="22"/>
          <w:szCs w:val="22"/>
        </w:rPr>
        <w:t>’</w:t>
      </w:r>
      <w:r w:rsidRPr="00B65755">
        <w:rPr>
          <w:rFonts w:ascii="Segoe UI" w:hAnsi="Segoe UI" w:cs="Segoe UI"/>
          <w:sz w:val="22"/>
          <w:szCs w:val="22"/>
        </w:rPr>
        <w:t>s attractiveness as a destination for foreign investments and support long-term economic growth, have been published as part of strategic plans submitted by the Bank of Israel to incoming governments, the latest of which was in January 2023.</w:t>
      </w:r>
      <w:r w:rsidR="00FF3865">
        <w:rPr>
          <w:rStyle w:val="a6"/>
          <w:rFonts w:ascii="Segoe UI" w:hAnsi="Segoe UI" w:cs="Segoe UI"/>
        </w:rPr>
        <w:footnoteReference w:id="4"/>
      </w:r>
    </w:p>
    <w:p w14:paraId="5987B3F1" w14:textId="77777777" w:rsidR="00B65755" w:rsidRPr="00443EB3" w:rsidRDefault="00B65755" w:rsidP="00C17405">
      <w:pPr>
        <w:pStyle w:val="regpar"/>
        <w:ind w:firstLine="0"/>
        <w:jc w:val="both"/>
        <w:rPr>
          <w:rFonts w:ascii="Segoe UI" w:hAnsi="Segoe UI" w:cs="Segoe UI"/>
          <w:sz w:val="22"/>
          <w:szCs w:val="22"/>
        </w:rPr>
      </w:pPr>
    </w:p>
    <w:p w14:paraId="7AA3F6CD" w14:textId="6D7CFEE3" w:rsidR="00592585" w:rsidRPr="00443EB3" w:rsidRDefault="00592585" w:rsidP="00C17405">
      <w:pPr>
        <w:jc w:val="both"/>
        <w:rPr>
          <w:rFonts w:ascii="Segoe UI" w:hAnsi="Segoe UI" w:cs="Segoe UI"/>
          <w:b/>
          <w:bCs/>
          <w:sz w:val="22"/>
          <w:szCs w:val="22"/>
        </w:rPr>
      </w:pPr>
    </w:p>
    <w:sectPr w:rsidR="00592585" w:rsidRPr="00443EB3" w:rsidSect="004F5A85">
      <w:headerReference w:type="default" r:id="rId14"/>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C4BCC" w14:textId="77777777" w:rsidR="001E124C" w:rsidRDefault="001E124C">
      <w:r>
        <w:separator/>
      </w:r>
    </w:p>
  </w:endnote>
  <w:endnote w:type="continuationSeparator" w:id="0">
    <w:p w14:paraId="565F2975" w14:textId="77777777" w:rsidR="001E124C" w:rsidRDefault="001E1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FC01D" w14:textId="77777777" w:rsidR="001E124C" w:rsidRDefault="001E124C">
      <w:pPr>
        <w:spacing w:line="160" w:lineRule="exact"/>
      </w:pPr>
    </w:p>
  </w:footnote>
  <w:footnote w:type="continuationSeparator" w:id="0">
    <w:p w14:paraId="0EEB6A22" w14:textId="77777777" w:rsidR="001E124C" w:rsidRDefault="001E124C">
      <w:pPr>
        <w:pStyle w:val="rule"/>
      </w:pPr>
      <w:r>
        <w:t>–––––––––––––––––––––––––––</w:t>
      </w:r>
    </w:p>
    <w:p w14:paraId="78535518" w14:textId="77777777" w:rsidR="001E124C" w:rsidRDefault="001E124C">
      <w:pPr>
        <w:pStyle w:val="noteseparator"/>
      </w:pPr>
    </w:p>
  </w:footnote>
  <w:footnote w:id="1">
    <w:p w14:paraId="7F38171A" w14:textId="63337451" w:rsidR="00B65755" w:rsidRDefault="00B65755">
      <w:pPr>
        <w:pStyle w:val="a7"/>
      </w:pPr>
      <w:r>
        <w:rPr>
          <w:rStyle w:val="a6"/>
        </w:rPr>
        <w:footnoteRef/>
      </w:r>
      <w:r>
        <w:t xml:space="preserve"> </w:t>
      </w:r>
      <w:r w:rsidRPr="002E350B">
        <w:rPr>
          <w:rFonts w:ascii="Segoe UI" w:hAnsi="Segoe UI" w:cs="Segoe UI"/>
          <w:sz w:val="22"/>
          <w:szCs w:val="22"/>
        </w:rPr>
        <w:t>Effective taxation primarily refers to taxes actually paid and does not take into account most types of tax benefits for companies.</w:t>
      </w:r>
    </w:p>
  </w:footnote>
  <w:footnote w:id="2">
    <w:p w14:paraId="70FF1A94" w14:textId="664D0F77" w:rsidR="00B65755" w:rsidRDefault="00B65755">
      <w:pPr>
        <w:pStyle w:val="a7"/>
      </w:pPr>
      <w:r>
        <w:rPr>
          <w:rStyle w:val="a6"/>
        </w:rPr>
        <w:footnoteRef/>
      </w:r>
      <w:r>
        <w:t xml:space="preserve"> </w:t>
      </w:r>
      <w:hyperlink r:id="rId1" w:tgtFrame="_blank" w:tooltip="https://www.whitehouse.gov/presidential-actions/2025/01/the-organization-for-economic-co-operation-and-development-oecd-global-tax-deal-global-tax-deal/" w:history="1">
        <w:r w:rsidRPr="002E350B">
          <w:rPr>
            <w:rStyle w:val="Hyperlink"/>
            <w:rFonts w:ascii="Segoe UI" w:hAnsi="Segoe UI" w:cs="Segoe UI"/>
            <w:sz w:val="22"/>
            <w:szCs w:val="22"/>
          </w:rPr>
          <w:t>https://www.whitehouse.gov/presidential-actions/2025/01/the-organization-for-economic-co-operation-and-development-oecd-global-tax-deal-global-tax-deal/</w:t>
        </w:r>
      </w:hyperlink>
    </w:p>
  </w:footnote>
  <w:footnote w:id="3">
    <w:p w14:paraId="7872E24B" w14:textId="1DCE6917" w:rsidR="00B65755" w:rsidRDefault="00B65755" w:rsidP="00FF3865">
      <w:pPr>
        <w:pStyle w:val="a7"/>
      </w:pPr>
      <w:r>
        <w:rPr>
          <w:rStyle w:val="a6"/>
        </w:rPr>
        <w:footnoteRef/>
      </w:r>
      <w:r>
        <w:t xml:space="preserve"> </w:t>
      </w:r>
      <w:r w:rsidR="00FF3865" w:rsidRPr="00B65755">
        <w:rPr>
          <w:rFonts w:ascii="Segoe UI" w:hAnsi="Segoe UI" w:cs="Segoe UI"/>
          <w:sz w:val="22"/>
          <w:szCs w:val="22"/>
        </w:rPr>
        <w:t xml:space="preserve">Israel Tax Authority (2024), </w:t>
      </w:r>
      <w:r w:rsidR="00FF3865" w:rsidRPr="00FF3865">
        <w:rPr>
          <w:rFonts w:ascii="Segoe UI" w:hAnsi="Segoe UI" w:cs="Segoe UI"/>
          <w:i/>
          <w:iCs/>
          <w:sz w:val="22"/>
          <w:szCs w:val="22"/>
        </w:rPr>
        <w:t>Report of the Israel Tax Authority for the years 2021-2022 and preliminary data for 2023,</w:t>
      </w:r>
      <w:r w:rsidR="00FF3865" w:rsidRPr="00B65755">
        <w:rPr>
          <w:rFonts w:ascii="Segoe UI" w:hAnsi="Segoe UI" w:cs="Segoe UI"/>
          <w:sz w:val="22"/>
          <w:szCs w:val="22"/>
        </w:rPr>
        <w:t xml:space="preserve"> Ministry of Finance, Chief Economist</w:t>
      </w:r>
      <w:r w:rsidR="00FF3865">
        <w:rPr>
          <w:rFonts w:ascii="Segoe UI" w:hAnsi="Segoe UI" w:cs="Segoe UI"/>
          <w:sz w:val="22"/>
          <w:szCs w:val="22"/>
        </w:rPr>
        <w:t>’</w:t>
      </w:r>
      <w:r w:rsidR="00FF3865" w:rsidRPr="00B65755">
        <w:rPr>
          <w:rFonts w:ascii="Segoe UI" w:hAnsi="Segoe UI" w:cs="Segoe UI"/>
          <w:sz w:val="22"/>
          <w:szCs w:val="22"/>
        </w:rPr>
        <w:t>s Office, Israel.</w:t>
      </w:r>
    </w:p>
  </w:footnote>
  <w:footnote w:id="4">
    <w:p w14:paraId="7D465DBC" w14:textId="07C05405" w:rsidR="00FF3865" w:rsidRDefault="00FF3865" w:rsidP="00FF3865">
      <w:pPr>
        <w:pStyle w:val="a7"/>
      </w:pPr>
      <w:r>
        <w:rPr>
          <w:rStyle w:val="a6"/>
        </w:rPr>
        <w:footnoteRef/>
      </w:r>
      <w:r>
        <w:t xml:space="preserve"> </w:t>
      </w:r>
      <w:r w:rsidRPr="00B65755">
        <w:rPr>
          <w:rFonts w:ascii="Segoe UI" w:hAnsi="Segoe UI" w:cs="Segoe UI"/>
          <w:sz w:val="22"/>
          <w:szCs w:val="22"/>
        </w:rPr>
        <w:t xml:space="preserve">See link: </w:t>
      </w:r>
      <w:hyperlink r:id="rId2" w:history="1">
        <w:r w:rsidRPr="00DF0A28">
          <w:rPr>
            <w:rStyle w:val="Hyperlink"/>
            <w:rFonts w:ascii="Segoe UI" w:hAnsi="Segoe UI" w:cs="Segoe UI"/>
            <w:sz w:val="22"/>
            <w:szCs w:val="22"/>
          </w:rPr>
          <w:t>https://www.boi.org.il/en/communication-and-publications/press-releases/the-bank-of-israel-s-program-to-accelerate-economic-growth-recommended-strategic-pillars-of-action-for-the-government/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CE5350"/>
    <w:multiLevelType w:val="hybridMultilevel"/>
    <w:tmpl w:val="9AE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FC7AE9"/>
    <w:multiLevelType w:val="hybridMultilevel"/>
    <w:tmpl w:val="3BFA6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4"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5602F8"/>
    <w:multiLevelType w:val="hybridMultilevel"/>
    <w:tmpl w:val="3C26F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3"/>
  </w:num>
  <w:num w:numId="4">
    <w:abstractNumId w:val="14"/>
  </w:num>
  <w:num w:numId="5">
    <w:abstractNumId w:val="1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4"/>
  </w:num>
  <w:num w:numId="10">
    <w:abstractNumId w:val="16"/>
  </w:num>
  <w:num w:numId="11">
    <w:abstractNumId w:val="11"/>
  </w:num>
  <w:num w:numId="12">
    <w:abstractNumId w:val="9"/>
  </w:num>
  <w:num w:numId="13">
    <w:abstractNumId w:val="3"/>
  </w:num>
  <w:num w:numId="14">
    <w:abstractNumId w:val="2"/>
  </w:num>
  <w:num w:numId="15">
    <w:abstractNumId w:val="10"/>
  </w:num>
  <w:num w:numId="16">
    <w:abstractNumId w:val="1"/>
  </w:num>
  <w:num w:numId="17">
    <w:abstractNumId w:val="17"/>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13FB"/>
    <w:rsid w:val="000B2451"/>
    <w:rsid w:val="000B5143"/>
    <w:rsid w:val="000B6617"/>
    <w:rsid w:val="000C1242"/>
    <w:rsid w:val="000C4140"/>
    <w:rsid w:val="000C46E3"/>
    <w:rsid w:val="000D3201"/>
    <w:rsid w:val="000D3F79"/>
    <w:rsid w:val="000E08B9"/>
    <w:rsid w:val="000E2EB0"/>
    <w:rsid w:val="000F4D42"/>
    <w:rsid w:val="00104F58"/>
    <w:rsid w:val="0010545F"/>
    <w:rsid w:val="001116D7"/>
    <w:rsid w:val="00114F59"/>
    <w:rsid w:val="001172A8"/>
    <w:rsid w:val="00121BED"/>
    <w:rsid w:val="001239DD"/>
    <w:rsid w:val="0012431B"/>
    <w:rsid w:val="00124970"/>
    <w:rsid w:val="00124AB5"/>
    <w:rsid w:val="00124ED8"/>
    <w:rsid w:val="00125AB8"/>
    <w:rsid w:val="00126370"/>
    <w:rsid w:val="00127549"/>
    <w:rsid w:val="00130460"/>
    <w:rsid w:val="00143F0D"/>
    <w:rsid w:val="0014603A"/>
    <w:rsid w:val="001550A7"/>
    <w:rsid w:val="00160123"/>
    <w:rsid w:val="00161743"/>
    <w:rsid w:val="00162F9E"/>
    <w:rsid w:val="0016621D"/>
    <w:rsid w:val="00166ECD"/>
    <w:rsid w:val="00181A09"/>
    <w:rsid w:val="0018444C"/>
    <w:rsid w:val="00187D68"/>
    <w:rsid w:val="00190909"/>
    <w:rsid w:val="00194F7F"/>
    <w:rsid w:val="001A2237"/>
    <w:rsid w:val="001A6127"/>
    <w:rsid w:val="001B0294"/>
    <w:rsid w:val="001C1743"/>
    <w:rsid w:val="001C209A"/>
    <w:rsid w:val="001C502E"/>
    <w:rsid w:val="001C5614"/>
    <w:rsid w:val="001D57CD"/>
    <w:rsid w:val="001D5EBA"/>
    <w:rsid w:val="001E124C"/>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350B"/>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23A9"/>
    <w:rsid w:val="00366DB8"/>
    <w:rsid w:val="00367A32"/>
    <w:rsid w:val="00376023"/>
    <w:rsid w:val="00376976"/>
    <w:rsid w:val="00380012"/>
    <w:rsid w:val="003814C4"/>
    <w:rsid w:val="0038232A"/>
    <w:rsid w:val="003938F8"/>
    <w:rsid w:val="00395D70"/>
    <w:rsid w:val="00397572"/>
    <w:rsid w:val="003A1107"/>
    <w:rsid w:val="003A3B39"/>
    <w:rsid w:val="003A6723"/>
    <w:rsid w:val="003B0942"/>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43EB3"/>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4AC0"/>
    <w:rsid w:val="0055658B"/>
    <w:rsid w:val="0056099E"/>
    <w:rsid w:val="00562B0B"/>
    <w:rsid w:val="005676E1"/>
    <w:rsid w:val="00572E97"/>
    <w:rsid w:val="00581AE6"/>
    <w:rsid w:val="00590949"/>
    <w:rsid w:val="00591171"/>
    <w:rsid w:val="00592585"/>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1EE8"/>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4D7"/>
    <w:rsid w:val="00706A01"/>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59CC"/>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598A"/>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0CD2"/>
    <w:rsid w:val="008D2340"/>
    <w:rsid w:val="008E2532"/>
    <w:rsid w:val="008E34E9"/>
    <w:rsid w:val="008F0C79"/>
    <w:rsid w:val="008F3DE8"/>
    <w:rsid w:val="008F4908"/>
    <w:rsid w:val="008F5C26"/>
    <w:rsid w:val="009055ED"/>
    <w:rsid w:val="00912CE3"/>
    <w:rsid w:val="009249B9"/>
    <w:rsid w:val="009269B2"/>
    <w:rsid w:val="00930D0F"/>
    <w:rsid w:val="00932779"/>
    <w:rsid w:val="009342BD"/>
    <w:rsid w:val="009345ED"/>
    <w:rsid w:val="00934ED3"/>
    <w:rsid w:val="00940505"/>
    <w:rsid w:val="00941183"/>
    <w:rsid w:val="00943EFE"/>
    <w:rsid w:val="00944ECF"/>
    <w:rsid w:val="00946CAD"/>
    <w:rsid w:val="00951190"/>
    <w:rsid w:val="00952402"/>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3027"/>
    <w:rsid w:val="009F4C02"/>
    <w:rsid w:val="009F5C01"/>
    <w:rsid w:val="00A06CAC"/>
    <w:rsid w:val="00A10C60"/>
    <w:rsid w:val="00A176D5"/>
    <w:rsid w:val="00A2357F"/>
    <w:rsid w:val="00A2557F"/>
    <w:rsid w:val="00A27711"/>
    <w:rsid w:val="00A30E4A"/>
    <w:rsid w:val="00A326F3"/>
    <w:rsid w:val="00A339CF"/>
    <w:rsid w:val="00A362B4"/>
    <w:rsid w:val="00A41ECF"/>
    <w:rsid w:val="00A43D36"/>
    <w:rsid w:val="00A60D93"/>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0231"/>
    <w:rsid w:val="00AF535D"/>
    <w:rsid w:val="00B0238F"/>
    <w:rsid w:val="00B02AD8"/>
    <w:rsid w:val="00B02B42"/>
    <w:rsid w:val="00B03A12"/>
    <w:rsid w:val="00B06509"/>
    <w:rsid w:val="00B06C58"/>
    <w:rsid w:val="00B14655"/>
    <w:rsid w:val="00B158CF"/>
    <w:rsid w:val="00B23E71"/>
    <w:rsid w:val="00B269CD"/>
    <w:rsid w:val="00B3068E"/>
    <w:rsid w:val="00B3103B"/>
    <w:rsid w:val="00B37BBE"/>
    <w:rsid w:val="00B4118F"/>
    <w:rsid w:val="00B46F7B"/>
    <w:rsid w:val="00B476CC"/>
    <w:rsid w:val="00B52957"/>
    <w:rsid w:val="00B552D1"/>
    <w:rsid w:val="00B5736D"/>
    <w:rsid w:val="00B57F69"/>
    <w:rsid w:val="00B65755"/>
    <w:rsid w:val="00B6764F"/>
    <w:rsid w:val="00B76579"/>
    <w:rsid w:val="00B81305"/>
    <w:rsid w:val="00B9723D"/>
    <w:rsid w:val="00BA3A63"/>
    <w:rsid w:val="00BA589A"/>
    <w:rsid w:val="00BA78B9"/>
    <w:rsid w:val="00BB1CE1"/>
    <w:rsid w:val="00BC05E1"/>
    <w:rsid w:val="00BC46DE"/>
    <w:rsid w:val="00BC6BBA"/>
    <w:rsid w:val="00BD570C"/>
    <w:rsid w:val="00BE50DA"/>
    <w:rsid w:val="00BF0276"/>
    <w:rsid w:val="00BF78A3"/>
    <w:rsid w:val="00C00CE9"/>
    <w:rsid w:val="00C042B1"/>
    <w:rsid w:val="00C17405"/>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0988"/>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198A"/>
    <w:rsid w:val="00CA4BB8"/>
    <w:rsid w:val="00CA68B3"/>
    <w:rsid w:val="00CB474B"/>
    <w:rsid w:val="00CC0F35"/>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5EE"/>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3865"/>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styleId="NormalWeb">
    <w:name w:val="Normal (Web)"/>
    <w:basedOn w:val="a"/>
    <w:uiPriority w:val="99"/>
    <w:unhideWhenUsed/>
    <w:rsid w:val="000C46E3"/>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67909489">
      <w:bodyDiv w:val="1"/>
      <w:marLeft w:val="0"/>
      <w:marRight w:val="0"/>
      <w:marTop w:val="0"/>
      <w:marBottom w:val="0"/>
      <w:divBdr>
        <w:top w:val="none" w:sz="0" w:space="0" w:color="auto"/>
        <w:left w:val="none" w:sz="0" w:space="0" w:color="auto"/>
        <w:bottom w:val="none" w:sz="0" w:space="0" w:color="auto"/>
        <w:right w:val="none" w:sz="0" w:space="0" w:color="auto"/>
      </w:divBdr>
    </w:div>
    <w:div w:id="229736119">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 w:id="127351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boi.org.il/en/communication-and-publications/press-releases/the-bank-of-israel-s-program-to-accelerate-economic-growth-recommended-strategic-pillars-of-action-for-the-government/" TargetMode="External"/><Relationship Id="rId1" Type="http://schemas.openxmlformats.org/officeDocument/2006/relationships/hyperlink" Target="https://www.whitehouse.gov/presidential-actions/2025/01/the-organization-for-economic-co-operation-and-development-oecd-global-tax-deal-global-tax-dea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17x\AppData\Local\Microsoft\Windows\INetCache\Content.Outlook\JT1QR2PU\&#1488;&#1497;&#1493;&#1512;%20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1"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Calibri" panose="020F0502020204030204" pitchFamily="34" charset="0"/>
                <a:ea typeface="+mn-ea"/>
                <a:cs typeface="Calibri" panose="020F0502020204030204" pitchFamily="34" charset="0"/>
              </a:defRPr>
            </a:pPr>
            <a:r>
              <a:rPr lang="en-US" sz="1400" b="1" i="0" baseline="0">
                <a:solidFill>
                  <a:sysClr val="windowText" lastClr="000000"/>
                </a:solidFill>
                <a:effectLst/>
                <a:latin typeface="Calibri" panose="020F0502020204030204" pitchFamily="34" charset="0"/>
                <a:cs typeface="Calibri" panose="020F0502020204030204" pitchFamily="34" charset="0"/>
              </a:rPr>
              <a:t>Statutory Corporate Tax Rates, 2000-2023</a:t>
            </a:r>
            <a:endParaRPr lang="he-IL" sz="1400" b="1" i="0" baseline="0">
              <a:solidFill>
                <a:sysClr val="windowText" lastClr="000000"/>
              </a:solidFill>
              <a:effectLst/>
              <a:latin typeface="Calibri" panose="020F0502020204030204" pitchFamily="34" charset="0"/>
              <a:cs typeface="Calibri" panose="020F0502020204030204" pitchFamily="34" charset="0"/>
            </a:endParaRPr>
          </a:p>
          <a:p>
            <a:pPr marL="0" marR="0" lvl="0" indent="0" algn="ctr" defTabSz="914400" rtl="1"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latin typeface="Calibri" panose="020F0502020204030204" pitchFamily="34" charset="0"/>
                <a:cs typeface="Calibri" panose="020F0502020204030204" pitchFamily="34" charset="0"/>
              </a:defRPr>
            </a:pPr>
            <a:r>
              <a:rPr lang="en-US" sz="1400" b="0" i="0" baseline="0">
                <a:solidFill>
                  <a:sysClr val="windowText" lastClr="000000"/>
                </a:solidFill>
                <a:effectLst/>
                <a:latin typeface="Calibri" panose="020F0502020204030204" pitchFamily="34" charset="0"/>
                <a:cs typeface="Calibri" panose="020F0502020204030204" pitchFamily="34" charset="0"/>
              </a:rPr>
              <a:t>(excluding countries with 0% rates)</a:t>
            </a:r>
            <a:endParaRPr lang="en-US" sz="1400" b="0">
              <a:solidFill>
                <a:sysClr val="windowText" lastClr="000000"/>
              </a:solidFill>
              <a:latin typeface="Calibri" panose="020F0502020204030204" pitchFamily="34" charset="0"/>
              <a:cs typeface="Calibri" panose="020F0502020204030204" pitchFamily="34" charset="0"/>
            </a:endParaRPr>
          </a:p>
        </c:rich>
      </c:tx>
      <c:layout>
        <c:manualLayout>
          <c:xMode val="edge"/>
          <c:yMode val="edge"/>
          <c:x val="0.24247006974972177"/>
          <c:y val="6.8492374965012258E-3"/>
        </c:manualLayout>
      </c:layout>
      <c:overlay val="0"/>
      <c:spPr>
        <a:noFill/>
        <a:ln>
          <a:noFill/>
        </a:ln>
        <a:effectLst/>
      </c:spPr>
      <c:txPr>
        <a:bodyPr rot="0" spcFirstLastPara="1" vertOverflow="ellipsis" vert="horz" wrap="square" anchor="ctr" anchorCtr="1"/>
        <a:lstStyle/>
        <a:p>
          <a:pPr marL="0" marR="0" lvl="0" indent="0" algn="ctr" defTabSz="914400" rtl="1"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Calibri" panose="020F0502020204030204" pitchFamily="34" charset="0"/>
              <a:ea typeface="+mn-ea"/>
              <a:cs typeface="Calibri" panose="020F0502020204030204" pitchFamily="34" charset="0"/>
            </a:defRPr>
          </a:pPr>
          <a:endParaRPr lang="he-IL"/>
        </a:p>
      </c:txPr>
    </c:title>
    <c:autoTitleDeleted val="0"/>
    <c:plotArea>
      <c:layout>
        <c:manualLayout>
          <c:layoutTarget val="inner"/>
          <c:xMode val="edge"/>
          <c:yMode val="edge"/>
          <c:x val="5.9913420629735037E-2"/>
          <c:y val="0.14205191763684435"/>
          <c:w val="0.92145609927779382"/>
          <c:h val="0.60672585375273247"/>
        </c:manualLayout>
      </c:layout>
      <c:lineChart>
        <c:grouping val="standard"/>
        <c:varyColors val="0"/>
        <c:ser>
          <c:idx val="0"/>
          <c:order val="0"/>
          <c:tx>
            <c:strRef>
              <c:f>'Figure 3_CIT statutory'!$E$124</c:f>
              <c:strCache>
                <c:ptCount val="1"/>
                <c:pt idx="0">
                  <c:v>Advanced economies</c:v>
                </c:pt>
              </c:strCache>
            </c:strRef>
          </c:tx>
          <c:spPr>
            <a:ln w="28575" cap="rnd">
              <a:solidFill>
                <a:schemeClr val="accent4"/>
              </a:solidFill>
              <a:round/>
            </a:ln>
            <a:effectLst/>
          </c:spPr>
          <c:marker>
            <c:symbol val="none"/>
          </c:marker>
          <c:cat>
            <c:numRef>
              <c:f>'Figure 3_CIT statutory'!$F$123:$AC$123</c:f>
              <c:numCache>
                <c:formatCode>General</c:formatCode>
                <c:ptCount val="2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numCache>
            </c:numRef>
          </c:cat>
          <c:val>
            <c:numRef>
              <c:f>'Figure 3_CIT statutory'!$F$124:$AC$124</c:f>
              <c:numCache>
                <c:formatCode>#,##0.0_ ;\-#,##0.0\ </c:formatCode>
                <c:ptCount val="24"/>
                <c:pt idx="0">
                  <c:v>30.994879999999998</c:v>
                </c:pt>
                <c:pt idx="1">
                  <c:v>29.956259999999997</c:v>
                </c:pt>
                <c:pt idx="2">
                  <c:v>28.765019999999996</c:v>
                </c:pt>
                <c:pt idx="3">
                  <c:v>28.30968</c:v>
                </c:pt>
                <c:pt idx="4">
                  <c:v>27.137139999999999</c:v>
                </c:pt>
                <c:pt idx="5">
                  <c:v>26.113719999999997</c:v>
                </c:pt>
                <c:pt idx="6">
                  <c:v>25.913220000000003</c:v>
                </c:pt>
                <c:pt idx="7">
                  <c:v>25.167599999999997</c:v>
                </c:pt>
                <c:pt idx="8">
                  <c:v>23.547059999999998</c:v>
                </c:pt>
                <c:pt idx="9">
                  <c:v>23.273739999999997</c:v>
                </c:pt>
                <c:pt idx="10">
                  <c:v>23.106999999999999</c:v>
                </c:pt>
                <c:pt idx="11">
                  <c:v>22.571559999999998</c:v>
                </c:pt>
                <c:pt idx="12">
                  <c:v>22.41602</c:v>
                </c:pt>
                <c:pt idx="13">
                  <c:v>22.71754</c:v>
                </c:pt>
                <c:pt idx="14">
                  <c:v>22.4817</c:v>
                </c:pt>
                <c:pt idx="15">
                  <c:v>22.361400000000003</c:v>
                </c:pt>
                <c:pt idx="16">
                  <c:v>22.086559999999999</c:v>
                </c:pt>
                <c:pt idx="17">
                  <c:v>21.89406</c:v>
                </c:pt>
                <c:pt idx="18">
                  <c:v>21.487280000000002</c:v>
                </c:pt>
                <c:pt idx="19">
                  <c:v>21.285839999999997</c:v>
                </c:pt>
                <c:pt idx="20">
                  <c:v>20.968180000000004</c:v>
                </c:pt>
                <c:pt idx="21">
                  <c:v>20.781459999999996</c:v>
                </c:pt>
                <c:pt idx="22">
                  <c:v>20.486540000000005</c:v>
                </c:pt>
                <c:pt idx="23">
                  <c:v>20.565740000000005</c:v>
                </c:pt>
              </c:numCache>
            </c:numRef>
          </c:val>
          <c:smooth val="0"/>
          <c:extLst>
            <c:ext xmlns:c16="http://schemas.microsoft.com/office/drawing/2014/chart" uri="{C3380CC4-5D6E-409C-BE32-E72D297353CC}">
              <c16:uniqueId val="{00000000-0B49-4132-94B1-772B85FFB040}"/>
            </c:ext>
          </c:extLst>
        </c:ser>
        <c:ser>
          <c:idx val="1"/>
          <c:order val="1"/>
          <c:tx>
            <c:strRef>
              <c:f>'Figure 3_CIT statutory'!$E$125</c:f>
              <c:strCache>
                <c:ptCount val="1"/>
                <c:pt idx="0">
                  <c:v>Developing economies</c:v>
                </c:pt>
              </c:strCache>
            </c:strRef>
          </c:tx>
          <c:spPr>
            <a:ln w="28575" cap="rnd">
              <a:solidFill>
                <a:schemeClr val="accent2"/>
              </a:solidFill>
              <a:round/>
            </a:ln>
            <a:effectLst/>
          </c:spPr>
          <c:marker>
            <c:symbol val="none"/>
          </c:marker>
          <c:cat>
            <c:numRef>
              <c:f>'Figure 3_CIT statutory'!$F$123:$AC$123</c:f>
              <c:numCache>
                <c:formatCode>General</c:formatCode>
                <c:ptCount val="2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numCache>
            </c:numRef>
          </c:cat>
          <c:val>
            <c:numRef>
              <c:f>'Figure 3_CIT statutory'!$F$125:$AC$125</c:f>
              <c:numCache>
                <c:formatCode>#,##0.0_ ;\-#,##0.0\ </c:formatCode>
                <c:ptCount val="24"/>
                <c:pt idx="0">
                  <c:v>32.189823529411768</c:v>
                </c:pt>
                <c:pt idx="1">
                  <c:v>32.003137254901965</c:v>
                </c:pt>
                <c:pt idx="2">
                  <c:v>31.48</c:v>
                </c:pt>
                <c:pt idx="3">
                  <c:v>31.36137254901961</c:v>
                </c:pt>
                <c:pt idx="4">
                  <c:v>31.217254901960782</c:v>
                </c:pt>
                <c:pt idx="5">
                  <c:v>30.123333333333331</c:v>
                </c:pt>
                <c:pt idx="6">
                  <c:v>29.152745098039215</c:v>
                </c:pt>
                <c:pt idx="7">
                  <c:v>28.681568627450979</c:v>
                </c:pt>
                <c:pt idx="8">
                  <c:v>28.000784313725489</c:v>
                </c:pt>
                <c:pt idx="9">
                  <c:v>27.794901960784312</c:v>
                </c:pt>
                <c:pt idx="10">
                  <c:v>27.541960784313723</c:v>
                </c:pt>
                <c:pt idx="11">
                  <c:v>27.210392156862746</c:v>
                </c:pt>
                <c:pt idx="12">
                  <c:v>27.141764705882352</c:v>
                </c:pt>
                <c:pt idx="13">
                  <c:v>26.798235294117649</c:v>
                </c:pt>
                <c:pt idx="14">
                  <c:v>26.390784313725486</c:v>
                </c:pt>
                <c:pt idx="15">
                  <c:v>26.272941176470589</c:v>
                </c:pt>
                <c:pt idx="16">
                  <c:v>26.106274509803924</c:v>
                </c:pt>
                <c:pt idx="17">
                  <c:v>26.233725490196079</c:v>
                </c:pt>
                <c:pt idx="18">
                  <c:v>26.055294117647062</c:v>
                </c:pt>
                <c:pt idx="19">
                  <c:v>25.304901960784314</c:v>
                </c:pt>
                <c:pt idx="20">
                  <c:v>24.885686274509805</c:v>
                </c:pt>
                <c:pt idx="21">
                  <c:v>24.434705882352944</c:v>
                </c:pt>
                <c:pt idx="22">
                  <c:v>23.444509803921569</c:v>
                </c:pt>
                <c:pt idx="23">
                  <c:v>23.346470588235295</c:v>
                </c:pt>
              </c:numCache>
            </c:numRef>
          </c:val>
          <c:smooth val="0"/>
          <c:extLst>
            <c:ext xmlns:c16="http://schemas.microsoft.com/office/drawing/2014/chart" uri="{C3380CC4-5D6E-409C-BE32-E72D297353CC}">
              <c16:uniqueId val="{00000001-0B49-4132-94B1-772B85FFB040}"/>
            </c:ext>
          </c:extLst>
        </c:ser>
        <c:ser>
          <c:idx val="2"/>
          <c:order val="2"/>
          <c:tx>
            <c:strRef>
              <c:f>'Figure 3_CIT statutory'!$E$126</c:f>
              <c:strCache>
                <c:ptCount val="1"/>
                <c:pt idx="0">
                  <c:v>Total</c:v>
                </c:pt>
              </c:strCache>
            </c:strRef>
          </c:tx>
          <c:spPr>
            <a:ln w="28575" cap="rnd">
              <a:solidFill>
                <a:schemeClr val="tx1"/>
              </a:solidFill>
              <a:round/>
            </a:ln>
            <a:effectLst/>
          </c:spPr>
          <c:marker>
            <c:symbol val="none"/>
          </c:marker>
          <c:cat>
            <c:numRef>
              <c:f>'Figure 3_CIT statutory'!$F$123:$AC$123</c:f>
              <c:numCache>
                <c:formatCode>General</c:formatCode>
                <c:ptCount val="2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numCache>
            </c:numRef>
          </c:cat>
          <c:val>
            <c:numRef>
              <c:f>'Figure 3_CIT statutory'!$F$126:$AC$126</c:f>
              <c:numCache>
                <c:formatCode>#,##0.0_ ;\-#,##0.0\ </c:formatCode>
                <c:ptCount val="24"/>
                <c:pt idx="0">
                  <c:v>31.598267326732675</c:v>
                </c:pt>
                <c:pt idx="1">
                  <c:v>30.989831683168301</c:v>
                </c:pt>
                <c:pt idx="2">
                  <c:v>30.135950495049503</c:v>
                </c:pt>
                <c:pt idx="3">
                  <c:v>29.850633663366335</c:v>
                </c:pt>
                <c:pt idx="4">
                  <c:v>29.197396039603959</c:v>
                </c:pt>
                <c:pt idx="5">
                  <c:v>28.13837623762376</c:v>
                </c:pt>
                <c:pt idx="6">
                  <c:v>27.549019801980197</c:v>
                </c:pt>
                <c:pt idx="7">
                  <c:v>26.941980198019802</c:v>
                </c:pt>
                <c:pt idx="8">
                  <c:v>25.795970297029704</c:v>
                </c:pt>
                <c:pt idx="9">
                  <c:v>25.556702970297028</c:v>
                </c:pt>
                <c:pt idx="10">
                  <c:v>25.346435643564355</c:v>
                </c:pt>
                <c:pt idx="11">
                  <c:v>24.913940594059405</c:v>
                </c:pt>
                <c:pt idx="12">
                  <c:v>24.802287128712869</c:v>
                </c:pt>
                <c:pt idx="13">
                  <c:v>24.778089108910891</c:v>
                </c:pt>
                <c:pt idx="14">
                  <c:v>24.455594059405939</c:v>
                </c:pt>
                <c:pt idx="15">
                  <c:v>24.33653465346535</c:v>
                </c:pt>
                <c:pt idx="16">
                  <c:v>24.116316831683168</c:v>
                </c:pt>
                <c:pt idx="17">
                  <c:v>24.085376237623763</c:v>
                </c:pt>
                <c:pt idx="18">
                  <c:v>23.793900990099011</c:v>
                </c:pt>
                <c:pt idx="19">
                  <c:v>23.31526732673267</c:v>
                </c:pt>
                <c:pt idx="20">
                  <c:v>22.94632673267327</c:v>
                </c:pt>
                <c:pt idx="21">
                  <c:v>22.626168316831684</c:v>
                </c:pt>
                <c:pt idx="22">
                  <c:v>21.980168316831687</c:v>
                </c:pt>
                <c:pt idx="23">
                  <c:v>21.969871287128715</c:v>
                </c:pt>
              </c:numCache>
            </c:numRef>
          </c:val>
          <c:smooth val="0"/>
          <c:extLst>
            <c:ext xmlns:c16="http://schemas.microsoft.com/office/drawing/2014/chart" uri="{C3380CC4-5D6E-409C-BE32-E72D297353CC}">
              <c16:uniqueId val="{00000002-0B49-4132-94B1-772B85FFB040}"/>
            </c:ext>
          </c:extLst>
        </c:ser>
        <c:ser>
          <c:idx val="3"/>
          <c:order val="3"/>
          <c:tx>
            <c:strRef>
              <c:f>'Figure 3_CIT statutory'!$A$24</c:f>
              <c:strCache>
                <c:ptCount val="1"/>
                <c:pt idx="0">
                  <c:v>Israel</c:v>
                </c:pt>
              </c:strCache>
            </c:strRef>
          </c:tx>
          <c:spPr>
            <a:ln w="28575" cap="rnd">
              <a:solidFill>
                <a:schemeClr val="accent1"/>
              </a:solidFill>
              <a:round/>
            </a:ln>
            <a:effectLst/>
          </c:spPr>
          <c:marker>
            <c:symbol val="none"/>
          </c:marker>
          <c:val>
            <c:numRef>
              <c:f>'Figure 3_CIT statutory'!$F$24:$AC$24</c:f>
              <c:numCache>
                <c:formatCode>#,##0_ ;\-#,##0\ </c:formatCode>
                <c:ptCount val="24"/>
                <c:pt idx="0">
                  <c:v>36</c:v>
                </c:pt>
                <c:pt idx="1">
                  <c:v>36</c:v>
                </c:pt>
                <c:pt idx="2">
                  <c:v>36</c:v>
                </c:pt>
                <c:pt idx="3">
                  <c:v>36</c:v>
                </c:pt>
                <c:pt idx="4">
                  <c:v>35</c:v>
                </c:pt>
                <c:pt idx="5">
                  <c:v>34</c:v>
                </c:pt>
                <c:pt idx="6">
                  <c:v>31</c:v>
                </c:pt>
                <c:pt idx="7">
                  <c:v>29</c:v>
                </c:pt>
                <c:pt idx="8">
                  <c:v>27</c:v>
                </c:pt>
                <c:pt idx="9">
                  <c:v>26</c:v>
                </c:pt>
                <c:pt idx="10">
                  <c:v>25</c:v>
                </c:pt>
                <c:pt idx="11">
                  <c:v>24</c:v>
                </c:pt>
                <c:pt idx="12">
                  <c:v>25</c:v>
                </c:pt>
                <c:pt idx="13">
                  <c:v>25</c:v>
                </c:pt>
                <c:pt idx="14">
                  <c:v>26.5</c:v>
                </c:pt>
                <c:pt idx="15">
                  <c:v>26.5</c:v>
                </c:pt>
                <c:pt idx="16">
                  <c:v>25</c:v>
                </c:pt>
                <c:pt idx="17">
                  <c:v>24</c:v>
                </c:pt>
                <c:pt idx="18">
                  <c:v>23</c:v>
                </c:pt>
                <c:pt idx="19">
                  <c:v>23</c:v>
                </c:pt>
                <c:pt idx="20">
                  <c:v>23</c:v>
                </c:pt>
                <c:pt idx="21">
                  <c:v>23</c:v>
                </c:pt>
                <c:pt idx="22">
                  <c:v>23</c:v>
                </c:pt>
                <c:pt idx="23">
                  <c:v>23</c:v>
                </c:pt>
              </c:numCache>
            </c:numRef>
          </c:val>
          <c:smooth val="0"/>
          <c:extLst>
            <c:ext xmlns:c16="http://schemas.microsoft.com/office/drawing/2014/chart" uri="{C3380CC4-5D6E-409C-BE32-E72D297353CC}">
              <c16:uniqueId val="{00000003-0B49-4132-94B1-772B85FFB040}"/>
            </c:ext>
          </c:extLst>
        </c:ser>
        <c:dLbls>
          <c:showLegendKey val="0"/>
          <c:showVal val="0"/>
          <c:showCatName val="0"/>
          <c:showSerName val="0"/>
          <c:showPercent val="0"/>
          <c:showBubbleSize val="0"/>
        </c:dLbls>
        <c:smooth val="0"/>
        <c:axId val="342449456"/>
        <c:axId val="342443696"/>
      </c:lineChart>
      <c:dateAx>
        <c:axId val="342449456"/>
        <c:scaling>
          <c:orientation val="minMax"/>
        </c:scaling>
        <c:delete val="0"/>
        <c:axPos val="b"/>
        <c:title>
          <c:tx>
            <c:rich>
              <a:bodyPr rot="0" spcFirstLastPara="1" vertOverflow="ellipsis" vert="horz" wrap="square" anchor="ctr" anchorCtr="1"/>
              <a:lstStyle/>
              <a:p>
                <a:pPr algn="l" rtl="0">
                  <a:defRPr sz="10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en-US" sz="1050" baseline="0">
                    <a:solidFill>
                      <a:sysClr val="windowText" lastClr="000000"/>
                    </a:solidFill>
                    <a:effectLst/>
                    <a:latin typeface="Calibri" panose="020F0502020204030204" pitchFamily="34" charset="0"/>
                    <a:cs typeface="Calibri" panose="020F0502020204030204" pitchFamily="34" charset="0"/>
                  </a:rPr>
                  <a:t>SOURCE: OECD Statutory Corporate Income Tax Rates Database</a:t>
                </a:r>
                <a:r>
                  <a:rPr lang="he-IL" sz="1050" baseline="0">
                    <a:solidFill>
                      <a:sysClr val="windowText" lastClr="000000"/>
                    </a:solidFill>
                    <a:effectLst/>
                    <a:latin typeface="Calibri" panose="020F0502020204030204" pitchFamily="34" charset="0"/>
                    <a:cs typeface="Calibri" panose="020F0502020204030204" pitchFamily="34" charset="0"/>
                  </a:rPr>
                  <a:t> </a:t>
                </a:r>
                <a:endParaRPr lang="he-IL" sz="1050">
                  <a:solidFill>
                    <a:sysClr val="windowText" lastClr="000000"/>
                  </a:solidFill>
                  <a:effectLst/>
                  <a:latin typeface="Calibri" panose="020F0502020204030204" pitchFamily="34" charset="0"/>
                  <a:cs typeface="Calibri" panose="020F0502020204030204" pitchFamily="34" charset="0"/>
                </a:endParaRPr>
              </a:p>
            </c:rich>
          </c:tx>
          <c:layout>
            <c:manualLayout>
              <c:xMode val="edge"/>
              <c:yMode val="edge"/>
              <c:x val="9.8020579630194379E-3"/>
              <c:y val="0.951260290967189"/>
            </c:manualLayout>
          </c:layout>
          <c:overlay val="0"/>
          <c:spPr>
            <a:noFill/>
            <a:ln>
              <a:noFill/>
            </a:ln>
            <a:effectLst/>
          </c:spPr>
          <c:txPr>
            <a:bodyPr rot="0" spcFirstLastPara="1" vertOverflow="ellipsis" vert="horz" wrap="square" anchor="ctr" anchorCtr="1"/>
            <a:lstStyle/>
            <a:p>
              <a:pPr algn="l" rtl="0">
                <a:defRPr sz="10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he-I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he-IL"/>
          </a:p>
        </c:txPr>
        <c:crossAx val="342443696"/>
        <c:crosses val="autoZero"/>
        <c:auto val="0"/>
        <c:lblOffset val="100"/>
        <c:baseTimeUnit val="days"/>
      </c:dateAx>
      <c:valAx>
        <c:axId val="342443696"/>
        <c:scaling>
          <c:orientation val="minMax"/>
          <c:max val="36.5"/>
          <c:min val="20"/>
        </c:scaling>
        <c:delete val="0"/>
        <c:axPos val="l"/>
        <c:majorGridlines>
          <c:spPr>
            <a:ln w="9525" cap="flat" cmpd="sng" algn="ctr">
              <a:solidFill>
                <a:schemeClr val="tx1">
                  <a:lumMod val="15000"/>
                  <a:lumOff val="85000"/>
                </a:schemeClr>
              </a:solidFill>
              <a:round/>
            </a:ln>
            <a:effectLst/>
          </c:spPr>
        </c:majorGridlines>
        <c:numFmt formatCode="#,##0_ ;\-#,##0\ "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he-IL"/>
          </a:p>
        </c:txPr>
        <c:crossAx val="342449456"/>
        <c:crosses val="autoZero"/>
        <c:crossBetween val="between"/>
      </c:valAx>
      <c:spPr>
        <a:noFill/>
        <a:ln>
          <a:noFill/>
        </a:ln>
        <a:effectLst/>
      </c:spPr>
    </c:plotArea>
    <c:legend>
      <c:legendPos val="b"/>
      <c:layout>
        <c:manualLayout>
          <c:xMode val="edge"/>
          <c:yMode val="edge"/>
          <c:x val="0"/>
          <c:y val="0.88219251789646402"/>
          <c:w val="0.99196181438104447"/>
          <c:h val="4.6811212543344798E-2"/>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he-IL"/>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2.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CB3AD7-C05B-4FB1-A8D2-B75B3DAE7EF1}">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3FD6169-CEDC-4F29-A537-17FA1B3CA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1108</Words>
  <Characters>6191</Characters>
  <Application>Microsoft Office Word</Application>
  <DocSecurity>4</DocSecurity>
  <Lines>51</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2025-05-25T07:07:00Z</dcterms:created>
  <dcterms:modified xsi:type="dcterms:W3CDTF">2025-05-25T07:07:00Z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