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bidiVisual/>
        <w:tblW w:w="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40"/>
        <w:gridCol w:w="2596"/>
        <w:gridCol w:w="3084"/>
      </w:tblGrid>
      <w:tr w:rsidTr="00BD3170">
        <w:tblPrEx>
          <w:tblW w:w="0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Header/>
          <w:jc w:val="center"/>
        </w:trPr>
        <w:tc>
          <w:tcPr>
            <w:tcW w:w="2840" w:type="dxa"/>
            <w:vAlign w:val="center"/>
            <w:hideMark/>
          </w:tcPr>
          <w:p w:rsidR="0098040A" w:rsidRPr="000E4346" w:rsidP="00BD3170">
            <w:pPr>
              <w:bidi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he-IL" w:bidi="he-IL"/>
              </w:rPr>
            </w:pPr>
            <w:r w:rsidRPr="000E434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he-IL" w:bidi="he-IL"/>
              </w:rPr>
              <w:t>בנק ישראל</w:t>
            </w:r>
          </w:p>
          <w:p w:rsidR="0098040A" w:rsidRPr="000E4346" w:rsidP="00BD3170">
            <w:pPr>
              <w:bidi/>
              <w:spacing w:after="0" w:line="360" w:lineRule="auto"/>
              <w:ind w:right="-101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 w:rsidRPr="000E4346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דוברות והסברה כלכלית</w:t>
            </w:r>
          </w:p>
        </w:tc>
        <w:tc>
          <w:tcPr>
            <w:tcW w:w="2596" w:type="dxa"/>
            <w:hideMark/>
          </w:tcPr>
          <w:p w:rsidR="0098040A" w:rsidRPr="000E4346" w:rsidP="00BD3170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en-US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i1025" type="#_x0000_t75" style="width:1in;height:1in;mso-wrap-distance-bottom:0;mso-wrap-distance-left:0;mso-wrap-distance-right:0;mso-wrap-distance-top:0" filled="f" stroked="f">
                  <v:imagedata r:id="rId4" o:title=""/>
                  <o:lock v:ext="edit" aspectratio="t"/>
                </v:shape>
              </w:pict>
            </w:r>
          </w:p>
        </w:tc>
        <w:tc>
          <w:tcPr>
            <w:tcW w:w="3084" w:type="dxa"/>
            <w:vAlign w:val="center"/>
            <w:hideMark/>
          </w:tcPr>
          <w:p w:rsidR="0098040A" w:rsidRPr="000E4346" w:rsidP="0007229C">
            <w:pPr>
              <w:bidi/>
              <w:spacing w:after="0" w:line="48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 w:rsidRPr="000E4346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‏</w:t>
            </w:r>
            <w:r w:rsidRPr="000E4346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ירושלים</w:t>
            </w:r>
            <w:r w:rsidRPr="000E4346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,</w:t>
            </w:r>
            <w:r w:rsidRPr="000E4346" w:rsidR="008A7635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 </w:t>
            </w:r>
            <w:r w:rsidR="0007229C">
              <w:rPr>
                <w:rFonts w:ascii="Calibri" w:eastAsia="Times New Roman" w:hAnsi="Calibri" w:cs="Times New Roman" w:hint="cs"/>
                <w:sz w:val="24"/>
                <w:szCs w:val="24"/>
                <w:rtl/>
                <w:lang w:val="en-US" w:eastAsia="he-IL" w:bidi="he-IL"/>
              </w:rPr>
              <w:t>ח</w:t>
            </w:r>
            <w:r w:rsidR="0007229C"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he-IL" w:bidi="he-IL"/>
              </w:rPr>
              <w:t xml:space="preserve">' </w:t>
            </w:r>
            <w:r w:rsidR="0007229C">
              <w:rPr>
                <w:rFonts w:ascii="Calibri" w:eastAsia="Times New Roman" w:hAnsi="Calibri" w:cs="Times New Roman" w:hint="cs"/>
                <w:sz w:val="24"/>
                <w:szCs w:val="24"/>
                <w:rtl/>
                <w:lang w:val="en-US" w:eastAsia="he-IL" w:bidi="he-IL"/>
              </w:rPr>
              <w:t>בתשרי</w:t>
            </w:r>
            <w:r w:rsidRPr="000E4346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, </w:t>
            </w:r>
            <w:r w:rsidRPr="000E4346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תשפ</w:t>
            </w:r>
            <w:r w:rsidRPr="000E4346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"</w:t>
            </w:r>
            <w:r w:rsidRPr="000E4346" w:rsidR="008B131B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ד</w:t>
            </w:r>
          </w:p>
          <w:p w:rsidR="0098040A" w:rsidRPr="000E4346" w:rsidP="0007229C">
            <w:pPr>
              <w:bidi/>
              <w:spacing w:after="0" w:line="48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</w:pPr>
            <w:r w:rsidRPr="000E4346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‏‏</w:t>
            </w:r>
            <w:r w:rsidR="0007229C"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he-IL" w:bidi="he-IL"/>
              </w:rPr>
              <w:t>10</w:t>
            </w:r>
            <w:r w:rsidRPr="000E4346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 </w:t>
            </w:r>
            <w:r w:rsidR="0007229C">
              <w:rPr>
                <w:rFonts w:ascii="Calibri" w:eastAsia="Times New Roman" w:hAnsi="Calibri" w:cs="Times New Roman" w:hint="cs"/>
                <w:sz w:val="24"/>
                <w:szCs w:val="24"/>
                <w:rtl/>
                <w:lang w:val="en-US" w:eastAsia="he-IL" w:bidi="he-IL"/>
              </w:rPr>
              <w:t>באוקטובר</w:t>
            </w:r>
            <w:r w:rsidR="007C36B1"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he-IL" w:bidi="he-IL"/>
              </w:rPr>
              <w:t xml:space="preserve"> </w:t>
            </w:r>
            <w:r w:rsidRPr="000E4346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 </w:t>
            </w:r>
            <w:r w:rsidRPr="000E4346" w:rsidR="002B08BD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2024</w:t>
            </w:r>
          </w:p>
        </w:tc>
      </w:tr>
    </w:tbl>
    <w:p w:rsidR="0098040A" w:rsidRPr="00676ADB" w:rsidP="0098040A">
      <w:pPr>
        <w:bidi/>
        <w:spacing w:before="240" w:line="360" w:lineRule="auto"/>
        <w:ind w:right="-102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إعلان للصحافة</w:t>
      </w:r>
      <w:r w:rsidRPr="00676ADB">
        <w:rPr>
          <w:rFonts w:ascii="Arial" w:hAnsi="Arial" w:cs="Arial"/>
          <w:sz w:val="24"/>
          <w:szCs w:val="24"/>
          <w:rtl/>
        </w:rPr>
        <w:t>:</w:t>
      </w:r>
    </w:p>
    <w:p w:rsidR="0098040A" w:rsidRPr="00676ADB" w:rsidP="00DF52F8">
      <w:pPr>
        <w:jc w:val="right"/>
        <w:rPr>
          <w:rFonts w:ascii="Arial" w:hAnsi="Arial" w:cs="Arial"/>
        </w:rPr>
      </w:pPr>
    </w:p>
    <w:p w:rsidR="00DF52F8" w:rsidRPr="00676ADB" w:rsidP="00DF52F8">
      <w:pPr>
        <w:jc w:val="right"/>
        <w:rPr>
          <w:rFonts w:ascii="Arial" w:hAnsi="Arial" w:cs="Arial"/>
        </w:rPr>
      </w:pPr>
    </w:p>
    <w:p w:rsidR="00DF52F8" w:rsidRPr="00676ADB" w:rsidP="00DF52F8">
      <w:pPr>
        <w:jc w:val="right"/>
        <w:rPr>
          <w:rFonts w:ascii="Arial" w:hAnsi="Arial" w:cs="Arial"/>
        </w:rPr>
      </w:pPr>
    </w:p>
    <w:p w:rsidR="00676ADB" w:rsidRPr="00676ADB" w:rsidP="00DF52F8">
      <w:pPr>
        <w:spacing w:line="360" w:lineRule="auto"/>
        <w:ind w:left="-942" w:right="-851"/>
        <w:jc w:val="center"/>
        <w:rPr>
          <w:rFonts w:ascii="Arial" w:hAnsi="Arial" w:cs="Arial" w:hint="cs"/>
          <w:b/>
          <w:bCs/>
          <w:sz w:val="28"/>
          <w:szCs w:val="28"/>
          <w:lang w:bidi="ar-SA"/>
        </w:rPr>
      </w:pPr>
      <w:r w:rsidRPr="00676ADB">
        <w:rPr>
          <w:rFonts w:ascii="Arial" w:hAnsi="Arial" w:cs="Arial"/>
          <w:b/>
          <w:bCs/>
          <w:sz w:val="28"/>
          <w:szCs w:val="28"/>
          <w:rtl/>
          <w:lang w:bidi="ar-SA"/>
        </w:rPr>
        <w:t>اللجنة النقدية في بنك إسرائيل</w:t>
      </w: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تجتمع</w:t>
      </w:r>
      <w:r w:rsidRPr="00676ADB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مع المتنبئين الماليين</w:t>
      </w:r>
    </w:p>
    <w:p w:rsidR="00DF52F8" w:rsidRPr="00676ADB" w:rsidP="00DF52F8">
      <w:pPr>
        <w:spacing w:line="360" w:lineRule="auto"/>
        <w:ind w:left="-942" w:right="-851"/>
        <w:jc w:val="right"/>
        <w:rPr>
          <w:rFonts w:ascii="Arial" w:hAnsi="Arial" w:cs="Arial"/>
          <w:sz w:val="24"/>
          <w:szCs w:val="24"/>
          <w:rtl/>
        </w:rPr>
      </w:pPr>
    </w:p>
    <w:p w:rsidR="00676ADB" w:rsidRPr="00676ADB" w:rsidP="00676ADB">
      <w:pPr>
        <w:bidi/>
        <w:spacing w:line="360" w:lineRule="auto"/>
        <w:ind w:left="-942" w:right="-1134"/>
        <w:rPr>
          <w:rFonts w:ascii="Arial" w:hAnsi="Arial" w:cs="Arial" w:hint="cs"/>
          <w:sz w:val="24"/>
          <w:szCs w:val="24"/>
          <w:rtl/>
          <w:lang w:bidi="ar-SA"/>
        </w:rPr>
      </w:pP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عقد محافظ بنك إسرائيل، البروفيسور أمير يارون، وأعضاء اللجنة النقدية في بنك إسرائيل، اليوم </w:t>
      </w:r>
      <w:r>
        <w:rPr>
          <w:rFonts w:ascii="Arial" w:hAnsi="Arial" w:cs="Arial" w:hint="cs"/>
          <w:sz w:val="24"/>
          <w:szCs w:val="24"/>
          <w:rtl/>
          <w:lang w:bidi="ar-SA"/>
        </w:rPr>
        <w:t>الاحتماع</w:t>
      </w: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 ربع </w:t>
      </w:r>
      <w:r>
        <w:rPr>
          <w:rFonts w:ascii="Arial" w:hAnsi="Arial" w:cs="Arial" w:hint="cs"/>
          <w:sz w:val="24"/>
          <w:szCs w:val="24"/>
          <w:rtl/>
          <w:lang w:bidi="ar-SA"/>
        </w:rPr>
        <w:t>ال</w:t>
      </w: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سنوي مع مجموعة من المتنبئين الذين يزودون بنك إسرائيل بانتظام بتوقعات بشأن التضخم والفائدة </w:t>
      </w:r>
      <w:r>
        <w:rPr>
          <w:rFonts w:ascii="Arial" w:hAnsi="Arial" w:cs="Arial" w:hint="cs"/>
          <w:sz w:val="24"/>
          <w:szCs w:val="24"/>
          <w:rtl/>
          <w:lang w:bidi="ar-SA"/>
        </w:rPr>
        <w:t>وسعر الصرف</w:t>
      </w: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cs="Arial" w:hint="cs"/>
          <w:sz w:val="24"/>
          <w:szCs w:val="24"/>
          <w:rtl/>
          <w:lang w:bidi="ar-SA"/>
        </w:rPr>
        <w:t>يتم خلال اللقاء</w:t>
      </w: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 تبادل الآراء والتقييمات بين بنك إسرائيل وأهم </w:t>
      </w:r>
      <w:r>
        <w:rPr>
          <w:rFonts w:ascii="Arial" w:hAnsi="Arial" w:cs="Arial" w:hint="cs"/>
          <w:sz w:val="24"/>
          <w:szCs w:val="24"/>
          <w:rtl/>
          <w:lang w:bidi="ar-SA"/>
        </w:rPr>
        <w:t>المؤسسات</w:t>
      </w: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 المالية في </w:t>
      </w:r>
      <w:r>
        <w:rPr>
          <w:rFonts w:ascii="Arial" w:hAnsi="Arial" w:cs="Arial" w:hint="cs"/>
          <w:sz w:val="24"/>
          <w:szCs w:val="24"/>
          <w:rtl/>
          <w:lang w:bidi="ar-SA"/>
        </w:rPr>
        <w:t>النظام الاقتصادي</w:t>
      </w:r>
      <w:r w:rsidRPr="00676ADB">
        <w:rPr>
          <w:rFonts w:ascii="Arial" w:hAnsi="Arial" w:cs="Arial"/>
          <w:sz w:val="24"/>
          <w:szCs w:val="24"/>
        </w:rPr>
        <w:t>.</w:t>
      </w:r>
    </w:p>
    <w:p w:rsidR="00E56689" w:rsidRPr="00676ADB" w:rsidP="00EF3A7B">
      <w:pPr>
        <w:spacing w:line="360" w:lineRule="auto"/>
        <w:ind w:right="-1134"/>
        <w:rPr>
          <w:rFonts w:ascii="Arial" w:hAnsi="Arial" w:cs="Arial"/>
          <w:sz w:val="24"/>
          <w:szCs w:val="24"/>
        </w:rPr>
      </w:pPr>
    </w:p>
    <w:p w:rsidR="00E56689" w:rsidRPr="00676ADB" w:rsidP="00676ADB">
      <w:pPr>
        <w:spacing w:line="360" w:lineRule="auto"/>
        <w:ind w:right="-1134"/>
        <w:jc w:val="right"/>
        <w:rPr>
          <w:rFonts w:ascii="Arial" w:hAnsi="Arial" w:cs="Arial"/>
          <w:sz w:val="24"/>
          <w:szCs w:val="24"/>
        </w:rPr>
      </w:pP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افتتح المحافظ البروفيسور أمير يارون اللقاء </w:t>
      </w:r>
      <w:r>
        <w:rPr>
          <w:rFonts w:ascii="Arial" w:hAnsi="Arial" w:cs="Arial" w:hint="cs"/>
          <w:sz w:val="24"/>
          <w:szCs w:val="24"/>
          <w:rtl/>
          <w:lang w:bidi="ar-SA"/>
        </w:rPr>
        <w:t>وتناول</w:t>
      </w: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 التطورات الاقتصادية المختلفة على خلفية الحرب. بعد ذلك، قامت شيرا بوزاجلو بريس، الخبيرة الاقتصادية في </w:t>
      </w:r>
      <w:r>
        <w:rPr>
          <w:rFonts w:ascii="Arial" w:hAnsi="Arial" w:cs="Arial" w:hint="cs"/>
          <w:sz w:val="24"/>
          <w:szCs w:val="24"/>
          <w:rtl/>
          <w:lang w:bidi="ar-SA"/>
        </w:rPr>
        <w:t>شعبة البحوث</w:t>
      </w: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 بعرض وشرح تقييم</w:t>
      </w:r>
      <w:r>
        <w:rPr>
          <w:rFonts w:ascii="Arial" w:hAnsi="Arial" w:cs="Arial" w:hint="cs"/>
          <w:sz w:val="24"/>
          <w:szCs w:val="24"/>
          <w:rtl/>
          <w:lang w:bidi="ar-SA"/>
        </w:rPr>
        <w:t>ات</w:t>
      </w: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شعبة البحوث</w:t>
      </w: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 تم إعداده</w:t>
      </w:r>
      <w:r>
        <w:rPr>
          <w:rFonts w:ascii="Arial" w:hAnsi="Arial" w:cs="Arial" w:hint="cs"/>
          <w:sz w:val="24"/>
          <w:szCs w:val="24"/>
          <w:rtl/>
          <w:lang w:bidi="ar-SA"/>
        </w:rPr>
        <w:t>ا</w:t>
      </w: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 ونشره للجمهور في </w:t>
      </w:r>
      <w:r>
        <w:rPr>
          <w:rFonts w:ascii="Arial" w:hAnsi="Arial" w:cs="Arial" w:hint="cs"/>
          <w:sz w:val="24"/>
          <w:szCs w:val="24"/>
          <w:rtl/>
          <w:lang w:bidi="ar-SA"/>
        </w:rPr>
        <w:t>9</w:t>
      </w: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تشرين أول</w:t>
      </w: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 2024، </w:t>
      </w:r>
      <w:r>
        <w:rPr>
          <w:rFonts w:ascii="Arial" w:hAnsi="Arial" w:cs="Arial" w:hint="cs"/>
          <w:sz w:val="24"/>
          <w:szCs w:val="24"/>
          <w:rtl/>
          <w:lang w:bidi="ar-SA"/>
        </w:rPr>
        <w:t>مع موعد</w:t>
      </w: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 الإعلان الأخير عن سعر الفائدة. 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مرفق </w:t>
      </w:r>
      <w:r w:rsidRPr="00676ADB">
        <w:rPr>
          <w:rFonts w:ascii="Arial" w:hAnsi="Arial" w:cs="Arial"/>
          <w:sz w:val="24"/>
          <w:szCs w:val="24"/>
          <w:rtl/>
          <w:lang w:bidi="ar-SA"/>
        </w:rPr>
        <w:t>العرض التقديمي الذي قدمته</w:t>
      </w:r>
      <w:r w:rsidRPr="00676ADB" w:rsidR="00341C6A">
        <w:rPr>
          <w:rFonts w:ascii="Arial" w:hAnsi="Arial" w:cs="Arial"/>
          <w:sz w:val="24"/>
          <w:szCs w:val="24"/>
          <w:rtl/>
        </w:rPr>
        <w:t>.</w:t>
      </w:r>
    </w:p>
    <w:p w:rsidR="00DF52F8" w:rsidRPr="00676ADB" w:rsidP="00EF3A7B">
      <w:pPr>
        <w:spacing w:line="360" w:lineRule="auto"/>
        <w:ind w:right="-1134"/>
        <w:rPr>
          <w:rFonts w:ascii="Arial" w:hAnsi="Arial" w:cs="Arial"/>
          <w:sz w:val="24"/>
          <w:szCs w:val="24"/>
          <w:rtl/>
        </w:rPr>
      </w:pPr>
    </w:p>
    <w:p w:rsidR="00DF52F8" w:rsidRPr="00676ADB" w:rsidP="00676ADB">
      <w:pPr>
        <w:spacing w:line="360" w:lineRule="auto"/>
        <w:ind w:left="-942" w:right="-1134"/>
        <w:jc w:val="right"/>
        <w:rPr>
          <w:rFonts w:ascii="Arial" w:hAnsi="Arial" w:cs="Arial"/>
          <w:rtl/>
        </w:rPr>
      </w:pPr>
      <w:bookmarkStart w:id="0" w:name="_GoBack"/>
      <w:bookmarkEnd w:id="0"/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علق المتنبئون على </w:t>
      </w:r>
      <w:r>
        <w:rPr>
          <w:rFonts w:ascii="Arial" w:hAnsi="Arial" w:cs="Arial" w:hint="cs"/>
          <w:sz w:val="24"/>
          <w:szCs w:val="24"/>
          <w:rtl/>
          <w:lang w:bidi="ar-SA"/>
        </w:rPr>
        <w:t>مضمون الاجتماع</w:t>
      </w:r>
      <w:r w:rsidRPr="00676ADB">
        <w:rPr>
          <w:rFonts w:ascii="Arial" w:hAnsi="Arial" w:cs="Arial"/>
          <w:sz w:val="24"/>
          <w:szCs w:val="24"/>
          <w:rtl/>
          <w:lang w:bidi="ar-SA"/>
        </w:rPr>
        <w:t xml:space="preserve"> وقدموا تقييماتهم الاقتصادية </w:t>
      </w:r>
      <w:r>
        <w:rPr>
          <w:rFonts w:ascii="Arial" w:hAnsi="Arial" w:cs="Arial" w:hint="cs"/>
          <w:sz w:val="24"/>
          <w:szCs w:val="24"/>
          <w:rtl/>
          <w:lang w:bidi="ar-SA"/>
        </w:rPr>
        <w:t>بشأن ا</w:t>
      </w:r>
      <w:r w:rsidRPr="00676ADB">
        <w:rPr>
          <w:rFonts w:ascii="Arial" w:hAnsi="Arial" w:cs="Arial"/>
          <w:sz w:val="24"/>
          <w:szCs w:val="24"/>
          <w:rtl/>
          <w:lang w:bidi="ar-SA"/>
        </w:rPr>
        <w:t>لتطورات المختلفة</w:t>
      </w:r>
      <w:r w:rsidRPr="00676ADB">
        <w:rPr>
          <w:rFonts w:ascii="Arial" w:hAnsi="Arial" w:cs="Arial"/>
          <w:sz w:val="24"/>
          <w:szCs w:val="24"/>
          <w:rtl/>
        </w:rPr>
        <w:t>.</w:t>
      </w:r>
    </w:p>
    <w:p w:rsidR="00DF52F8" w:rsidRPr="000E4346" w:rsidP="00DF52F8">
      <w:pPr>
        <w:pStyle w:val="BlockText"/>
        <w:spacing w:before="240" w:after="0" w:line="240" w:lineRule="auto"/>
        <w:ind w:left="0" w:right="-180" w:firstLine="0"/>
        <w:jc w:val="left"/>
        <w:rPr>
          <w:rFonts w:ascii="Calibri" w:hAnsi="Calibri" w:cs="Calibri"/>
          <w:sz w:val="24"/>
        </w:rPr>
      </w:pPr>
    </w:p>
    <w:p w:rsidR="00DF52F8" w:rsidRPr="000E4346" w:rsidP="00DF52F8">
      <w:pPr>
        <w:jc w:val="right"/>
        <w:rPr>
          <w:rFonts w:ascii="Calibri" w:hAnsi="Calibri" w:cs="Calibri"/>
        </w:rPr>
      </w:pPr>
    </w:p>
    <w:p w:rsidR="009D4406" w:rsidRPr="009D4406" w:rsidP="004B5DEE">
      <w:pPr>
        <w:rPr>
          <w:rFonts w:ascii="Calibri" w:hAnsi="Calibri" w:cs="Calibri"/>
          <w:b/>
          <w:bCs/>
        </w:rPr>
      </w:pPr>
    </w:p>
    <w:sectPr w:rsidSect="00E55323">
      <w:footerReference w:type="default" r:id="rId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0D" w:rsidP="0082400D">
    <w:pPr>
      <w:pStyle w:val="Footer"/>
    </w:pPr>
    <w:r>
      <w:rPr>
        <w:noProof/>
        <w:lang w:eastAsia="en-US" w:bidi="ar-SA"/>
      </w:rPr>
      <w:pict>
        <v:line id="מחבר ישר 15" o:spid="_x0000_s2049" style="flip:x;mso-wrap-distance-bottom:0;mso-wrap-distance-left:9pt;mso-wrap-distance-right:9pt;mso-wrap-distance-top:0;position:absolute;v-text-anchor:top;z-index:251662336" from="-34.95pt,-11.05pt" to="455.45pt,-11.05pt" fillcolor="this" stroked="t" strokecolor="black" strokeweight="0.5pt"/>
      </w:pict>
    </w:r>
  </w:p>
  <w:p w:rsidR="0082400D" w:rsidP="0082400D"/>
  <w:p w:rsidR="0082400D" w:rsidP="0082400D">
    <w:pPr>
      <w:pStyle w:val="Footer"/>
    </w:pPr>
    <w:r>
      <w:rPr>
        <w:rFonts w:cs="Calibri"/>
        <w:noProof/>
        <w:rtl/>
        <w:lang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8" o:spid="_x0000_s2050" type="#_x0000_t75" alt="\\ntfs-jr-01\sys\מחלקת תקשורת\דוברות\תפעול לשכת הדובר\כלים\לוגו\לוגו חדש 3 שפות 2018\לוגו בלי רקע.png" style="width:24.45pt;height:24.45pt;margin-top:-12.75pt;margin-left:443.2pt;mso-height-percent:0;mso-height-relative:page;mso-position-horizontal-relative:margin;mso-width-percent:0;mso-width-relative:page;mso-wrap-distance-bottom:0;mso-wrap-distance-left:9pt;mso-wrap-distance-right:9pt;mso-wrap-distance-top:0;position:absolute;z-index:251663360" filled="f" stroked="f">
          <v:imagedata r:id="rId1" o:title=""/>
          <o:lock v:ext="edit" aspectratio="t"/>
          <w10:wrap anchorx="margin"/>
        </v:shape>
      </w:pict>
    </w:r>
    <w:r>
      <w:rPr>
        <w:noProof/>
        <w:lang w:eastAsia="en-US" w:bidi="ar-SA"/>
      </w:rPr>
      <w:pict>
        <v:shape id="תמונה 10" o:spid="_x0000_s2051" type="#_x0000_t75" style="width:19.05pt;height:19.05pt;margin-top:-10.05pt;margin-left:333.15pt;mso-height-percent:0;mso-height-relative:page;mso-width-percent:0;mso-width-relative:page;mso-wrap-distance-bottom:0;mso-wrap-distance-left:9pt;mso-wrap-distance-right:9pt;mso-wrap-distance-top:0;position:absolute;z-index:251660288">
          <v:imagedata r:id="rId2" o:title=""/>
          <o:lock v:ext="edit" aspectratio="t"/>
        </v:shape>
      </w:pict>
    </w:r>
    <w:r>
      <w:rPr>
        <w:rFonts w:cs="Calibri"/>
        <w:noProof/>
        <w:lang w:eastAsia="en-US" w:bidi="ar-SA"/>
      </w:rPr>
      <w:pict>
        <v:shape id="תמונה 7" o:spid="_x0000_s2052" type="#_x0000_t75" style="width:21pt;height:20.65pt;margin-top:-10.7pt;margin-left:189.85pt;mso-height-percent:0;mso-height-relative:page;mso-width-percent:0;mso-width-relative:page;mso-wrap-distance-bottom:0;mso-wrap-distance-left:9pt;mso-wrap-distance-right:9pt;mso-wrap-distance-top:0;position:absolute;z-index:251664384">
          <v:imagedata r:id="rId3" o:title=""/>
          <o:lock v:ext="edit" aspectratio="t"/>
        </v:shape>
      </w:pict>
    </w:r>
    <w:r>
      <w:rPr>
        <w:rFonts w:cs="Calibri"/>
        <w:noProof/>
        <w:lang w:eastAsia="en-US" w:bidi="ar-SA"/>
      </w:rPr>
      <w:pict>
        <v:shape id="תמונה 8" o:spid="_x0000_s2053" type="#_x0000_t75" style="width:25.9pt;height:19pt;margin-top:-9.3pt;margin-left:44.5pt;mso-height-percent:0;mso-height-relative:page;mso-width-percent:0;mso-width-relative:page;mso-wrap-distance-bottom:0;mso-wrap-distance-left:9pt;mso-wrap-distance-right:9pt;mso-wrap-distance-top:0;position:absolute;z-index:251665408">
          <v:imagedata r:id="rId4" o:title=""/>
          <o:lock v:ext="edit" aspectratio="t"/>
        </v:shape>
      </w:pict>
    </w:r>
    <w:r>
      <w:rPr>
        <w:noProof/>
        <w:lang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תיבת טקסט 13" o:spid="_x0000_s2054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1312" filled="f" fillcolor="this" stroked="f" strokeweight="0.5pt">
          <v:textbox>
            <w:txbxContent>
              <w:p w:rsidR="0082400D" w:rsidRPr="00B677DC" w:rsidP="0082400D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להאזנה לפודקאסט של בנק ישראל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5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https://did.li/spotify-third-side-of-coin</w:t>
                  </w:r>
                </w:hyperlink>
              </w:p>
            </w:txbxContent>
          </v:textbox>
          <w10:wrap anchorx="margin"/>
        </v:shape>
      </w:pict>
    </w:r>
    <w:r>
      <w:rPr>
        <w:noProof/>
        <w:lang w:eastAsia="en-US" w:bidi="ar-SA"/>
      </w:rPr>
      <w:pict>
        <v:shape id="תיבת טקסט 22" o:spid="_x0000_s2055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<v:textbox>
            <w:txbxContent>
              <w:p w:rsidR="0082400D" w:rsidRPr="00F20046" w:rsidP="0082400D">
                <w:pPr>
                  <w:jc w:val="center"/>
                  <w:rPr>
                    <w:rFonts w:cs="Calibri"/>
                    <w:noProof/>
                    <w:sz w:val="16"/>
                    <w:szCs w:val="16"/>
                    <w:rtl/>
                  </w:rPr>
                </w:pPr>
                <w:r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לערוץ היוטיוב של בנק ישראל</w:t>
                </w:r>
                <w:r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6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https://www.youtube.com/user/thebankofisrael</w:t>
                  </w:r>
                </w:hyperlink>
                <w:r>
                  <w:rPr>
                    <w:rFonts w:cs="Calibri"/>
                    <w:noProof/>
                    <w:sz w:val="16"/>
                    <w:szCs w:val="16"/>
                  </w:rPr>
                  <w:tab/>
                </w:r>
              </w:p>
            </w:txbxContent>
          </v:textbox>
          <w10:wrap anchorx="margin"/>
        </v:shape>
      </w:pict>
    </w:r>
    <w:r>
      <w:rPr>
        <w:noProof/>
        <w:lang w:eastAsia="en-US" w:bidi="ar-SA"/>
      </w:rPr>
      <w:pict>
        <v:shape id="תיבת טקסט 9" o:spid="_x0000_s2056" type="#_x0000_t202" style="width:171.8pt;height:36pt;margin-top:7.05pt;margin-left:256.5pt;mso-width-percent:0;mso-width-relative:margin;mso-wrap-distance-bottom:0;mso-wrap-distance-left:9pt;mso-wrap-distance-right:9pt;mso-wrap-distance-top:0;position:absolute;v-text-anchor:top;z-index:251659264" filled="f" fillcolor="this" stroked="f" strokeweight="0.5pt">
          <v:textbox>
            <w:txbxContent>
              <w:p w:rsidR="0082400D" w:rsidRPr="00B677DC" w:rsidP="0082400D">
                <w:pPr>
                  <w:jc w:val="center"/>
                  <w:rPr>
                    <w:rFonts w:cs="Calibri"/>
                    <w:sz w:val="14"/>
                    <w:szCs w:val="14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עמוד הפייסבוק של בנק ישראל 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t>–</w:t>
                </w: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 קשרי ציבור</w:t>
                </w:r>
                <w:r w:rsidRPr="00B677DC">
                  <w:rPr>
                    <w:rFonts w:cs="Calibri"/>
                    <w:sz w:val="16"/>
                    <w:szCs w:val="16"/>
                    <w:rtl/>
                  </w:rPr>
                  <w:br/>
                </w:r>
                <w:hyperlink r:id="rId7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https://www.facebook.com/bankisraelvc</w:t>
                  </w:r>
                </w:hyperlink>
              </w:p>
            </w:txbxContent>
          </v:textbox>
        </v:shape>
      </w:pict>
    </w:r>
    <w:r>
      <w:rPr>
        <w:noProof/>
        <w:lang w:eastAsia="en-US" w:bidi="ar-SA"/>
      </w:rPr>
      <w:pict>
        <v:shape id="תיבת טקסט 7" o:spid="_x0000_s2057" type="#_x0000_t202" style="width:120.9pt;height:36pt;margin-top:7pt;margin-left:394.85pt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<v:textbox>
            <w:txbxContent>
              <w:p w:rsidR="0082400D" w:rsidRPr="00B677DC" w:rsidP="0082400D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אתר בנק ישראל </w:t>
                </w:r>
                <w:hyperlink r:id="rId8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https://www.boi.org.il</w:t>
                  </w:r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  <w:rtl/>
                    </w:rPr>
                    <w:t>/</w:t>
                  </w:r>
                </w:hyperlink>
              </w:p>
            </w:txbxContent>
          </v:textbox>
        </v:shape>
      </w:pict>
    </w:r>
  </w:p>
  <w:p w:rsidR="00E152B7" w:rsidRPr="0082400D" w:rsidP="0082400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removePersonalInformation/>
  <w:removeDateAndTime/>
  <w:proofState w:grammar="clean"/>
  <w:defaultTabStop w:val="720"/>
  <w:characterSpacingControl w:val="doNotCompress"/>
  <w:compat/>
  <w:rsids>
    <w:rsidRoot w:val="0010339F"/>
    <w:rsid w:val="00013C2A"/>
    <w:rsid w:val="000343AA"/>
    <w:rsid w:val="00065878"/>
    <w:rsid w:val="0007229C"/>
    <w:rsid w:val="000C7C73"/>
    <w:rsid w:val="000E4346"/>
    <w:rsid w:val="0010339F"/>
    <w:rsid w:val="00124622"/>
    <w:rsid w:val="00124B07"/>
    <w:rsid w:val="001314C5"/>
    <w:rsid w:val="0013425B"/>
    <w:rsid w:val="0013642C"/>
    <w:rsid w:val="00154733"/>
    <w:rsid w:val="0016694C"/>
    <w:rsid w:val="0018141F"/>
    <w:rsid w:val="001815FD"/>
    <w:rsid w:val="001C3279"/>
    <w:rsid w:val="001F1F21"/>
    <w:rsid w:val="001F7D01"/>
    <w:rsid w:val="00205638"/>
    <w:rsid w:val="00231368"/>
    <w:rsid w:val="00245574"/>
    <w:rsid w:val="0026034C"/>
    <w:rsid w:val="002B029F"/>
    <w:rsid w:val="002B08BD"/>
    <w:rsid w:val="002B3DEA"/>
    <w:rsid w:val="002C73F3"/>
    <w:rsid w:val="003148C4"/>
    <w:rsid w:val="00325461"/>
    <w:rsid w:val="0033306B"/>
    <w:rsid w:val="00341C6A"/>
    <w:rsid w:val="003B0C32"/>
    <w:rsid w:val="003F083A"/>
    <w:rsid w:val="003F099A"/>
    <w:rsid w:val="004035A5"/>
    <w:rsid w:val="00467AFD"/>
    <w:rsid w:val="004B2E27"/>
    <w:rsid w:val="004B578E"/>
    <w:rsid w:val="004B5DEE"/>
    <w:rsid w:val="004B7E5F"/>
    <w:rsid w:val="004D13B7"/>
    <w:rsid w:val="00522FCD"/>
    <w:rsid w:val="00531933"/>
    <w:rsid w:val="00537DE1"/>
    <w:rsid w:val="00544C88"/>
    <w:rsid w:val="005658AE"/>
    <w:rsid w:val="005813AC"/>
    <w:rsid w:val="00586549"/>
    <w:rsid w:val="005A0957"/>
    <w:rsid w:val="005B5B0F"/>
    <w:rsid w:val="00615A4C"/>
    <w:rsid w:val="00676A57"/>
    <w:rsid w:val="00676ADB"/>
    <w:rsid w:val="006B49EF"/>
    <w:rsid w:val="00713D7C"/>
    <w:rsid w:val="00762018"/>
    <w:rsid w:val="0079570B"/>
    <w:rsid w:val="00795B92"/>
    <w:rsid w:val="007A53CE"/>
    <w:rsid w:val="007B42D3"/>
    <w:rsid w:val="007B48F0"/>
    <w:rsid w:val="007C36B1"/>
    <w:rsid w:val="007E14C5"/>
    <w:rsid w:val="0082400D"/>
    <w:rsid w:val="008330F4"/>
    <w:rsid w:val="008563F7"/>
    <w:rsid w:val="00860E1A"/>
    <w:rsid w:val="00887F9E"/>
    <w:rsid w:val="008A7635"/>
    <w:rsid w:val="008B131B"/>
    <w:rsid w:val="008C7D05"/>
    <w:rsid w:val="009008CE"/>
    <w:rsid w:val="00934A8B"/>
    <w:rsid w:val="0098040A"/>
    <w:rsid w:val="009D4406"/>
    <w:rsid w:val="00A23D88"/>
    <w:rsid w:val="00A670F4"/>
    <w:rsid w:val="00A82C59"/>
    <w:rsid w:val="00A9595E"/>
    <w:rsid w:val="00A96B61"/>
    <w:rsid w:val="00AD0E4F"/>
    <w:rsid w:val="00B05410"/>
    <w:rsid w:val="00B32FE1"/>
    <w:rsid w:val="00B41261"/>
    <w:rsid w:val="00B677DC"/>
    <w:rsid w:val="00B87A51"/>
    <w:rsid w:val="00B93525"/>
    <w:rsid w:val="00BA26A8"/>
    <w:rsid w:val="00BD3170"/>
    <w:rsid w:val="00C054E3"/>
    <w:rsid w:val="00C17025"/>
    <w:rsid w:val="00C36B1F"/>
    <w:rsid w:val="00CD46B8"/>
    <w:rsid w:val="00CF2164"/>
    <w:rsid w:val="00CF28B5"/>
    <w:rsid w:val="00D73343"/>
    <w:rsid w:val="00D9268A"/>
    <w:rsid w:val="00DD5A58"/>
    <w:rsid w:val="00DD65A2"/>
    <w:rsid w:val="00DE02F0"/>
    <w:rsid w:val="00DE7DE2"/>
    <w:rsid w:val="00DF52F8"/>
    <w:rsid w:val="00E02394"/>
    <w:rsid w:val="00E152B7"/>
    <w:rsid w:val="00E17705"/>
    <w:rsid w:val="00E271D6"/>
    <w:rsid w:val="00E4318C"/>
    <w:rsid w:val="00E55323"/>
    <w:rsid w:val="00E56689"/>
    <w:rsid w:val="00E572B5"/>
    <w:rsid w:val="00E85E77"/>
    <w:rsid w:val="00E86F64"/>
    <w:rsid w:val="00E90AC8"/>
    <w:rsid w:val="00E94422"/>
    <w:rsid w:val="00EB5E12"/>
    <w:rsid w:val="00EC77E0"/>
    <w:rsid w:val="00EF3A7B"/>
    <w:rsid w:val="00F00C6A"/>
    <w:rsid w:val="00F1688D"/>
    <w:rsid w:val="00F20046"/>
    <w:rsid w:val="00F2052C"/>
    <w:rsid w:val="00F23F78"/>
    <w:rsid w:val="00F7226F"/>
    <w:rsid w:val="00F9447E"/>
    <w:rsid w:val="00FE6249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0A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F52F8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E152B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2B7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E152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2B7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Hyperlink">
    <w:name w:val="Hyperlink"/>
    <w:basedOn w:val="DefaultParagraphFont"/>
    <w:uiPriority w:val="99"/>
    <w:unhideWhenUsed/>
    <w:rsid w:val="008240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DB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hyperlink" Target="https://did.li/spotify-third-side-of-coin" TargetMode="External" /><Relationship Id="rId6" Type="http://schemas.openxmlformats.org/officeDocument/2006/relationships/hyperlink" Target="https://www.youtube.com/user/thebankofisrael" TargetMode="External" /><Relationship Id="rId7" Type="http://schemas.openxmlformats.org/officeDocument/2006/relationships/hyperlink" Target="https://www.facebook.com/bankisraelvc" TargetMode="External" /><Relationship Id="rId8" Type="http://schemas.openxmlformats.org/officeDocument/2006/relationships/hyperlink" Target="https://www.boi.org.il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Application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2024-10-10T12:22:00Z</dcterms:created>
  <dcterms:modified xsi:type="dcterms:W3CDTF">2024-10-10T13:37:00Z</dcterms:modified>
</cp:coreProperties>
</file>