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0F40AF" w:rsidTr="0029736D">
        <w:tc>
          <w:tcPr>
            <w:tcW w:w="3343" w:type="dxa"/>
            <w:tcBorders>
              <w:top w:val="nil"/>
              <w:left w:val="nil"/>
              <w:bottom w:val="nil"/>
              <w:right w:val="nil"/>
            </w:tcBorders>
            <w:vAlign w:val="center"/>
          </w:tcPr>
          <w:p w:rsidR="009005BA" w:rsidRPr="000F40AF" w:rsidRDefault="009005BA" w:rsidP="0029736D">
            <w:pPr>
              <w:rPr>
                <w:rFonts w:ascii="Calibri" w:hAnsi="Calibri" w:cs="Calibri"/>
                <w:b/>
                <w:bCs/>
                <w:sz w:val="24"/>
                <w:szCs w:val="24"/>
                <w:rtl/>
              </w:rPr>
            </w:pPr>
            <w:r w:rsidRPr="000F40AF">
              <w:rPr>
                <w:rFonts w:ascii="Calibri" w:hAnsi="Calibri" w:cs="Calibri"/>
                <w:b/>
                <w:bCs/>
                <w:sz w:val="24"/>
                <w:szCs w:val="24"/>
                <w:rtl/>
              </w:rPr>
              <w:t>בנק ישראל</w:t>
            </w:r>
          </w:p>
          <w:p w:rsidR="009005BA" w:rsidRPr="000F40AF" w:rsidRDefault="009005BA" w:rsidP="0029736D">
            <w:pPr>
              <w:rPr>
                <w:rFonts w:ascii="Calibri" w:hAnsi="Calibri" w:cs="Calibri"/>
                <w:b/>
                <w:bCs/>
                <w:sz w:val="28"/>
                <w:szCs w:val="28"/>
              </w:rPr>
            </w:pPr>
            <w:r w:rsidRPr="000F40AF">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0F40AF" w:rsidRDefault="009005BA" w:rsidP="0029736D">
            <w:pPr>
              <w:jc w:val="center"/>
              <w:rPr>
                <w:rFonts w:ascii="Calibri" w:hAnsi="Calibri" w:cs="Calibri"/>
              </w:rPr>
            </w:pPr>
            <w:r w:rsidRPr="000F40AF">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0F40AF" w:rsidRDefault="009005BA" w:rsidP="009005BA">
            <w:pPr>
              <w:jc w:val="right"/>
              <w:rPr>
                <w:rFonts w:ascii="Calibri" w:hAnsi="Calibri" w:cs="Calibri"/>
                <w:rtl/>
              </w:rPr>
            </w:pPr>
            <w:r w:rsidRPr="000F40AF">
              <w:rPr>
                <w:rFonts w:ascii="Calibri" w:hAnsi="Calibri" w:cs="Calibri"/>
                <w:highlight w:val="green"/>
                <w:rtl/>
              </w:rPr>
              <w:t>‏</w:t>
            </w:r>
            <w:r w:rsidRPr="000F40AF">
              <w:rPr>
                <w:rFonts w:ascii="Calibri" w:hAnsi="Calibri" w:cs="Calibri"/>
                <w:rtl/>
              </w:rPr>
              <w:t xml:space="preserve">ירושלים, </w:t>
            </w:r>
            <w:r w:rsidRPr="000F40AF">
              <w:rPr>
                <w:rFonts w:ascii="Calibri" w:hAnsi="Calibri" w:cs="Calibri"/>
                <w:rtl/>
              </w:rPr>
              <w:fldChar w:fldCharType="begin"/>
            </w:r>
            <w:r w:rsidRPr="000F40AF">
              <w:rPr>
                <w:rFonts w:ascii="Calibri" w:hAnsi="Calibri" w:cs="Calibri"/>
                <w:rtl/>
              </w:rPr>
              <w:instrText xml:space="preserve"> </w:instrText>
            </w:r>
            <w:r w:rsidRPr="000F40AF">
              <w:rPr>
                <w:rFonts w:ascii="Calibri" w:hAnsi="Calibri" w:cs="Calibri"/>
              </w:rPr>
              <w:instrText>DATE</w:instrText>
            </w:r>
            <w:r w:rsidRPr="000F40AF">
              <w:rPr>
                <w:rFonts w:ascii="Calibri" w:hAnsi="Calibri" w:cs="Calibri"/>
                <w:rtl/>
              </w:rPr>
              <w:instrText xml:space="preserve"> \@ "</w:instrText>
            </w:r>
            <w:r w:rsidRPr="000F40AF">
              <w:rPr>
                <w:rFonts w:ascii="Calibri" w:hAnsi="Calibri" w:cs="Calibri"/>
              </w:rPr>
              <w:instrText>d MMMM, yyyy" \h</w:instrText>
            </w:r>
            <w:r w:rsidRPr="000F40AF">
              <w:rPr>
                <w:rFonts w:ascii="Calibri" w:hAnsi="Calibri" w:cs="Calibri"/>
                <w:rtl/>
              </w:rPr>
              <w:instrText xml:space="preserve"> </w:instrText>
            </w:r>
            <w:r w:rsidRPr="000F40AF">
              <w:rPr>
                <w:rFonts w:ascii="Calibri" w:hAnsi="Calibri" w:cs="Calibri"/>
                <w:rtl/>
              </w:rPr>
              <w:fldChar w:fldCharType="separate"/>
            </w:r>
            <w:r w:rsidR="000F40AF" w:rsidRPr="000F40AF">
              <w:rPr>
                <w:rFonts w:ascii="Calibri" w:hAnsi="Calibri" w:cs="Calibri"/>
                <w:noProof/>
                <w:rtl/>
              </w:rPr>
              <w:t>‏ט' כסלו, תשפ"ה</w:t>
            </w:r>
            <w:r w:rsidRPr="000F40AF">
              <w:rPr>
                <w:rFonts w:ascii="Calibri" w:hAnsi="Calibri" w:cs="Calibri"/>
                <w:rtl/>
              </w:rPr>
              <w:fldChar w:fldCharType="end"/>
            </w:r>
          </w:p>
          <w:p w:rsidR="009005BA" w:rsidRPr="000F40AF" w:rsidRDefault="009005BA" w:rsidP="009005BA">
            <w:pPr>
              <w:jc w:val="right"/>
              <w:rPr>
                <w:rFonts w:ascii="Calibri" w:hAnsi="Calibri" w:cs="Calibri"/>
                <w:highlight w:val="green"/>
              </w:rPr>
            </w:pPr>
            <w:r w:rsidRPr="000F40AF">
              <w:rPr>
                <w:rFonts w:ascii="Calibri" w:hAnsi="Calibri" w:cs="Calibri"/>
                <w:rtl/>
              </w:rPr>
              <w:fldChar w:fldCharType="begin"/>
            </w:r>
            <w:r w:rsidRPr="000F40AF">
              <w:rPr>
                <w:rFonts w:ascii="Calibri" w:hAnsi="Calibri" w:cs="Calibri"/>
                <w:rtl/>
              </w:rPr>
              <w:instrText xml:space="preserve"> </w:instrText>
            </w:r>
            <w:r w:rsidRPr="000F40AF">
              <w:rPr>
                <w:rFonts w:ascii="Calibri" w:hAnsi="Calibri" w:cs="Calibri"/>
              </w:rPr>
              <w:instrText>DATE</w:instrText>
            </w:r>
            <w:r w:rsidRPr="000F40AF">
              <w:rPr>
                <w:rFonts w:ascii="Calibri" w:hAnsi="Calibri" w:cs="Calibri"/>
                <w:rtl/>
              </w:rPr>
              <w:instrText xml:space="preserve"> \@ "</w:instrText>
            </w:r>
            <w:r w:rsidRPr="000F40AF">
              <w:rPr>
                <w:rFonts w:ascii="Calibri" w:hAnsi="Calibri" w:cs="Calibri"/>
              </w:rPr>
              <w:instrText>d MMMM, yyyy</w:instrText>
            </w:r>
            <w:r w:rsidRPr="000F40AF">
              <w:rPr>
                <w:rFonts w:ascii="Calibri" w:hAnsi="Calibri" w:cs="Calibri"/>
                <w:rtl/>
              </w:rPr>
              <w:instrText xml:space="preserve">" </w:instrText>
            </w:r>
            <w:r w:rsidRPr="000F40AF">
              <w:rPr>
                <w:rFonts w:ascii="Calibri" w:hAnsi="Calibri" w:cs="Calibri"/>
                <w:rtl/>
              </w:rPr>
              <w:fldChar w:fldCharType="separate"/>
            </w:r>
            <w:r w:rsidR="000F40AF" w:rsidRPr="000F40AF">
              <w:rPr>
                <w:rFonts w:ascii="Calibri" w:hAnsi="Calibri" w:cs="Calibri"/>
                <w:noProof/>
                <w:rtl/>
              </w:rPr>
              <w:t>‏10 דצמבר, 2024</w:t>
            </w:r>
            <w:r w:rsidRPr="000F40AF">
              <w:rPr>
                <w:rFonts w:ascii="Calibri" w:hAnsi="Calibri" w:cs="Calibri"/>
                <w:rtl/>
              </w:rPr>
              <w:fldChar w:fldCharType="end"/>
            </w:r>
          </w:p>
        </w:tc>
      </w:tr>
    </w:tbl>
    <w:p w:rsidR="009005BA" w:rsidRPr="000F40AF" w:rsidRDefault="009005BA" w:rsidP="007B0741">
      <w:pPr>
        <w:tabs>
          <w:tab w:val="left" w:pos="2315"/>
        </w:tabs>
        <w:rPr>
          <w:rFonts w:ascii="Calibri" w:hAnsi="Calibri" w:cs="Calibri"/>
          <w:sz w:val="24"/>
          <w:szCs w:val="24"/>
          <w:rtl/>
        </w:rPr>
      </w:pPr>
    </w:p>
    <w:p w:rsidR="00D66255" w:rsidRPr="000F40AF" w:rsidRDefault="008E761A" w:rsidP="009005BA">
      <w:pPr>
        <w:tabs>
          <w:tab w:val="left" w:pos="2315"/>
        </w:tabs>
        <w:rPr>
          <w:rFonts w:ascii="Calibri" w:hAnsi="Calibri" w:cs="Calibri"/>
          <w:b/>
          <w:bCs/>
          <w:sz w:val="28"/>
          <w:szCs w:val="28"/>
          <w:rtl/>
        </w:rPr>
      </w:pPr>
      <w:r w:rsidRPr="000F40AF">
        <w:rPr>
          <w:rFonts w:ascii="Calibri" w:hAnsi="Calibri" w:cs="Calibri"/>
          <w:sz w:val="24"/>
          <w:szCs w:val="24"/>
          <w:rtl/>
        </w:rPr>
        <w:t>הודעה לעיתונות:</w:t>
      </w:r>
    </w:p>
    <w:p w:rsidR="000F40AF" w:rsidRPr="000F40AF" w:rsidRDefault="000F40AF" w:rsidP="000F40AF">
      <w:pPr>
        <w:pStyle w:val="1"/>
        <w:bidi/>
        <w:jc w:val="center"/>
        <w:rPr>
          <w:rFonts w:ascii="Calibri" w:hAnsi="Calibri" w:cs="Calibri"/>
          <w:sz w:val="28"/>
          <w:szCs w:val="28"/>
          <w:rtl/>
        </w:rPr>
      </w:pPr>
      <w:bookmarkStart w:id="0" w:name="_GoBack"/>
      <w:r w:rsidRPr="000F40AF">
        <w:rPr>
          <w:rFonts w:ascii="Calibri" w:hAnsi="Calibri" w:cs="Calibri"/>
          <w:sz w:val="28"/>
          <w:szCs w:val="28"/>
          <w:rtl/>
        </w:rPr>
        <w:t>מיומנויות האוכלוסייה בישראל בהשוואה בין-לאומית:</w:t>
      </w:r>
    </w:p>
    <w:p w:rsidR="000F40AF" w:rsidRPr="000F40AF" w:rsidRDefault="000F40AF" w:rsidP="000F40AF">
      <w:pPr>
        <w:pStyle w:val="1"/>
        <w:bidi/>
        <w:jc w:val="center"/>
        <w:rPr>
          <w:rFonts w:ascii="Calibri" w:hAnsi="Calibri" w:cs="Calibri"/>
          <w:sz w:val="28"/>
          <w:szCs w:val="28"/>
          <w:rtl/>
        </w:rPr>
      </w:pPr>
      <w:r w:rsidRPr="000F40AF">
        <w:rPr>
          <w:rFonts w:ascii="Calibri" w:hAnsi="Calibri" w:cs="Calibri"/>
          <w:sz w:val="28"/>
          <w:szCs w:val="28"/>
          <w:rtl/>
        </w:rPr>
        <w:t xml:space="preserve">ממצאים ראשונים מסקר </w:t>
      </w:r>
      <w:r w:rsidRPr="000F40AF">
        <w:rPr>
          <w:rFonts w:ascii="Calibri" w:hAnsi="Calibri" w:cs="Calibri"/>
          <w:sz w:val="28"/>
          <w:szCs w:val="28"/>
        </w:rPr>
        <w:t>PIAAC</w:t>
      </w:r>
      <w:r w:rsidRPr="000F40AF">
        <w:rPr>
          <w:rFonts w:ascii="Calibri" w:hAnsi="Calibri" w:cs="Calibri"/>
          <w:sz w:val="28"/>
          <w:szCs w:val="28"/>
          <w:rtl/>
        </w:rPr>
        <w:t xml:space="preserve"> לשנים 2022–2023</w:t>
      </w:r>
    </w:p>
    <w:bookmarkEnd w:id="0"/>
    <w:p w:rsidR="000F40AF" w:rsidRPr="000F40AF" w:rsidRDefault="000F40AF" w:rsidP="000F40AF">
      <w:pPr>
        <w:rPr>
          <w:rFonts w:ascii="Calibri" w:hAnsi="Calibri" w:cs="Calibri"/>
          <w:rtl/>
        </w:rPr>
      </w:pPr>
    </w:p>
    <w:p w:rsidR="000F40AF" w:rsidRPr="000F40AF" w:rsidRDefault="000F40AF" w:rsidP="000F40AF">
      <w:pPr>
        <w:pStyle w:val="a5"/>
        <w:numPr>
          <w:ilvl w:val="0"/>
          <w:numId w:val="17"/>
        </w:numPr>
        <w:spacing w:after="160"/>
        <w:ind w:left="357" w:hanging="357"/>
        <w:contextualSpacing w:val="0"/>
        <w:jc w:val="both"/>
        <w:rPr>
          <w:rFonts w:ascii="Calibri" w:hAnsi="Calibri" w:cs="Calibri"/>
          <w:sz w:val="24"/>
          <w:szCs w:val="24"/>
        </w:rPr>
      </w:pPr>
      <w:r w:rsidRPr="000F40AF">
        <w:rPr>
          <w:rFonts w:ascii="Calibri" w:hAnsi="Calibri" w:cs="Calibri"/>
          <w:sz w:val="24"/>
          <w:szCs w:val="24"/>
          <w:rtl/>
        </w:rPr>
        <w:t>רמת מיומנויות היסוד של אוכלוסיית ישראל ב-2022 הייתה נמוכה מממוצע ה-</w:t>
      </w:r>
      <w:r w:rsidRPr="000F40AF">
        <w:rPr>
          <w:rFonts w:ascii="Calibri" w:hAnsi="Calibri" w:cs="Calibri"/>
          <w:sz w:val="24"/>
          <w:szCs w:val="24"/>
        </w:rPr>
        <w:t>OECD</w:t>
      </w:r>
      <w:r w:rsidRPr="000F40AF">
        <w:rPr>
          <w:rFonts w:ascii="Calibri" w:hAnsi="Calibri" w:cs="Calibri"/>
          <w:sz w:val="24"/>
          <w:szCs w:val="24"/>
          <w:rtl/>
        </w:rPr>
        <w:t xml:space="preserve"> בכ-0.3 סטיות תקן בכל תחומי הדעת – אוריינות קריאה, אוריינות מתמטית ופתרון בעיות אדפטיבי. בחברה הערבית הפער בולט במיוחד – כסטיית תקן שלמה ביחס ל-</w:t>
      </w:r>
      <w:r w:rsidRPr="000F40AF">
        <w:rPr>
          <w:rFonts w:ascii="Calibri" w:hAnsi="Calibri" w:cs="Calibri"/>
          <w:sz w:val="24"/>
          <w:szCs w:val="24"/>
        </w:rPr>
        <w:t>OECD</w:t>
      </w:r>
      <w:r w:rsidRPr="000F40AF">
        <w:rPr>
          <w:rFonts w:ascii="Calibri" w:hAnsi="Calibri" w:cs="Calibri"/>
          <w:sz w:val="24"/>
          <w:szCs w:val="24"/>
          <w:rtl/>
        </w:rPr>
        <w:t>.</w:t>
      </w:r>
    </w:p>
    <w:p w:rsidR="000F40AF" w:rsidRPr="000F40AF" w:rsidRDefault="000F40AF" w:rsidP="000F40AF">
      <w:pPr>
        <w:pStyle w:val="a5"/>
        <w:numPr>
          <w:ilvl w:val="0"/>
          <w:numId w:val="17"/>
        </w:numPr>
        <w:spacing w:after="160"/>
        <w:ind w:left="357" w:hanging="357"/>
        <w:contextualSpacing w:val="0"/>
        <w:jc w:val="both"/>
        <w:rPr>
          <w:rFonts w:ascii="Calibri" w:hAnsi="Calibri" w:cs="Calibri"/>
          <w:sz w:val="24"/>
          <w:szCs w:val="24"/>
        </w:rPr>
      </w:pPr>
      <w:r w:rsidRPr="000F40AF">
        <w:rPr>
          <w:rFonts w:ascii="Calibri" w:hAnsi="Calibri" w:cs="Calibri"/>
          <w:sz w:val="24"/>
          <w:szCs w:val="24"/>
          <w:rtl/>
        </w:rPr>
        <w:t>לצד ירידה כללית בעולם בהישגי הקריאה בעשור האחרון התרחבו פערי אוריינות הקריאה בין ישראל ל-</w:t>
      </w:r>
      <w:r w:rsidRPr="000F40AF">
        <w:rPr>
          <w:rFonts w:ascii="Calibri" w:hAnsi="Calibri" w:cs="Calibri"/>
          <w:sz w:val="24"/>
          <w:szCs w:val="24"/>
        </w:rPr>
        <w:t>OECD</w:t>
      </w:r>
      <w:r w:rsidRPr="000F40AF">
        <w:rPr>
          <w:rFonts w:ascii="Calibri" w:hAnsi="Calibri" w:cs="Calibri"/>
          <w:sz w:val="24"/>
          <w:szCs w:val="24"/>
          <w:rtl/>
        </w:rPr>
        <w:t xml:space="preserve"> בשל ירידה ניכרת של מיומנויות הקריאה באוכלוסייה הערבית. באוריינות מתמטית כמעט לא חל שינוי, והפערים של ישראל ביחס ל-</w:t>
      </w:r>
      <w:r w:rsidRPr="000F40AF">
        <w:rPr>
          <w:rFonts w:ascii="Calibri" w:hAnsi="Calibri" w:cs="Calibri"/>
          <w:sz w:val="24"/>
          <w:szCs w:val="24"/>
        </w:rPr>
        <w:t>OECD</w:t>
      </w:r>
      <w:r w:rsidRPr="000F40AF">
        <w:rPr>
          <w:rFonts w:ascii="Calibri" w:hAnsi="Calibri" w:cs="Calibri"/>
          <w:sz w:val="24"/>
          <w:szCs w:val="24"/>
          <w:rtl/>
        </w:rPr>
        <w:t xml:space="preserve"> נותרו בעינם.</w:t>
      </w:r>
    </w:p>
    <w:p w:rsidR="000F40AF" w:rsidRPr="000F40AF" w:rsidRDefault="000F40AF" w:rsidP="000F40AF">
      <w:pPr>
        <w:pStyle w:val="a5"/>
        <w:numPr>
          <w:ilvl w:val="0"/>
          <w:numId w:val="17"/>
        </w:numPr>
        <w:spacing w:after="160"/>
        <w:ind w:left="357" w:hanging="357"/>
        <w:contextualSpacing w:val="0"/>
        <w:jc w:val="both"/>
        <w:rPr>
          <w:rFonts w:ascii="Calibri" w:hAnsi="Calibri" w:cs="Calibri"/>
          <w:sz w:val="24"/>
          <w:szCs w:val="24"/>
        </w:rPr>
      </w:pPr>
      <w:r w:rsidRPr="000F40AF">
        <w:rPr>
          <w:rFonts w:ascii="Calibri" w:hAnsi="Calibri" w:cs="Calibri"/>
          <w:sz w:val="24"/>
          <w:szCs w:val="24"/>
          <w:rtl/>
        </w:rPr>
        <w:t>חלק ניכר מהבדלי המיומנויות בין ישראל ל–</w:t>
      </w:r>
      <w:r w:rsidRPr="000F40AF">
        <w:rPr>
          <w:rFonts w:ascii="Calibri" w:hAnsi="Calibri" w:cs="Calibri"/>
          <w:sz w:val="24"/>
          <w:szCs w:val="24"/>
        </w:rPr>
        <w:t>OECD</w:t>
      </w:r>
      <w:r w:rsidRPr="000F40AF">
        <w:rPr>
          <w:rFonts w:ascii="Calibri" w:hAnsi="Calibri" w:cs="Calibri"/>
          <w:sz w:val="24"/>
          <w:szCs w:val="24"/>
          <w:rtl/>
        </w:rPr>
        <w:t xml:space="preserve"> נובעים מפערים משמעותיים כבר בילדות ובנעורים, כפי שמראים ההישגים במבחני </w:t>
      </w:r>
      <w:r w:rsidRPr="000F40AF">
        <w:rPr>
          <w:rFonts w:ascii="Calibri" w:hAnsi="Calibri" w:cs="Calibri"/>
          <w:sz w:val="24"/>
          <w:szCs w:val="24"/>
        </w:rPr>
        <w:t>PISA</w:t>
      </w:r>
      <w:r w:rsidRPr="000F40AF">
        <w:rPr>
          <w:rFonts w:ascii="Calibri" w:hAnsi="Calibri" w:cs="Calibri"/>
          <w:sz w:val="24"/>
          <w:szCs w:val="24"/>
          <w:rtl/>
        </w:rPr>
        <w:t xml:space="preserve"> בגילי התיכון. השיעור הגבוה של בעלי השכלה על-תיכונית בישראל לא מתורגם לסגירת פערי המיומנויות ביחס ל-</w:t>
      </w:r>
      <w:r w:rsidRPr="000F40AF">
        <w:rPr>
          <w:rFonts w:ascii="Calibri" w:hAnsi="Calibri" w:cs="Calibri"/>
          <w:sz w:val="24"/>
          <w:szCs w:val="24"/>
        </w:rPr>
        <w:t>OECD</w:t>
      </w:r>
      <w:r w:rsidRPr="000F40AF">
        <w:rPr>
          <w:rFonts w:ascii="Calibri" w:hAnsi="Calibri" w:cs="Calibri"/>
          <w:sz w:val="24"/>
          <w:szCs w:val="24"/>
          <w:rtl/>
        </w:rPr>
        <w:t>.</w:t>
      </w:r>
    </w:p>
    <w:p w:rsidR="000F40AF" w:rsidRPr="000F40AF" w:rsidRDefault="000F40AF" w:rsidP="000F40AF">
      <w:pPr>
        <w:pStyle w:val="a5"/>
        <w:numPr>
          <w:ilvl w:val="0"/>
          <w:numId w:val="17"/>
        </w:numPr>
        <w:spacing w:after="160"/>
        <w:ind w:left="357" w:hanging="357"/>
        <w:contextualSpacing w:val="0"/>
        <w:jc w:val="both"/>
        <w:rPr>
          <w:rFonts w:ascii="Calibri" w:hAnsi="Calibri" w:cs="Calibri"/>
          <w:sz w:val="24"/>
          <w:szCs w:val="24"/>
          <w:rtl/>
        </w:rPr>
      </w:pPr>
      <w:r w:rsidRPr="000F40AF">
        <w:rPr>
          <w:rFonts w:ascii="Calibri" w:hAnsi="Calibri" w:cs="Calibri"/>
          <w:sz w:val="24"/>
          <w:szCs w:val="24"/>
          <w:rtl/>
        </w:rPr>
        <w:t>מיומנויות העובדים בישראל נמוכות בהשוואה לאלה ב-</w:t>
      </w:r>
      <w:r w:rsidRPr="000F40AF">
        <w:rPr>
          <w:rFonts w:ascii="Calibri" w:hAnsi="Calibri" w:cs="Calibri"/>
          <w:sz w:val="24"/>
          <w:szCs w:val="24"/>
        </w:rPr>
        <w:t>OECD</w:t>
      </w:r>
      <w:r w:rsidRPr="000F40AF">
        <w:rPr>
          <w:rFonts w:ascii="Calibri" w:hAnsi="Calibri" w:cs="Calibri"/>
          <w:sz w:val="24"/>
          <w:szCs w:val="24"/>
          <w:rtl/>
        </w:rPr>
        <w:t>, במיוחד במשלחי יד וענפים כלכליים מוטי כישורים נמוכים.</w:t>
      </w:r>
    </w:p>
    <w:p w:rsidR="000F40AF" w:rsidRPr="000F40AF" w:rsidRDefault="000F40AF" w:rsidP="000F40AF">
      <w:pPr>
        <w:spacing w:line="360" w:lineRule="auto"/>
        <w:jc w:val="both"/>
        <w:rPr>
          <w:rFonts w:ascii="Calibri" w:hAnsi="Calibri" w:cs="Calibri"/>
          <w:sz w:val="24"/>
          <w:szCs w:val="24"/>
          <w:rtl/>
        </w:rPr>
      </w:pPr>
      <w:r w:rsidRPr="000F40AF">
        <w:rPr>
          <w:rFonts w:ascii="Calibri" w:hAnsi="Calibri" w:cs="Calibri"/>
          <w:sz w:val="24"/>
          <w:szCs w:val="24"/>
          <w:rtl/>
        </w:rPr>
        <w:t>סקר</w:t>
      </w:r>
      <w:r w:rsidRPr="000F40AF">
        <w:rPr>
          <w:rFonts w:ascii="Calibri" w:hAnsi="Calibri" w:cs="Calibri"/>
          <w:sz w:val="24"/>
          <w:szCs w:val="24"/>
        </w:rPr>
        <w:t xml:space="preserve"> PIAAC </w:t>
      </w:r>
      <w:r w:rsidRPr="000F40AF">
        <w:rPr>
          <w:rFonts w:ascii="Calibri" w:hAnsi="Calibri" w:cs="Calibri"/>
          <w:sz w:val="24"/>
          <w:szCs w:val="24"/>
          <w:rtl/>
        </w:rPr>
        <w:t>הוא פרויקט בין-לאומי להערכת מיומנויות היסוד של בוגרים בגילי 16—65 בתחומי אוריינות הקריאה, האוריינות המתמטית ופתרון בעיות אדפטיבי. ישראל השתתפה לראשונה בסקר בשנים 2014–2015 ולאחרונה לקחה חלק במחזורו השני שנערך בשנים 2022—2023. תרומתו של הסקר לניתוח המדינות נובעת מהמתאם הגבוה שיש בין רמת המיומנות של האוכלוסייה לתוצר לנפש במדינה. ניתוח חדש של ספי בכר ואלעד דה-מלאך מחטיבת המחקר בבנק ישראל מציג ממצאים ראשוניים אודות מיומנויות האוכלוסייה בישראל בהשוואה בין-לאומית בשנים 2022—2023</w:t>
      </w:r>
      <w:r w:rsidRPr="000F40AF">
        <w:rPr>
          <w:rFonts w:ascii="Calibri" w:hAnsi="Calibri" w:cs="Calibri"/>
          <w:sz w:val="24"/>
          <w:szCs w:val="24"/>
        </w:rPr>
        <w:t>.</w:t>
      </w:r>
    </w:p>
    <w:p w:rsidR="000F40AF" w:rsidRPr="000F40AF" w:rsidRDefault="000F40AF" w:rsidP="000F40AF">
      <w:pPr>
        <w:spacing w:line="360" w:lineRule="auto"/>
        <w:jc w:val="both"/>
        <w:rPr>
          <w:rFonts w:ascii="Calibri" w:hAnsi="Calibri" w:cs="Calibri"/>
          <w:sz w:val="24"/>
          <w:szCs w:val="24"/>
          <w:rtl/>
        </w:rPr>
      </w:pPr>
      <w:r w:rsidRPr="000F40AF">
        <w:rPr>
          <w:rFonts w:ascii="Calibri" w:hAnsi="Calibri" w:cs="Calibri"/>
          <w:sz w:val="24"/>
          <w:szCs w:val="24"/>
          <w:rtl/>
        </w:rPr>
        <w:t>ציוני המיומנויות בישראל נמוכים מממוצע ה-</w:t>
      </w:r>
      <w:r w:rsidRPr="000F40AF">
        <w:rPr>
          <w:rFonts w:ascii="Calibri" w:hAnsi="Calibri" w:cs="Calibri"/>
          <w:sz w:val="24"/>
          <w:szCs w:val="24"/>
        </w:rPr>
        <w:t>OECD</w:t>
      </w:r>
      <w:r w:rsidRPr="000F40AF">
        <w:rPr>
          <w:rFonts w:ascii="Calibri" w:hAnsi="Calibri" w:cs="Calibri"/>
          <w:sz w:val="24"/>
          <w:szCs w:val="24"/>
          <w:rtl/>
        </w:rPr>
        <w:t xml:space="preserve"> ב-15 נקודות (כ-0.3 סטיות תקן), וקיימים הבדלים משמעותיים בין קבוצות האוכלוסייה. ציוני החברה הערבית נמוכים משמעותית – בפער של 45–60 נקודות (סטיית תקן שלמה) מהציון הממוצע בקרב היהודים שאינם חרדים וציוני החברה החרדית נמוכים בכ-10 נקודות (0.2 סטיית תקן) מהממוצע בקרב היהודים שאינם חרדים. פערי הציונים בין ישראל ל-</w:t>
      </w:r>
      <w:r w:rsidRPr="000F40AF">
        <w:rPr>
          <w:rFonts w:ascii="Calibri" w:hAnsi="Calibri" w:cs="Calibri"/>
          <w:sz w:val="24"/>
          <w:szCs w:val="24"/>
        </w:rPr>
        <w:t>OECD</w:t>
      </w:r>
      <w:r w:rsidRPr="000F40AF">
        <w:rPr>
          <w:rFonts w:ascii="Calibri" w:hAnsi="Calibri" w:cs="Calibri"/>
          <w:sz w:val="24"/>
          <w:szCs w:val="24"/>
          <w:rtl/>
        </w:rPr>
        <w:t xml:space="preserve"> בולטים וניכרים בפילוחים שונים של האוכלוסייה: גברים ונשים, מבוגרים וצעירים, וכן לבעלי רמות שונות של השכלה. פערים בולטים במיוחד בציונים </w:t>
      </w:r>
      <w:r w:rsidRPr="000F40AF">
        <w:rPr>
          <w:rFonts w:ascii="Calibri" w:hAnsi="Calibri" w:cs="Calibri"/>
          <w:sz w:val="24"/>
          <w:szCs w:val="24"/>
          <w:rtl/>
        </w:rPr>
        <w:lastRenderedPageBreak/>
        <w:t>נמצאו בקרב אחוזוני המיומנויות הנמוכים (איור 1). כלומר, בעוד ציוני בעלי המיומנות הגבוהות בישראל נמוכים רק במעט מאלה של מקביליהם ב-</w:t>
      </w:r>
      <w:r w:rsidRPr="000F40AF">
        <w:rPr>
          <w:rFonts w:ascii="Calibri" w:hAnsi="Calibri" w:cs="Calibri"/>
          <w:sz w:val="24"/>
          <w:szCs w:val="24"/>
        </w:rPr>
        <w:t>OECD</w:t>
      </w:r>
      <w:r w:rsidRPr="000F40AF">
        <w:rPr>
          <w:rFonts w:ascii="Calibri" w:hAnsi="Calibri" w:cs="Calibri"/>
          <w:sz w:val="24"/>
          <w:szCs w:val="24"/>
          <w:rtl/>
        </w:rPr>
        <w:t>, בעלי המיומנויות הנמוכות בישראל קיבלו ציונים נמוכים בהרבה ממקבילהם ב-</w:t>
      </w:r>
      <w:r w:rsidRPr="000F40AF">
        <w:rPr>
          <w:rFonts w:ascii="Calibri" w:hAnsi="Calibri" w:cs="Calibri"/>
          <w:sz w:val="24"/>
          <w:szCs w:val="24"/>
        </w:rPr>
        <w:t>OECD</w:t>
      </w:r>
      <w:r w:rsidRPr="000F40AF">
        <w:rPr>
          <w:rFonts w:ascii="Calibri" w:hAnsi="Calibri" w:cs="Calibri"/>
          <w:sz w:val="24"/>
          <w:szCs w:val="24"/>
          <w:rtl/>
        </w:rPr>
        <w:t>.</w:t>
      </w:r>
    </w:p>
    <w:p w:rsidR="000F40AF" w:rsidRPr="000F40AF" w:rsidRDefault="000F40AF" w:rsidP="000F40AF">
      <w:pPr>
        <w:spacing w:line="360" w:lineRule="auto"/>
        <w:jc w:val="both"/>
        <w:rPr>
          <w:rFonts w:ascii="Calibri" w:hAnsi="Calibri" w:cs="Calibri"/>
          <w:sz w:val="24"/>
          <w:szCs w:val="24"/>
          <w:rtl/>
        </w:rPr>
      </w:pPr>
      <w:r w:rsidRPr="000F40AF">
        <w:rPr>
          <w:rFonts w:ascii="Calibri" w:hAnsi="Calibri" w:cs="Calibri"/>
          <w:sz w:val="24"/>
          <w:szCs w:val="24"/>
          <w:rtl/>
        </w:rPr>
        <w:t xml:space="preserve">השוואה בין מחזורי הסקר, המוצגת באיור </w:t>
      </w:r>
      <w:r w:rsidRPr="000F40AF">
        <w:rPr>
          <w:rFonts w:ascii="Calibri" w:hAnsi="Calibri" w:cs="Calibri"/>
          <w:sz w:val="24"/>
          <w:szCs w:val="24"/>
        </w:rPr>
        <w:t>2</w:t>
      </w:r>
      <w:r w:rsidRPr="000F40AF">
        <w:rPr>
          <w:rFonts w:ascii="Calibri" w:hAnsi="Calibri" w:cs="Calibri"/>
          <w:sz w:val="24"/>
          <w:szCs w:val="24"/>
          <w:rtl/>
        </w:rPr>
        <w:t>, מראה שהפער במיומנויות בין ישראל ל-</w:t>
      </w:r>
      <w:r w:rsidRPr="000F40AF">
        <w:rPr>
          <w:rFonts w:ascii="Calibri" w:hAnsi="Calibri" w:cs="Calibri"/>
          <w:sz w:val="24"/>
          <w:szCs w:val="24"/>
        </w:rPr>
        <w:t>OECD</w:t>
      </w:r>
      <w:r w:rsidRPr="000F40AF">
        <w:rPr>
          <w:rFonts w:ascii="Calibri" w:hAnsi="Calibri" w:cs="Calibri"/>
          <w:sz w:val="24"/>
          <w:szCs w:val="24"/>
          <w:rtl/>
        </w:rPr>
        <w:t xml:space="preserve"> גדל בין 2011–2015 ל-2022–2023, בעיקר בשל ירידה משמעותית באוריינות הקריאה באוכלוסייה הערבית (26 נקודות, כמחצית סטיית תקן) וירידה בחברה החרדית, בעוד שבקרב יהודים שאינם חרדים השינוי היה דומה לממוצע ה-</w:t>
      </w:r>
      <w:r w:rsidRPr="000F40AF">
        <w:rPr>
          <w:rFonts w:ascii="Calibri" w:hAnsi="Calibri" w:cs="Calibri"/>
          <w:sz w:val="24"/>
          <w:szCs w:val="24"/>
        </w:rPr>
        <w:t>OECD</w:t>
      </w:r>
      <w:r w:rsidRPr="000F40AF">
        <w:rPr>
          <w:rFonts w:ascii="Calibri" w:hAnsi="Calibri" w:cs="Calibri"/>
          <w:sz w:val="24"/>
          <w:szCs w:val="24"/>
          <w:rtl/>
        </w:rPr>
        <w:t>. לעומת זאת, באוריינות המתמטית לא חל שינוי בפערים בין ישראל למדינות ה-</w:t>
      </w:r>
      <w:r w:rsidRPr="000F40AF">
        <w:rPr>
          <w:rFonts w:ascii="Calibri" w:hAnsi="Calibri" w:cs="Calibri"/>
          <w:sz w:val="24"/>
          <w:szCs w:val="24"/>
        </w:rPr>
        <w:t>OECD</w:t>
      </w:r>
      <w:r w:rsidRPr="000F40AF">
        <w:rPr>
          <w:rFonts w:ascii="Calibri" w:hAnsi="Calibri" w:cs="Calibri"/>
          <w:sz w:val="24"/>
          <w:szCs w:val="24"/>
          <w:rtl/>
        </w:rPr>
        <w:t xml:space="preserve">. </w:t>
      </w:r>
    </w:p>
    <w:p w:rsidR="000F40AF" w:rsidRPr="000F40AF" w:rsidRDefault="000F40AF" w:rsidP="000F40AF">
      <w:pPr>
        <w:spacing w:line="360" w:lineRule="auto"/>
        <w:jc w:val="both"/>
        <w:rPr>
          <w:rFonts w:ascii="Calibri" w:hAnsi="Calibri" w:cs="Calibri"/>
          <w:sz w:val="24"/>
          <w:szCs w:val="24"/>
        </w:rPr>
      </w:pPr>
      <w:r w:rsidRPr="000F40AF">
        <w:rPr>
          <w:rFonts w:ascii="Calibri" w:hAnsi="Calibri" w:cs="Calibri"/>
          <w:sz w:val="24"/>
          <w:szCs w:val="24"/>
          <w:rtl/>
        </w:rPr>
        <w:t>פערי ההון האנושי בין ישראל ל-</w:t>
      </w:r>
      <w:r w:rsidRPr="000F40AF">
        <w:rPr>
          <w:rFonts w:ascii="Calibri" w:hAnsi="Calibri" w:cs="Calibri"/>
          <w:sz w:val="24"/>
          <w:szCs w:val="24"/>
        </w:rPr>
        <w:t>OECD</w:t>
      </w:r>
      <w:r w:rsidRPr="000F40AF">
        <w:rPr>
          <w:rFonts w:ascii="Calibri" w:hAnsi="Calibri" w:cs="Calibri"/>
          <w:sz w:val="24"/>
          <w:szCs w:val="24"/>
          <w:rtl/>
        </w:rPr>
        <w:t xml:space="preserve"> ניכרים כבר בגיל מוקדם ונותרים משמעותיים לאורך החיים. איור </w:t>
      </w:r>
      <w:r w:rsidRPr="000F40AF">
        <w:rPr>
          <w:rFonts w:ascii="Calibri" w:hAnsi="Calibri" w:cs="Calibri"/>
          <w:sz w:val="24"/>
          <w:szCs w:val="24"/>
        </w:rPr>
        <w:t>3</w:t>
      </w:r>
      <w:r w:rsidRPr="000F40AF">
        <w:rPr>
          <w:rFonts w:ascii="Calibri" w:hAnsi="Calibri" w:cs="Calibri"/>
          <w:sz w:val="24"/>
          <w:szCs w:val="24"/>
          <w:rtl/>
        </w:rPr>
        <w:t xml:space="preserve"> ממחיש כי פערי הציונים שנצפו בגיל 15 (במבחני </w:t>
      </w:r>
      <w:r w:rsidRPr="000F40AF">
        <w:rPr>
          <w:rFonts w:ascii="Calibri" w:hAnsi="Calibri" w:cs="Calibri"/>
          <w:sz w:val="24"/>
          <w:szCs w:val="24"/>
        </w:rPr>
        <w:t>PISA 2006</w:t>
      </w:r>
      <w:r w:rsidRPr="000F40AF">
        <w:rPr>
          <w:rFonts w:ascii="Calibri" w:hAnsi="Calibri" w:cs="Calibri"/>
          <w:sz w:val="24"/>
          <w:szCs w:val="24"/>
          <w:rtl/>
        </w:rPr>
        <w:t xml:space="preserve">) נותרו דומים בגילים 25–34 (במבחני </w:t>
      </w:r>
      <w:r w:rsidRPr="000F40AF">
        <w:rPr>
          <w:rFonts w:ascii="Calibri" w:hAnsi="Calibri" w:cs="Calibri"/>
          <w:sz w:val="24"/>
          <w:szCs w:val="24"/>
        </w:rPr>
        <w:t>PIAAC</w:t>
      </w:r>
      <w:r w:rsidRPr="000F40AF">
        <w:rPr>
          <w:rFonts w:ascii="Calibri" w:hAnsi="Calibri" w:cs="Calibri"/>
          <w:sz w:val="24"/>
          <w:szCs w:val="24"/>
          <w:rtl/>
        </w:rPr>
        <w:t xml:space="preserve"> בשנים 2022—2023). פערי המיומנויות בישראל ניכרים ביחס ל-</w:t>
      </w:r>
      <w:r w:rsidRPr="000F40AF">
        <w:rPr>
          <w:rFonts w:ascii="Calibri" w:hAnsi="Calibri" w:cs="Calibri"/>
          <w:sz w:val="24"/>
          <w:szCs w:val="24"/>
        </w:rPr>
        <w:t>OECD</w:t>
      </w:r>
      <w:r w:rsidRPr="000F40AF">
        <w:rPr>
          <w:rFonts w:ascii="Calibri" w:hAnsi="Calibri" w:cs="Calibri"/>
          <w:sz w:val="24"/>
          <w:szCs w:val="24"/>
          <w:rtl/>
        </w:rPr>
        <w:t xml:space="preserve"> למרות ששיעור בעלי ההשכלה העל-תיכונית גבוה מהממוצע ב-</w:t>
      </w:r>
      <w:r w:rsidRPr="000F40AF">
        <w:rPr>
          <w:rFonts w:ascii="Calibri" w:hAnsi="Calibri" w:cs="Calibri"/>
          <w:sz w:val="24"/>
          <w:szCs w:val="24"/>
        </w:rPr>
        <w:t>OECD</w:t>
      </w:r>
      <w:r w:rsidRPr="000F40AF">
        <w:rPr>
          <w:rFonts w:ascii="Calibri" w:hAnsi="Calibri" w:cs="Calibri"/>
          <w:sz w:val="24"/>
          <w:szCs w:val="24"/>
          <w:rtl/>
        </w:rPr>
        <w:t>. עם זאת, בין מחזור הסקר הראשון ב-2011—2015 למחזור הסקר השני ב-2022—2023 הפער לטובת ישראל בשיעור המשכילים הצטמצם מ-12 ל-3 נקודות אחוז בלבד. בנוסף, 10% מבעלי ההשכלה העל-תיכונית בישראל חסרים את רמת הידע המינימלית הנדרשת ממבוגר – שיעור חריג בהשוואה ל-</w:t>
      </w:r>
      <w:r w:rsidRPr="000F40AF">
        <w:rPr>
          <w:rFonts w:ascii="Calibri" w:hAnsi="Calibri" w:cs="Calibri"/>
          <w:sz w:val="24"/>
          <w:szCs w:val="24"/>
        </w:rPr>
        <w:t>OECD</w:t>
      </w:r>
      <w:r w:rsidRPr="000F40AF">
        <w:rPr>
          <w:rFonts w:ascii="Calibri" w:hAnsi="Calibri" w:cs="Calibri"/>
          <w:sz w:val="24"/>
          <w:szCs w:val="24"/>
          <w:rtl/>
        </w:rPr>
        <w:t xml:space="preserve"> (איור</w:t>
      </w:r>
      <w:r w:rsidRPr="000F40AF">
        <w:rPr>
          <w:rFonts w:ascii="Calibri" w:hAnsi="Calibri" w:cs="Calibri"/>
          <w:sz w:val="24"/>
          <w:szCs w:val="24"/>
        </w:rPr>
        <w:t xml:space="preserve">4 </w:t>
      </w:r>
      <w:r w:rsidRPr="000F40AF">
        <w:rPr>
          <w:rFonts w:ascii="Calibri" w:hAnsi="Calibri" w:cs="Calibri"/>
          <w:sz w:val="24"/>
          <w:szCs w:val="24"/>
          <w:rtl/>
        </w:rPr>
        <w:t>). גורם נוסף שעשוי להסביר את הפערים בין ישראל ל-</w:t>
      </w:r>
      <w:r w:rsidRPr="000F40AF">
        <w:rPr>
          <w:rFonts w:ascii="Calibri" w:hAnsi="Calibri" w:cs="Calibri"/>
          <w:sz w:val="24"/>
          <w:szCs w:val="24"/>
        </w:rPr>
        <w:t>OECD</w:t>
      </w:r>
      <w:r w:rsidRPr="000F40AF">
        <w:rPr>
          <w:rFonts w:ascii="Calibri" w:hAnsi="Calibri" w:cs="Calibri"/>
          <w:sz w:val="24"/>
          <w:szCs w:val="24"/>
          <w:rtl/>
        </w:rPr>
        <w:t xml:space="preserve"> ברמת המיומנויות הוא שחיקה גבוהה יותר של מיומנויות הבוגרים עם הגיל. מהניתוח עולה כי שחיקת המיומנויות עם עליית הגיל בולטת יותר בישראל לעומת ה-</w:t>
      </w:r>
      <w:r w:rsidRPr="000F40AF">
        <w:rPr>
          <w:rFonts w:ascii="Calibri" w:hAnsi="Calibri" w:cs="Calibri"/>
          <w:sz w:val="24"/>
          <w:szCs w:val="24"/>
        </w:rPr>
        <w:t>OECD</w:t>
      </w:r>
      <w:r w:rsidRPr="000F40AF">
        <w:rPr>
          <w:rFonts w:ascii="Calibri" w:hAnsi="Calibri" w:cs="Calibri"/>
          <w:sz w:val="24"/>
          <w:szCs w:val="24"/>
          <w:rtl/>
        </w:rPr>
        <w:t xml:space="preserve"> בקרב ילידי שנות ה-60 וה-70.</w:t>
      </w:r>
    </w:p>
    <w:p w:rsidR="000F40AF" w:rsidRPr="000F40AF" w:rsidRDefault="000F40AF" w:rsidP="000F40AF">
      <w:pPr>
        <w:spacing w:line="360" w:lineRule="auto"/>
        <w:jc w:val="both"/>
        <w:rPr>
          <w:rFonts w:ascii="Calibri" w:hAnsi="Calibri" w:cs="Calibri"/>
          <w:sz w:val="24"/>
          <w:szCs w:val="24"/>
        </w:rPr>
      </w:pPr>
      <w:r w:rsidRPr="000F40AF">
        <w:rPr>
          <w:rFonts w:ascii="Calibri" w:hAnsi="Calibri" w:cs="Calibri"/>
          <w:sz w:val="24"/>
          <w:szCs w:val="24"/>
          <w:rtl/>
        </w:rPr>
        <w:t>מבט על שוק העבודה מראה כי פערי המיומנויות בולטים במיוחד בקרב המועסקים בענפים כלכליים ובמשלחי יד מוטי מיומנויות נמוכות. כך למשל, פער המיומנויות בקרב עובדים בעלי משלח יד אקדמי הוא כ-0.3 סטיות תקן, בעוד שפער המיומנויות בקרב עובדים מקצועיים בתעשייה הוא כ-0.5 סטיות תקן. בענף המידע והתקשורת פער המיומנויות עומד על 0.15 סטיות תקן בלבד, ומנגד בענפי הבינוי והתחבורה הפער עומד על כ-0.6 סטיות תקן.</w:t>
      </w:r>
    </w:p>
    <w:p w:rsidR="000F40AF" w:rsidRPr="000F40AF" w:rsidRDefault="000F40AF" w:rsidP="000F40AF">
      <w:pPr>
        <w:spacing w:line="360" w:lineRule="auto"/>
        <w:jc w:val="both"/>
        <w:rPr>
          <w:rFonts w:ascii="Calibri" w:hAnsi="Calibri" w:cs="Calibri"/>
          <w:sz w:val="24"/>
          <w:szCs w:val="24"/>
          <w:rtl/>
        </w:rPr>
      </w:pPr>
      <w:r w:rsidRPr="000F40AF">
        <w:rPr>
          <w:rFonts w:ascii="Calibri" w:hAnsi="Calibri" w:cs="Calibri"/>
          <w:sz w:val="24"/>
          <w:szCs w:val="24"/>
          <w:rtl/>
        </w:rPr>
        <w:t>לסיכום, הפערים בהישגים בין ישראל למדינות ה-</w:t>
      </w:r>
      <w:r w:rsidRPr="000F40AF">
        <w:rPr>
          <w:rFonts w:ascii="Calibri" w:hAnsi="Calibri" w:cs="Calibri"/>
          <w:sz w:val="24"/>
          <w:szCs w:val="24"/>
        </w:rPr>
        <w:t>OECD</w:t>
      </w:r>
      <w:r w:rsidRPr="000F40AF">
        <w:rPr>
          <w:rFonts w:ascii="Calibri" w:hAnsi="Calibri" w:cs="Calibri"/>
          <w:sz w:val="24"/>
          <w:szCs w:val="24"/>
          <w:rtl/>
        </w:rPr>
        <w:t xml:space="preserve"> מצביעים על אתגרי מדיניות משמעותיים בתחום ההון האנושי. הפערים שנצפו במערכת החינוך הישראלית בגיל 15 נמשכים ומשפיעים גם על ביצועי המבוגרים, והשיעור הגבוה של רוכשי השכלה גבוהה לא מתורגם לצמצום הפערים בין ישראל ל-</w:t>
      </w:r>
      <w:r w:rsidRPr="000F40AF">
        <w:rPr>
          <w:rFonts w:ascii="Calibri" w:hAnsi="Calibri" w:cs="Calibri"/>
          <w:sz w:val="24"/>
          <w:szCs w:val="24"/>
        </w:rPr>
        <w:t>OECD</w:t>
      </w:r>
      <w:r w:rsidRPr="000F40AF">
        <w:rPr>
          <w:rFonts w:ascii="Calibri" w:hAnsi="Calibri" w:cs="Calibri"/>
          <w:sz w:val="24"/>
          <w:szCs w:val="24"/>
          <w:rtl/>
        </w:rPr>
        <w:t>. שחיקה גבוהה יותר של המיומנויות באוכלוסייה המבוגרת בישראל מעלה צורך להשקיע בלמידה ובשיפור המיומנויות לאורך שלבי החיים, ממערכת החינוך וההשכלה הגבוהה ועד להכשרות מקצועיות בגיל מבוגר, שיקנו כישורים רלוונטיים לשוק העבודה המשתנה.</w:t>
      </w:r>
    </w:p>
    <w:p w:rsidR="000F40AF" w:rsidRPr="000F40AF" w:rsidRDefault="000F40AF" w:rsidP="000F40AF">
      <w:pPr>
        <w:bidi w:val="0"/>
        <w:spacing w:after="0" w:line="240" w:lineRule="auto"/>
        <w:rPr>
          <w:rFonts w:ascii="Calibri" w:hAnsi="Calibri" w:cs="Calibri"/>
          <w:sz w:val="24"/>
          <w:szCs w:val="24"/>
          <w:rtl/>
        </w:rPr>
      </w:pPr>
      <w:r w:rsidRPr="000F40AF">
        <w:rPr>
          <w:rFonts w:ascii="Calibri" w:hAnsi="Calibri" w:cs="Calibri"/>
          <w:sz w:val="24"/>
          <w:szCs w:val="24"/>
          <w:rtl/>
        </w:rPr>
        <w:br w:type="page"/>
      </w:r>
    </w:p>
    <w:p w:rsidR="000F40AF" w:rsidRPr="000F40AF" w:rsidRDefault="000F40AF" w:rsidP="000F40AF">
      <w:pPr>
        <w:pStyle w:val="af6"/>
        <w:jc w:val="both"/>
        <w:rPr>
          <w:rtl/>
        </w:rPr>
      </w:pPr>
      <w:r w:rsidRPr="000F40AF">
        <w:rPr>
          <w:rFonts w:eastAsia="Calibri"/>
          <w:rtl/>
        </w:rPr>
        <w:lastRenderedPageBreak/>
        <w:t>איור</w:t>
      </w:r>
      <w:r w:rsidRPr="000F40AF">
        <w:rPr>
          <w:rFonts w:eastAsia="Calibri"/>
        </w:rPr>
        <w:t xml:space="preserve">1 </w:t>
      </w:r>
      <w:r w:rsidRPr="000F40AF">
        <w:rPr>
          <w:rFonts w:eastAsia="Calibri"/>
          <w:rtl/>
        </w:rPr>
        <w:t>: הפער הממוצע בציון המיומנות המשוקלל בין ישראל ל-</w:t>
      </w:r>
      <w:r w:rsidRPr="000F40AF">
        <w:rPr>
          <w:rFonts w:eastAsia="Calibri"/>
        </w:rPr>
        <w:t>OECD</w:t>
      </w:r>
      <w:r w:rsidRPr="000F40AF">
        <w:rPr>
          <w:rFonts w:eastAsia="Calibri"/>
          <w:rtl/>
        </w:rPr>
        <w:t xml:space="preserve"> לפי טווח אחוזוני ההישגים</w:t>
      </w:r>
    </w:p>
    <w:p w:rsidR="000F40AF" w:rsidRPr="000F40AF" w:rsidRDefault="000F40AF" w:rsidP="000F40AF">
      <w:pPr>
        <w:pStyle w:val="af8"/>
        <w:rPr>
          <w:rFonts w:eastAsia="Calibri"/>
          <w:rtl/>
        </w:rPr>
      </w:pPr>
      <w:r w:rsidRPr="000F40AF">
        <w:rPr>
          <w:rFonts w:eastAsia="Calibri"/>
          <w:rtl/>
        </w:rPr>
        <w:t>במונחי סטיות תקן, 2022-2023</w:t>
      </w:r>
    </w:p>
    <w:p w:rsidR="000F40AF" w:rsidRPr="000F40AF" w:rsidRDefault="000F40AF" w:rsidP="000F40AF">
      <w:pPr>
        <w:spacing w:after="0"/>
        <w:jc w:val="center"/>
        <w:rPr>
          <w:rFonts w:ascii="Calibri" w:hAnsi="Calibri" w:cs="Calibri"/>
          <w:rtl/>
        </w:rPr>
      </w:pPr>
      <w:r w:rsidRPr="000F40AF">
        <w:rPr>
          <w:rFonts w:ascii="Calibri" w:hAnsi="Calibri" w:cs="Calibri"/>
          <w:noProof/>
        </w:rPr>
        <w:drawing>
          <wp:inline distT="0" distB="0" distL="0" distR="0">
            <wp:extent cx="4671060" cy="2224405"/>
            <wp:effectExtent l="0" t="0" r="0" b="444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1060" cy="2224405"/>
                    </a:xfrm>
                    <a:prstGeom prst="rect">
                      <a:avLst/>
                    </a:prstGeom>
                    <a:noFill/>
                    <a:ln>
                      <a:noFill/>
                    </a:ln>
                  </pic:spPr>
                </pic:pic>
              </a:graphicData>
            </a:graphic>
          </wp:inline>
        </w:drawing>
      </w:r>
    </w:p>
    <w:p w:rsidR="000F40AF" w:rsidRPr="000F40AF" w:rsidRDefault="000F40AF" w:rsidP="000F40AF">
      <w:pPr>
        <w:spacing w:after="0" w:line="240" w:lineRule="auto"/>
        <w:jc w:val="both"/>
        <w:rPr>
          <w:rFonts w:ascii="Calibri" w:hAnsi="Calibri" w:cs="Calibri"/>
          <w:sz w:val="20"/>
          <w:szCs w:val="20"/>
          <w:rtl/>
        </w:rPr>
      </w:pPr>
      <w:r w:rsidRPr="000F40AF">
        <w:rPr>
          <w:rFonts w:ascii="Calibri" w:hAnsi="Calibri" w:cs="Calibri"/>
          <w:b/>
          <w:bCs/>
          <w:sz w:val="20"/>
          <w:szCs w:val="20"/>
          <w:rtl/>
        </w:rPr>
        <w:t xml:space="preserve">הערות: </w:t>
      </w:r>
      <w:r w:rsidRPr="000F40AF">
        <w:rPr>
          <w:rFonts w:ascii="Calibri" w:hAnsi="Calibri" w:cs="Calibri"/>
          <w:sz w:val="20"/>
          <w:szCs w:val="20"/>
          <w:rtl/>
        </w:rPr>
        <w:t xml:space="preserve">האיור מציג את הפערים בין ישראל ל- </w:t>
      </w:r>
      <w:r w:rsidRPr="000F40AF">
        <w:rPr>
          <w:rFonts w:ascii="Calibri" w:hAnsi="Calibri" w:cs="Calibri"/>
          <w:sz w:val="20"/>
          <w:szCs w:val="20"/>
        </w:rPr>
        <w:t>OECD</w:t>
      </w:r>
      <w:r w:rsidRPr="000F40AF">
        <w:rPr>
          <w:rFonts w:ascii="Calibri" w:hAnsi="Calibri" w:cs="Calibri"/>
          <w:sz w:val="20"/>
          <w:szCs w:val="20"/>
          <w:rtl/>
        </w:rPr>
        <w:t xml:space="preserve"> באוריינות קריאה ומתמטיקה. הפערים תוקננו בהתאם לסטיית התקן של ה-</w:t>
      </w:r>
      <w:r w:rsidRPr="000F40AF">
        <w:rPr>
          <w:rFonts w:ascii="Calibri" w:hAnsi="Calibri" w:cs="Calibri"/>
          <w:sz w:val="20"/>
          <w:szCs w:val="20"/>
        </w:rPr>
        <w:t>OECD</w:t>
      </w:r>
      <w:r w:rsidRPr="000F40AF">
        <w:rPr>
          <w:rFonts w:ascii="Calibri" w:hAnsi="Calibri" w:cs="Calibri"/>
          <w:sz w:val="20"/>
          <w:szCs w:val="20"/>
          <w:rtl/>
        </w:rPr>
        <w:t xml:space="preserve"> בתחומי הדעת השונים, והפער מוצג כממוצע ביניהם. הרחבה נוספת על אופן החישוב של ציון המיומנות המשוקלל וסטיות התק ראו בנספח הטכני.</w:t>
      </w:r>
    </w:p>
    <w:p w:rsidR="000F40AF" w:rsidRPr="000F40AF" w:rsidRDefault="000F40AF" w:rsidP="000F40AF">
      <w:pPr>
        <w:spacing w:line="240" w:lineRule="auto"/>
        <w:jc w:val="both"/>
        <w:rPr>
          <w:rFonts w:ascii="Calibri" w:hAnsi="Calibri" w:cs="Calibri"/>
          <w:sz w:val="24"/>
          <w:szCs w:val="24"/>
          <w:rtl/>
        </w:rPr>
      </w:pPr>
      <w:r w:rsidRPr="000F40AF">
        <w:rPr>
          <w:rFonts w:ascii="Calibri" w:hAnsi="Calibri" w:cs="Calibri"/>
          <w:b/>
          <w:bCs/>
          <w:sz w:val="20"/>
          <w:szCs w:val="20"/>
          <w:rtl/>
        </w:rPr>
        <w:t>המקור:</w:t>
      </w:r>
      <w:r w:rsidRPr="000F40AF">
        <w:rPr>
          <w:rFonts w:ascii="Calibri" w:hAnsi="Calibri" w:cs="Calibri"/>
          <w:sz w:val="20"/>
          <w:szCs w:val="20"/>
        </w:rPr>
        <w:t xml:space="preserve"> </w:t>
      </w:r>
      <w:r w:rsidRPr="000F40AF">
        <w:rPr>
          <w:rFonts w:ascii="Calibri" w:hAnsi="Calibri" w:cs="Calibri"/>
          <w:sz w:val="20"/>
          <w:szCs w:val="20"/>
          <w:rtl/>
        </w:rPr>
        <w:t xml:space="preserve"> </w:t>
      </w:r>
      <w:r w:rsidRPr="000F40AF">
        <w:rPr>
          <w:rFonts w:ascii="Calibri" w:hAnsi="Calibri" w:cs="Calibri"/>
          <w:sz w:val="20"/>
          <w:szCs w:val="20"/>
        </w:rPr>
        <w:t>PIAAC</w:t>
      </w:r>
      <w:r w:rsidRPr="000F40AF">
        <w:rPr>
          <w:rFonts w:ascii="Calibri" w:hAnsi="Calibri" w:cs="Calibri"/>
          <w:sz w:val="20"/>
          <w:szCs w:val="20"/>
          <w:rtl/>
        </w:rPr>
        <w:t xml:space="preserve"> ועיבודי בנק ישראל.</w:t>
      </w:r>
    </w:p>
    <w:p w:rsidR="000F40AF" w:rsidRPr="000F40AF" w:rsidRDefault="000F40AF" w:rsidP="000F40AF">
      <w:pPr>
        <w:spacing w:line="360" w:lineRule="auto"/>
        <w:jc w:val="both"/>
        <w:rPr>
          <w:rFonts w:ascii="Calibri" w:hAnsi="Calibri" w:cs="Calibri"/>
          <w:sz w:val="24"/>
          <w:szCs w:val="24"/>
          <w:rtl/>
        </w:rPr>
      </w:pPr>
    </w:p>
    <w:tbl>
      <w:tblPr>
        <w:tblpPr w:leftFromText="180" w:rightFromText="180" w:vertAnchor="text" w:horzAnchor="margin" w:tblpXSpec="right" w:tblpY="106"/>
        <w:bidiVisual/>
        <w:tblW w:w="0" w:type="dxa"/>
        <w:tblLook w:val="04A0" w:firstRow="1" w:lastRow="0" w:firstColumn="1" w:lastColumn="0" w:noHBand="0" w:noVBand="1"/>
      </w:tblPr>
      <w:tblGrid>
        <w:gridCol w:w="9026"/>
      </w:tblGrid>
      <w:tr w:rsidR="000F40AF" w:rsidRPr="000F40AF" w:rsidTr="000F40AF">
        <w:tc>
          <w:tcPr>
            <w:tcW w:w="9026" w:type="dxa"/>
          </w:tcPr>
          <w:p w:rsidR="000F40AF" w:rsidRPr="000F40AF" w:rsidRDefault="000F40AF" w:rsidP="00760B68">
            <w:pPr>
              <w:pStyle w:val="af6"/>
              <w:rPr>
                <w:rtl/>
              </w:rPr>
            </w:pPr>
            <w:r w:rsidRPr="000F40AF">
              <w:rPr>
                <w:rFonts w:eastAsia="Calibri"/>
                <w:rtl/>
              </w:rPr>
              <w:t xml:space="preserve">איור </w:t>
            </w:r>
            <w:r w:rsidRPr="000F40AF">
              <w:rPr>
                <w:rFonts w:eastAsia="Calibri"/>
              </w:rPr>
              <w:t>2</w:t>
            </w:r>
            <w:r w:rsidRPr="000F40AF">
              <w:rPr>
                <w:rFonts w:eastAsia="Calibri"/>
                <w:rtl/>
              </w:rPr>
              <w:t>: השינוי בנקודות בציוני אוריינות הקריאה והאוריינות המתמטית בין המחזור הראשון</w:t>
            </w:r>
          </w:p>
          <w:p w:rsidR="000F40AF" w:rsidRPr="000F40AF" w:rsidRDefault="000F40AF" w:rsidP="00760B68">
            <w:pPr>
              <w:pStyle w:val="af6"/>
            </w:pPr>
            <w:r w:rsidRPr="000F40AF">
              <w:rPr>
                <w:rFonts w:eastAsia="Calibri"/>
                <w:rtl/>
              </w:rPr>
              <w:t>(2011–2015) למחזור השני (2022–2023), קבוצות אוכלוסייה בישראל וממוצע ה-</w:t>
            </w:r>
            <w:r w:rsidRPr="000F40AF">
              <w:rPr>
                <w:rFonts w:eastAsia="Calibri"/>
              </w:rPr>
              <w:t>OECD</w:t>
            </w:r>
            <w:r w:rsidRPr="000F40AF">
              <w:rPr>
                <w:rFonts w:eastAsia="Calibri"/>
                <w:vertAlign w:val="superscript"/>
                <w:rtl/>
              </w:rPr>
              <w:t>1</w:t>
            </w:r>
          </w:p>
        </w:tc>
      </w:tr>
      <w:tr w:rsidR="000F40AF" w:rsidRPr="000F40AF" w:rsidTr="000F40AF">
        <w:tc>
          <w:tcPr>
            <w:tcW w:w="9026" w:type="dxa"/>
          </w:tcPr>
          <w:p w:rsidR="000F40AF" w:rsidRPr="000F40AF" w:rsidRDefault="000F40AF" w:rsidP="00760B68">
            <w:pPr>
              <w:spacing w:after="0" w:line="240" w:lineRule="auto"/>
              <w:jc w:val="both"/>
              <w:rPr>
                <w:rFonts w:ascii="Calibri" w:hAnsi="Calibri" w:cs="Calibri"/>
                <w:sz w:val="20"/>
                <w:szCs w:val="20"/>
                <w:rtl/>
              </w:rPr>
            </w:pPr>
            <w:r w:rsidRPr="000F40AF">
              <w:rPr>
                <w:rFonts w:ascii="Calibri" w:hAnsi="Calibri" w:cs="Calibri"/>
                <w:b/>
                <w:bCs/>
                <w:noProof/>
                <w:sz w:val="20"/>
                <w:szCs w:val="20"/>
                <w:rtl/>
              </w:rPr>
              <w:drawing>
                <wp:anchor distT="0" distB="0" distL="114300" distR="114300" simplePos="0" relativeHeight="251661312" behindDoc="0" locked="0" layoutInCell="1" allowOverlap="1">
                  <wp:simplePos x="0" y="0"/>
                  <wp:positionH relativeFrom="column">
                    <wp:posOffset>-23495</wp:posOffset>
                  </wp:positionH>
                  <wp:positionV relativeFrom="paragraph">
                    <wp:posOffset>88900</wp:posOffset>
                  </wp:positionV>
                  <wp:extent cx="5157470" cy="2145665"/>
                  <wp:effectExtent l="0" t="0" r="5080" b="6985"/>
                  <wp:wrapTopAndBottom/>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7470" cy="2145665"/>
                          </a:xfrm>
                          <a:prstGeom prst="rect">
                            <a:avLst/>
                          </a:prstGeom>
                          <a:noFill/>
                        </pic:spPr>
                      </pic:pic>
                    </a:graphicData>
                  </a:graphic>
                  <wp14:sizeRelH relativeFrom="page">
                    <wp14:pctWidth>0</wp14:pctWidth>
                  </wp14:sizeRelH>
                  <wp14:sizeRelV relativeFrom="page">
                    <wp14:pctHeight>0</wp14:pctHeight>
                  </wp14:sizeRelV>
                </wp:anchor>
              </w:drawing>
            </w:r>
            <w:r w:rsidRPr="000F40AF">
              <w:rPr>
                <w:rFonts w:ascii="Calibri" w:eastAsia="Calibri" w:hAnsi="Calibri" w:cs="Calibri"/>
                <w:b/>
                <w:bCs/>
                <w:sz w:val="20"/>
                <w:szCs w:val="20"/>
                <w:rtl/>
              </w:rPr>
              <w:t>הערות</w:t>
            </w:r>
            <w:r w:rsidRPr="000F40AF">
              <w:rPr>
                <w:rFonts w:ascii="Calibri" w:eastAsia="Calibri" w:hAnsi="Calibri" w:cs="Calibri"/>
                <w:sz w:val="20"/>
                <w:szCs w:val="20"/>
                <w:rtl/>
              </w:rPr>
              <w:t xml:space="preserve">: </w:t>
            </w:r>
            <w:r w:rsidRPr="000F40AF">
              <w:rPr>
                <w:rFonts w:ascii="Calibri" w:eastAsia="Calibri" w:hAnsi="Calibri" w:cs="Calibri"/>
                <w:sz w:val="20"/>
                <w:szCs w:val="20"/>
              </w:rPr>
              <w:t>OECD"</w:t>
            </w:r>
            <w:r w:rsidRPr="000F40AF">
              <w:rPr>
                <w:rFonts w:ascii="Calibri" w:eastAsia="Calibri" w:hAnsi="Calibri" w:cs="Calibri"/>
                <w:sz w:val="20"/>
                <w:szCs w:val="20"/>
                <w:rtl/>
              </w:rPr>
              <w:t xml:space="preserve"> 24" כולל את 24 המדינות שהשתתפו בשני מחזורי הסקר. ההפרש בין המחזור הראשון לשני מוצג במונחי נקודות של הציון בתחום האוריינות הנבחן. במחזור הראשון לא נכלל תחום הדעת "פתרון בעיות אדפטיבי". סטיית תקן אחת היא 55 נקודות באוריינות קריאה ו-58 נקודות באוריינות מתמטית במדינות ה-</w:t>
            </w:r>
            <w:r w:rsidRPr="000F40AF">
              <w:rPr>
                <w:rFonts w:ascii="Calibri" w:eastAsia="Calibri" w:hAnsi="Calibri" w:cs="Calibri"/>
                <w:sz w:val="20"/>
                <w:szCs w:val="20"/>
              </w:rPr>
              <w:t>OECD</w:t>
            </w:r>
            <w:r w:rsidRPr="000F40AF">
              <w:rPr>
                <w:rFonts w:ascii="Calibri" w:eastAsia="Calibri" w:hAnsi="Calibri" w:cs="Calibri"/>
                <w:sz w:val="20"/>
                <w:szCs w:val="20"/>
                <w:rtl/>
              </w:rPr>
              <w:t xml:space="preserve"> במחזור השני של הסקר (2022-2023).</w:t>
            </w:r>
          </w:p>
          <w:p w:rsidR="000F40AF" w:rsidRPr="000F40AF" w:rsidRDefault="000F40AF" w:rsidP="00760B68">
            <w:pPr>
              <w:spacing w:after="0" w:line="240" w:lineRule="auto"/>
              <w:jc w:val="both"/>
              <w:rPr>
                <w:rFonts w:ascii="Calibri" w:hAnsi="Calibri" w:cs="Calibri"/>
                <w:sz w:val="24"/>
                <w:szCs w:val="24"/>
                <w:rtl/>
              </w:rPr>
            </w:pPr>
            <w:r w:rsidRPr="000F40AF">
              <w:rPr>
                <w:rFonts w:ascii="Calibri" w:eastAsia="Calibri" w:hAnsi="Calibri" w:cs="Calibri"/>
                <w:b/>
                <w:bCs/>
                <w:sz w:val="20"/>
                <w:szCs w:val="20"/>
                <w:rtl/>
              </w:rPr>
              <w:t>המקור:</w:t>
            </w:r>
            <w:r w:rsidRPr="000F40AF">
              <w:rPr>
                <w:rFonts w:ascii="Calibri" w:eastAsia="Calibri" w:hAnsi="Calibri" w:cs="Calibri"/>
                <w:sz w:val="20"/>
                <w:szCs w:val="20"/>
              </w:rPr>
              <w:t xml:space="preserve"> PIAAC</w:t>
            </w:r>
            <w:r w:rsidRPr="000F40AF">
              <w:rPr>
                <w:rFonts w:ascii="Calibri" w:eastAsia="Calibri" w:hAnsi="Calibri" w:cs="Calibri"/>
                <w:sz w:val="20"/>
                <w:szCs w:val="20"/>
                <w:rtl/>
              </w:rPr>
              <w:t xml:space="preserve"> ועיבודי בנק ישראל.</w:t>
            </w:r>
            <w:r w:rsidRPr="000F40AF">
              <w:rPr>
                <w:rFonts w:ascii="Calibri" w:eastAsia="Calibri" w:hAnsi="Calibri" w:cs="Calibri"/>
                <w:sz w:val="24"/>
                <w:szCs w:val="24"/>
                <w:rtl/>
              </w:rPr>
              <w:t xml:space="preserve"> </w:t>
            </w:r>
          </w:p>
        </w:tc>
      </w:tr>
    </w:tbl>
    <w:p w:rsidR="000F40AF" w:rsidRPr="000F40AF" w:rsidRDefault="000F40AF" w:rsidP="000F40AF">
      <w:pPr>
        <w:spacing w:before="240" w:line="360" w:lineRule="auto"/>
        <w:jc w:val="both"/>
        <w:rPr>
          <w:rFonts w:ascii="Calibri" w:hAnsi="Calibri" w:cs="Calibri"/>
          <w:sz w:val="24"/>
          <w:szCs w:val="24"/>
        </w:rPr>
      </w:pPr>
    </w:p>
    <w:p w:rsidR="000F40AF" w:rsidRPr="000F40AF" w:rsidRDefault="000F40AF" w:rsidP="000F40AF">
      <w:pPr>
        <w:rPr>
          <w:rFonts w:ascii="Calibri" w:hAnsi="Calibri" w:cs="Calibri"/>
        </w:rPr>
      </w:pPr>
      <w:r w:rsidRPr="000F40AF">
        <w:rPr>
          <w:rFonts w:ascii="Calibri" w:hAnsi="Calibri" w:cs="Calibri"/>
          <w:b/>
          <w:bCs/>
        </w:rPr>
        <w:br w:type="page"/>
      </w:r>
    </w:p>
    <w:tbl>
      <w:tblPr>
        <w:tblpPr w:leftFromText="180" w:rightFromText="180" w:vertAnchor="text" w:horzAnchor="margin" w:tblpY="40"/>
        <w:bidiVisual/>
        <w:tblW w:w="5000" w:type="pct"/>
        <w:tblLook w:val="04A0" w:firstRow="1" w:lastRow="0" w:firstColumn="1" w:lastColumn="0" w:noHBand="0" w:noVBand="1"/>
      </w:tblPr>
      <w:tblGrid>
        <w:gridCol w:w="9746"/>
      </w:tblGrid>
      <w:tr w:rsidR="000F40AF" w:rsidRPr="000F40AF" w:rsidTr="00760B68">
        <w:tc>
          <w:tcPr>
            <w:tcW w:w="5000" w:type="pct"/>
          </w:tcPr>
          <w:p w:rsidR="000F40AF" w:rsidRPr="000F40AF" w:rsidRDefault="000F40AF" w:rsidP="00760B68">
            <w:pPr>
              <w:pStyle w:val="af6"/>
            </w:pPr>
            <w:r w:rsidRPr="000F40AF">
              <w:rPr>
                <w:rFonts w:eastAsia="Calibri"/>
              </w:rPr>
              <w:lastRenderedPageBreak/>
              <w:br w:type="column"/>
            </w:r>
            <w:r w:rsidRPr="000F40AF">
              <w:rPr>
                <w:rFonts w:eastAsia="Calibri"/>
                <w:rtl/>
              </w:rPr>
              <w:t>איור</w:t>
            </w:r>
            <w:r w:rsidRPr="000F40AF">
              <w:rPr>
                <w:rFonts w:eastAsia="Calibri"/>
              </w:rPr>
              <w:t xml:space="preserve"> :3 </w:t>
            </w:r>
            <w:r w:rsidRPr="000F40AF">
              <w:rPr>
                <w:rFonts w:eastAsia="Calibri"/>
                <w:rtl/>
              </w:rPr>
              <w:t>פער הציונים ביחס לממוצע ה-</w:t>
            </w:r>
            <w:r w:rsidRPr="000F40AF">
              <w:rPr>
                <w:rFonts w:eastAsia="Calibri"/>
              </w:rPr>
              <w:t>OECD</w:t>
            </w:r>
            <w:r w:rsidRPr="000F40AF">
              <w:rPr>
                <w:rFonts w:eastAsia="Calibri"/>
                <w:rtl/>
              </w:rPr>
              <w:t xml:space="preserve"> אצל ילידי שנות ה-90: כשהיו בני 15 ב-</w:t>
            </w:r>
            <w:r w:rsidRPr="000F40AF">
              <w:rPr>
                <w:rFonts w:eastAsia="Calibri"/>
              </w:rPr>
              <w:t>PISA</w:t>
            </w:r>
            <w:r w:rsidRPr="000F40AF">
              <w:rPr>
                <w:rFonts w:eastAsia="Calibri"/>
                <w:rtl/>
              </w:rPr>
              <w:t xml:space="preserve"> ובהיותם בוגרים בגילי 25–34 ב-</w:t>
            </w:r>
            <w:r w:rsidRPr="000F40AF">
              <w:rPr>
                <w:rFonts w:eastAsia="Calibri"/>
              </w:rPr>
              <w:t>PIAAC</w:t>
            </w:r>
          </w:p>
        </w:tc>
      </w:tr>
      <w:tr w:rsidR="000F40AF" w:rsidRPr="000F40AF" w:rsidTr="00760B68">
        <w:trPr>
          <w:trHeight w:val="4164"/>
        </w:trPr>
        <w:tc>
          <w:tcPr>
            <w:tcW w:w="5000" w:type="pct"/>
            <w:vAlign w:val="center"/>
          </w:tcPr>
          <w:p w:rsidR="000F40AF" w:rsidRPr="000F40AF" w:rsidRDefault="000F40AF" w:rsidP="00760B68">
            <w:pPr>
              <w:spacing w:after="0" w:line="240" w:lineRule="auto"/>
              <w:jc w:val="both"/>
              <w:rPr>
                <w:rFonts w:ascii="Calibri" w:hAnsi="Calibri" w:cs="Calibri"/>
                <w:b/>
                <w:bCs/>
                <w:sz w:val="20"/>
                <w:szCs w:val="20"/>
                <w:rtl/>
              </w:rPr>
            </w:pPr>
            <w:r w:rsidRPr="000F40AF">
              <w:rPr>
                <w:rFonts w:ascii="Calibri" w:hAnsi="Calibri" w:cs="Calibri"/>
                <w:b/>
                <w:bCs/>
                <w:noProof/>
                <w:sz w:val="20"/>
                <w:szCs w:val="20"/>
              </w:rPr>
              <w:drawing>
                <wp:inline distT="0" distB="0" distL="0" distR="0">
                  <wp:extent cx="5153025" cy="2656840"/>
                  <wp:effectExtent l="0" t="0" r="9525"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3025" cy="2656840"/>
                          </a:xfrm>
                          <a:prstGeom prst="rect">
                            <a:avLst/>
                          </a:prstGeom>
                          <a:noFill/>
                          <a:ln>
                            <a:noFill/>
                          </a:ln>
                        </pic:spPr>
                      </pic:pic>
                    </a:graphicData>
                  </a:graphic>
                </wp:inline>
              </w:drawing>
            </w:r>
          </w:p>
          <w:p w:rsidR="000F40AF" w:rsidRPr="000F40AF" w:rsidRDefault="000F40AF" w:rsidP="00760B68">
            <w:pPr>
              <w:spacing w:after="0" w:line="240" w:lineRule="auto"/>
              <w:jc w:val="both"/>
              <w:rPr>
                <w:rFonts w:ascii="Calibri" w:hAnsi="Calibri" w:cs="Calibri"/>
                <w:sz w:val="20"/>
                <w:szCs w:val="20"/>
                <w:rtl/>
              </w:rPr>
            </w:pPr>
            <w:r w:rsidRPr="000F40AF">
              <w:rPr>
                <w:rFonts w:ascii="Calibri" w:eastAsia="Calibri" w:hAnsi="Calibri" w:cs="Calibri"/>
                <w:b/>
                <w:bCs/>
                <w:sz w:val="20"/>
                <w:szCs w:val="20"/>
                <w:rtl/>
              </w:rPr>
              <w:t>הערות:</w:t>
            </w:r>
            <w:r w:rsidRPr="000F40AF">
              <w:rPr>
                <w:rFonts w:ascii="Calibri" w:eastAsia="Calibri" w:hAnsi="Calibri" w:cs="Calibri"/>
                <w:sz w:val="20"/>
                <w:szCs w:val="20"/>
              </w:rPr>
              <w:t xml:space="preserve"> </w:t>
            </w:r>
            <w:r w:rsidRPr="000F40AF">
              <w:rPr>
                <w:rFonts w:ascii="Calibri" w:eastAsia="Calibri" w:hAnsi="Calibri" w:cs="Calibri"/>
                <w:sz w:val="20"/>
                <w:szCs w:val="20"/>
                <w:rtl/>
              </w:rPr>
              <w:t>האיור מציג את הפערים בין ישראל ל-</w:t>
            </w:r>
            <w:r w:rsidRPr="000F40AF">
              <w:rPr>
                <w:rFonts w:ascii="Calibri" w:eastAsia="Calibri" w:hAnsi="Calibri" w:cs="Calibri"/>
                <w:sz w:val="20"/>
                <w:szCs w:val="20"/>
              </w:rPr>
              <w:t>OECD</w:t>
            </w:r>
            <w:r w:rsidRPr="000F40AF">
              <w:rPr>
                <w:rFonts w:ascii="Calibri" w:eastAsia="Calibri" w:hAnsi="Calibri" w:cs="Calibri"/>
                <w:sz w:val="20"/>
                <w:szCs w:val="20"/>
                <w:rtl/>
              </w:rPr>
              <w:t>, בקריאה ומתמטיקה כאשר הפערים תוקננו בהתאם לסטיית התקן של ה-</w:t>
            </w:r>
            <w:r w:rsidRPr="000F40AF">
              <w:rPr>
                <w:rFonts w:ascii="Calibri" w:eastAsia="Calibri" w:hAnsi="Calibri" w:cs="Calibri"/>
                <w:sz w:val="20"/>
                <w:szCs w:val="20"/>
              </w:rPr>
              <w:t>OECD</w:t>
            </w:r>
            <w:r w:rsidRPr="000F40AF">
              <w:rPr>
                <w:rFonts w:ascii="Calibri" w:eastAsia="Calibri" w:hAnsi="Calibri" w:cs="Calibri"/>
                <w:sz w:val="20"/>
                <w:szCs w:val="20"/>
                <w:rtl/>
              </w:rPr>
              <w:t xml:space="preserve"> בתחומי הדעת השונים, בבחינות השונות. ההשוואה היא ביחס לילידי שנות ה-90 כשהיו תלמידים בני 15 (</w:t>
            </w:r>
            <w:r w:rsidRPr="000F40AF">
              <w:rPr>
                <w:rFonts w:ascii="Calibri" w:eastAsia="Calibri" w:hAnsi="Calibri" w:cs="Calibri"/>
                <w:sz w:val="20"/>
                <w:szCs w:val="20"/>
              </w:rPr>
              <w:t>PISA</w:t>
            </w:r>
            <w:r w:rsidRPr="000F40AF">
              <w:rPr>
                <w:rFonts w:ascii="Calibri" w:eastAsia="Calibri" w:hAnsi="Calibri" w:cs="Calibri"/>
                <w:sz w:val="20"/>
                <w:szCs w:val="20"/>
                <w:rtl/>
              </w:rPr>
              <w:t xml:space="preserve">, </w:t>
            </w:r>
            <w:r w:rsidRPr="000F40AF">
              <w:rPr>
                <w:rFonts w:ascii="Calibri" w:eastAsia="Calibri" w:hAnsi="Calibri" w:cs="Calibri"/>
                <w:sz w:val="20"/>
                <w:szCs w:val="20"/>
              </w:rPr>
              <w:t>2006</w:t>
            </w:r>
            <w:r w:rsidRPr="000F40AF">
              <w:rPr>
                <w:rFonts w:ascii="Calibri" w:eastAsia="Calibri" w:hAnsi="Calibri" w:cs="Calibri"/>
                <w:sz w:val="20"/>
                <w:szCs w:val="20"/>
                <w:rtl/>
              </w:rPr>
              <w:t>) ובוגרים בגילי 25–34 (</w:t>
            </w:r>
            <w:r w:rsidRPr="000F40AF">
              <w:rPr>
                <w:rFonts w:ascii="Calibri" w:eastAsia="Calibri" w:hAnsi="Calibri" w:cs="Calibri"/>
                <w:sz w:val="20"/>
                <w:szCs w:val="20"/>
              </w:rPr>
              <w:t>PIAAC 2022</w:t>
            </w:r>
            <w:r w:rsidRPr="000F40AF">
              <w:rPr>
                <w:rFonts w:ascii="Calibri" w:eastAsia="Calibri" w:hAnsi="Calibri" w:cs="Calibri"/>
                <w:sz w:val="20"/>
                <w:szCs w:val="20"/>
                <w:rtl/>
              </w:rPr>
              <w:t>). הרחבה נוספת על אופן החישוב של ציון המיומנות המשוקלל וסטיות התקן ראו בנספח הטכני.</w:t>
            </w:r>
          </w:p>
          <w:p w:rsidR="000F40AF" w:rsidRPr="000F40AF" w:rsidRDefault="000F40AF" w:rsidP="00760B68">
            <w:pPr>
              <w:spacing w:after="0" w:line="240" w:lineRule="auto"/>
              <w:jc w:val="both"/>
              <w:rPr>
                <w:rFonts w:ascii="Calibri" w:hAnsi="Calibri" w:cs="Calibri"/>
                <w:sz w:val="24"/>
                <w:szCs w:val="24"/>
                <w:rtl/>
              </w:rPr>
            </w:pPr>
            <w:r w:rsidRPr="000F40AF">
              <w:rPr>
                <w:rFonts w:ascii="Calibri" w:eastAsia="Calibri" w:hAnsi="Calibri" w:cs="Calibri"/>
                <w:b/>
                <w:bCs/>
                <w:sz w:val="20"/>
                <w:szCs w:val="20"/>
                <w:rtl/>
              </w:rPr>
              <w:t>המקור:</w:t>
            </w:r>
            <w:r w:rsidRPr="000F40AF">
              <w:rPr>
                <w:rFonts w:ascii="Calibri" w:eastAsia="Calibri" w:hAnsi="Calibri" w:cs="Calibri"/>
                <w:sz w:val="20"/>
                <w:szCs w:val="20"/>
                <w:rtl/>
              </w:rPr>
              <w:t xml:space="preserve"> </w:t>
            </w:r>
            <w:r w:rsidRPr="000F40AF">
              <w:rPr>
                <w:rFonts w:ascii="Calibri" w:eastAsia="Calibri" w:hAnsi="Calibri" w:cs="Calibri"/>
                <w:sz w:val="20"/>
                <w:szCs w:val="20"/>
              </w:rPr>
              <w:t>PIAAC PISA</w:t>
            </w:r>
            <w:r w:rsidRPr="000F40AF">
              <w:rPr>
                <w:rFonts w:ascii="Calibri" w:eastAsia="Calibri" w:hAnsi="Calibri" w:cs="Calibri"/>
                <w:sz w:val="20"/>
                <w:szCs w:val="20"/>
                <w:rtl/>
              </w:rPr>
              <w:t xml:space="preserve"> ועיבודי בנק ישראל. </w:t>
            </w:r>
          </w:p>
        </w:tc>
      </w:tr>
    </w:tbl>
    <w:p w:rsidR="000F40AF" w:rsidRPr="000F40AF" w:rsidRDefault="000F40AF" w:rsidP="000F40AF">
      <w:pPr>
        <w:spacing w:line="360" w:lineRule="auto"/>
        <w:jc w:val="both"/>
        <w:rPr>
          <w:rFonts w:ascii="Calibri" w:hAnsi="Calibri" w:cs="Calibri"/>
          <w:b/>
          <w:sz w:val="24"/>
          <w:szCs w:val="24"/>
          <w:rtl/>
        </w:rPr>
      </w:pPr>
    </w:p>
    <w:tbl>
      <w:tblPr>
        <w:tblStyle w:val="af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6"/>
      </w:tblGrid>
      <w:tr w:rsidR="000F40AF" w:rsidRPr="000F40AF" w:rsidTr="000F40AF">
        <w:tc>
          <w:tcPr>
            <w:tcW w:w="8296" w:type="dxa"/>
          </w:tcPr>
          <w:p w:rsidR="000F40AF" w:rsidRPr="000F40AF" w:rsidRDefault="000F40AF" w:rsidP="000F40AF">
            <w:pPr>
              <w:pStyle w:val="af6"/>
              <w:jc w:val="left"/>
              <w:outlineLvl w:val="0"/>
              <w:rPr>
                <w:rtl/>
              </w:rPr>
            </w:pPr>
            <w:r w:rsidRPr="000F40AF">
              <w:rPr>
                <w:rFonts w:eastAsia="Calibri"/>
                <w:rtl/>
              </w:rPr>
              <w:t xml:space="preserve">איור </w:t>
            </w:r>
            <w:r w:rsidRPr="000F40AF">
              <w:rPr>
                <w:rFonts w:eastAsia="Calibri"/>
              </w:rPr>
              <w:t>4</w:t>
            </w:r>
            <w:r w:rsidRPr="000F40AF">
              <w:rPr>
                <w:rFonts w:eastAsia="Calibri"/>
                <w:rtl/>
              </w:rPr>
              <w:t>: שיעור בעלי ההשכלה העל-תיכונית בישראל ובמדינות ה-</w:t>
            </w:r>
            <w:r w:rsidRPr="000F40AF">
              <w:rPr>
                <w:rFonts w:eastAsia="Calibri"/>
              </w:rPr>
              <w:t>OECD</w:t>
            </w:r>
          </w:p>
          <w:p w:rsidR="000F40AF" w:rsidRPr="000F40AF" w:rsidRDefault="000F40AF" w:rsidP="000F40AF">
            <w:pPr>
              <w:pStyle w:val="af6"/>
              <w:jc w:val="left"/>
              <w:outlineLvl w:val="0"/>
              <w:rPr>
                <w:rtl/>
              </w:rPr>
            </w:pPr>
            <w:r w:rsidRPr="000F40AF">
              <w:rPr>
                <w:rFonts w:eastAsia="Calibri"/>
                <w:rtl/>
              </w:rPr>
              <w:t>במחזורים הראשון והשני של הבחינה</w:t>
            </w:r>
            <w:r w:rsidRPr="000F40AF">
              <w:rPr>
                <w:rtl/>
              </w:rPr>
              <w:t xml:space="preserve"> (2011-2015 ו-2022-2023)</w:t>
            </w:r>
          </w:p>
        </w:tc>
      </w:tr>
      <w:tr w:rsidR="000F40AF" w:rsidRPr="000F40AF" w:rsidTr="000F40AF">
        <w:tc>
          <w:tcPr>
            <w:tcW w:w="8296" w:type="dxa"/>
          </w:tcPr>
          <w:p w:rsidR="000F40AF" w:rsidRPr="000F40AF" w:rsidRDefault="000F40AF" w:rsidP="00760B68">
            <w:pPr>
              <w:spacing w:line="360" w:lineRule="auto"/>
              <w:jc w:val="both"/>
              <w:rPr>
                <w:rFonts w:ascii="Calibri" w:hAnsi="Calibri" w:cs="Calibri"/>
                <w:b/>
                <w:sz w:val="24"/>
                <w:szCs w:val="24"/>
                <w:rtl/>
              </w:rPr>
            </w:pPr>
            <w:r w:rsidRPr="000F40AF">
              <w:rPr>
                <w:rFonts w:ascii="Calibri" w:hAnsi="Calibri" w:cs="Calibri"/>
                <w:noProof/>
              </w:rPr>
              <w:drawing>
                <wp:inline distT="0" distB="0" distL="0" distR="0">
                  <wp:extent cx="5214620" cy="2026285"/>
                  <wp:effectExtent l="0" t="0" r="508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4620" cy="2026285"/>
                          </a:xfrm>
                          <a:prstGeom prst="rect">
                            <a:avLst/>
                          </a:prstGeom>
                          <a:noFill/>
                          <a:ln>
                            <a:noFill/>
                          </a:ln>
                        </pic:spPr>
                      </pic:pic>
                    </a:graphicData>
                  </a:graphic>
                </wp:inline>
              </w:drawing>
            </w:r>
          </w:p>
        </w:tc>
      </w:tr>
      <w:tr w:rsidR="000F40AF" w:rsidRPr="000F40AF" w:rsidTr="000F40AF">
        <w:tc>
          <w:tcPr>
            <w:tcW w:w="8296" w:type="dxa"/>
          </w:tcPr>
          <w:p w:rsidR="000F40AF" w:rsidRPr="000F40AF" w:rsidRDefault="000F40AF" w:rsidP="00760B68">
            <w:pPr>
              <w:jc w:val="both"/>
              <w:rPr>
                <w:rFonts w:ascii="Calibri" w:hAnsi="Calibri" w:cs="Calibri"/>
                <w:sz w:val="20"/>
                <w:szCs w:val="20"/>
                <w:rtl/>
              </w:rPr>
            </w:pPr>
            <w:r w:rsidRPr="000F40AF">
              <w:rPr>
                <w:rFonts w:ascii="Calibri" w:eastAsia="Calibri" w:hAnsi="Calibri" w:cs="Calibri"/>
                <w:b/>
                <w:bCs/>
                <w:sz w:val="20"/>
                <w:szCs w:val="20"/>
                <w:rtl/>
              </w:rPr>
              <w:t xml:space="preserve">הערות: </w:t>
            </w:r>
            <w:r w:rsidRPr="000F40AF">
              <w:rPr>
                <w:rFonts w:ascii="Calibri" w:eastAsia="Calibri" w:hAnsi="Calibri" w:cs="Calibri"/>
                <w:sz w:val="20"/>
                <w:szCs w:val="20"/>
                <w:rtl/>
              </w:rPr>
              <w:t xml:space="preserve">האיור מציג את שיעור בעלי ההשכלה העל-תיכונית </w:t>
            </w:r>
            <w:r w:rsidRPr="000F40AF">
              <w:rPr>
                <w:rFonts w:ascii="Calibri" w:eastAsia="Calibri" w:hAnsi="Calibri" w:cs="Calibri"/>
                <w:sz w:val="20"/>
                <w:szCs w:val="20"/>
              </w:rPr>
              <w:t>ISCED 5</w:t>
            </w:r>
            <w:r w:rsidRPr="000F40AF">
              <w:rPr>
                <w:rFonts w:ascii="Calibri" w:eastAsia="Calibri" w:hAnsi="Calibri" w:cs="Calibri"/>
                <w:sz w:val="20"/>
                <w:szCs w:val="20"/>
                <w:rtl/>
              </w:rPr>
              <w:t xml:space="preserve"> ומעלה. סף המיומנויות הבסיסי מוגדר על ידי ה-</w:t>
            </w:r>
            <w:r w:rsidRPr="000F40AF">
              <w:rPr>
                <w:rFonts w:ascii="Calibri" w:eastAsia="Calibri" w:hAnsi="Calibri" w:cs="Calibri"/>
                <w:sz w:val="20"/>
                <w:szCs w:val="20"/>
              </w:rPr>
              <w:t>OECD</w:t>
            </w:r>
            <w:r w:rsidRPr="000F40AF">
              <w:rPr>
                <w:rFonts w:ascii="Calibri" w:eastAsia="Calibri" w:hAnsi="Calibri" w:cs="Calibri"/>
                <w:sz w:val="20"/>
                <w:szCs w:val="20"/>
                <w:rtl/>
              </w:rPr>
              <w:t xml:space="preserve"> כרמת מיומנויות 2 ומעלה ומייצג את רמת הידע המינימלי הנדרשת מבוגר. אלו שהשיגו מתחת לרמה זו מוגדרים כמתקשים. המדינות המוצגות באיור הן מדינות אשר נתוני ההשכלה זמינים עבורן ב-2 מחזורי הסקר. ממוצע ה-</w:t>
            </w:r>
            <w:r w:rsidRPr="000F40AF">
              <w:rPr>
                <w:rFonts w:ascii="Calibri" w:eastAsia="Calibri" w:hAnsi="Calibri" w:cs="Calibri"/>
                <w:sz w:val="20"/>
                <w:szCs w:val="20"/>
              </w:rPr>
              <w:t>OECD</w:t>
            </w:r>
            <w:r w:rsidRPr="000F40AF">
              <w:rPr>
                <w:rFonts w:ascii="Calibri" w:eastAsia="Calibri" w:hAnsi="Calibri" w:cs="Calibri"/>
                <w:sz w:val="20"/>
                <w:szCs w:val="20"/>
                <w:rtl/>
              </w:rPr>
              <w:t xml:space="preserve"> חושב על בסיס מדינות אלו.</w:t>
            </w:r>
          </w:p>
          <w:p w:rsidR="000F40AF" w:rsidRPr="000F40AF" w:rsidRDefault="000F40AF" w:rsidP="00760B68">
            <w:pPr>
              <w:spacing w:line="360" w:lineRule="auto"/>
              <w:jc w:val="both"/>
              <w:rPr>
                <w:rFonts w:ascii="Calibri" w:hAnsi="Calibri" w:cs="Calibri"/>
                <w:b/>
                <w:sz w:val="24"/>
                <w:szCs w:val="24"/>
                <w:rtl/>
              </w:rPr>
            </w:pPr>
            <w:r w:rsidRPr="000F40AF">
              <w:rPr>
                <w:rFonts w:ascii="Calibri" w:eastAsia="Calibri" w:hAnsi="Calibri" w:cs="Calibri"/>
                <w:b/>
                <w:bCs/>
                <w:sz w:val="20"/>
                <w:szCs w:val="20"/>
                <w:rtl/>
              </w:rPr>
              <w:t>המקור:</w:t>
            </w:r>
            <w:r w:rsidRPr="000F40AF">
              <w:rPr>
                <w:rFonts w:ascii="Calibri" w:eastAsia="Calibri" w:hAnsi="Calibri" w:cs="Calibri"/>
                <w:sz w:val="20"/>
                <w:szCs w:val="20"/>
              </w:rPr>
              <w:t>PIAAC</w:t>
            </w:r>
            <w:r w:rsidRPr="000F40AF">
              <w:rPr>
                <w:rFonts w:ascii="Calibri" w:eastAsia="Calibri" w:hAnsi="Calibri" w:cs="Calibri"/>
                <w:sz w:val="20"/>
                <w:szCs w:val="20"/>
                <w:rtl/>
              </w:rPr>
              <w:t xml:space="preserve"> ועיבודי בנק ישראל. </w:t>
            </w:r>
          </w:p>
        </w:tc>
      </w:tr>
    </w:tbl>
    <w:p w:rsidR="000F40AF" w:rsidRPr="000F40AF" w:rsidRDefault="000F40AF" w:rsidP="009005BA">
      <w:pPr>
        <w:tabs>
          <w:tab w:val="left" w:pos="2315"/>
        </w:tabs>
        <w:rPr>
          <w:rFonts w:ascii="Calibri" w:hAnsi="Calibri" w:cs="Calibri"/>
          <w:b/>
          <w:bCs/>
          <w:sz w:val="28"/>
          <w:szCs w:val="28"/>
          <w:rtl/>
        </w:rPr>
      </w:pPr>
    </w:p>
    <w:sectPr w:rsidR="000F40AF" w:rsidRPr="000F40AF" w:rsidSect="001D340E">
      <w:footerReference w:type="first" r:id="rId13"/>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B2C" w:rsidRDefault="00CD5B2C" w:rsidP="008755E3">
      <w:pPr>
        <w:spacing w:after="0" w:line="240" w:lineRule="auto"/>
      </w:pPr>
      <w:r>
        <w:separator/>
      </w:r>
    </w:p>
  </w:endnote>
  <w:endnote w:type="continuationSeparator" w:id="0">
    <w:p w:rsidR="00CD5B2C" w:rsidRDefault="00CD5B2C"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36" name="תמונה 3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38"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39"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C6B850"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B2C" w:rsidRDefault="00CD5B2C" w:rsidP="008755E3">
      <w:pPr>
        <w:spacing w:after="0" w:line="240" w:lineRule="auto"/>
      </w:pPr>
      <w:r>
        <w:separator/>
      </w:r>
    </w:p>
  </w:footnote>
  <w:footnote w:type="continuationSeparator" w:id="0">
    <w:p w:rsidR="00CD5B2C" w:rsidRDefault="00CD5B2C"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1"/>
  </w:num>
  <w:num w:numId="7">
    <w:abstractNumId w:val="10"/>
  </w:num>
  <w:num w:numId="8">
    <w:abstractNumId w:val="14"/>
  </w:num>
  <w:num w:numId="9">
    <w:abstractNumId w:val="15"/>
  </w:num>
  <w:num w:numId="10">
    <w:abstractNumId w:val="11"/>
  </w:num>
  <w:num w:numId="11">
    <w:abstractNumId w:val="9"/>
  </w:num>
  <w:num w:numId="12">
    <w:abstractNumId w:val="12"/>
  </w:num>
  <w:num w:numId="13">
    <w:abstractNumId w:val="8"/>
  </w:num>
  <w:num w:numId="14">
    <w:abstractNumId w:val="2"/>
  </w:num>
  <w:num w:numId="15">
    <w:abstractNumId w:val="13"/>
  </w:num>
  <w:num w:numId="16">
    <w:abstractNumId w:val="0"/>
  </w:num>
  <w:num w:numId="1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4D3C"/>
    <w:rsid w:val="0006606D"/>
    <w:rsid w:val="00066BDB"/>
    <w:rsid w:val="00067953"/>
    <w:rsid w:val="000706BA"/>
    <w:rsid w:val="00070B92"/>
    <w:rsid w:val="000718EE"/>
    <w:rsid w:val="00075AC0"/>
    <w:rsid w:val="0007674B"/>
    <w:rsid w:val="0007707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200F"/>
    <w:rsid w:val="00153235"/>
    <w:rsid w:val="001537BC"/>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80BCE"/>
    <w:rsid w:val="004813D2"/>
    <w:rsid w:val="0048245F"/>
    <w:rsid w:val="00482E9C"/>
    <w:rsid w:val="004843DB"/>
    <w:rsid w:val="00490CD9"/>
    <w:rsid w:val="00492C50"/>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E09FF"/>
    <w:rsid w:val="005E0F7E"/>
    <w:rsid w:val="005E11D5"/>
    <w:rsid w:val="005E2116"/>
    <w:rsid w:val="005E344F"/>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F5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nhideWhenUsed/>
    <w:rsid w:val="00EB43F7"/>
    <w:rPr>
      <w:sz w:val="16"/>
      <w:szCs w:val="16"/>
    </w:rPr>
  </w:style>
  <w:style w:type="paragraph" w:styleId="a8">
    <w:name w:val="annotation text"/>
    <w:basedOn w:val="a"/>
    <w:link w:val="a9"/>
    <w:unhideWhenUsed/>
    <w:rsid w:val="00EB43F7"/>
    <w:pPr>
      <w:spacing w:line="240" w:lineRule="auto"/>
    </w:pPr>
    <w:rPr>
      <w:sz w:val="20"/>
      <w:szCs w:val="20"/>
    </w:rPr>
  </w:style>
  <w:style w:type="character" w:customStyle="1" w:styleId="a9">
    <w:name w:val="טקסט הערה תו"/>
    <w:basedOn w:val="a0"/>
    <w:link w:val="a8"/>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iPriority w:val="99"/>
    <w:semiHidden/>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rsid w:val="000F40AF"/>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9.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8.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67E74-87C8-463E-9674-B3543C1F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5091</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2024-12-10T07:48:00Z</dcterms:created>
  <dcterms:modified xsi:type="dcterms:W3CDTF">2024-12-10T07:48:00Z</dcterms:modified>
</cp:coreProperties>
</file>