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3B5D7B" w:rsidRPr="00DB1CBC" w14:paraId="59552F19" w14:textId="77777777" w:rsidTr="000057E8">
        <w:trPr>
          <w:jc w:val="center"/>
        </w:trPr>
        <w:tc>
          <w:tcPr>
            <w:tcW w:w="2840" w:type="dxa"/>
            <w:tcBorders>
              <w:top w:val="nil"/>
              <w:left w:val="nil"/>
              <w:bottom w:val="nil"/>
              <w:right w:val="nil"/>
            </w:tcBorders>
            <w:vAlign w:val="center"/>
          </w:tcPr>
          <w:p w14:paraId="571915E3" w14:textId="77777777" w:rsidR="003B5D7B" w:rsidRPr="00520BB4" w:rsidRDefault="003B5D7B" w:rsidP="000057E8">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14:paraId="786992C8" w14:textId="77777777" w:rsidR="003B5D7B" w:rsidRDefault="003B5D7B" w:rsidP="000057E8">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14:paraId="05310363" w14:textId="77777777" w:rsidR="003B5D7B" w:rsidRDefault="003B5D7B" w:rsidP="000057E8">
            <w:pPr>
              <w:jc w:val="center"/>
            </w:pPr>
            <w:r w:rsidRPr="006858A0">
              <w:rPr>
                <w:noProof/>
              </w:rPr>
              <w:drawing>
                <wp:inline distT="0" distB="0" distL="0" distR="0" wp14:anchorId="146E8860" wp14:editId="6F7292F4">
                  <wp:extent cx="887105" cy="887105"/>
                  <wp:effectExtent l="0" t="0" r="8255" b="8255"/>
                  <wp:docPr id="4" name="תמונה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445BA2D7" w14:textId="77981A30" w:rsidR="003B5D7B" w:rsidRDefault="003B5D7B" w:rsidP="003B5D7B">
            <w:pPr>
              <w:spacing w:line="480" w:lineRule="auto"/>
              <w:jc w:val="right"/>
              <w:rPr>
                <w:rFonts w:cs="David"/>
                <w:sz w:val="24"/>
                <w:szCs w:val="24"/>
              </w:rPr>
            </w:pPr>
            <w:r>
              <w:rPr>
                <w:rFonts w:cs="David" w:hint="eastAsia"/>
                <w:sz w:val="24"/>
                <w:szCs w:val="24"/>
                <w:rtl/>
              </w:rPr>
              <w:t>‏</w:t>
            </w:r>
            <w:r>
              <w:rPr>
                <w:rFonts w:cs="David" w:hint="cs"/>
                <w:sz w:val="24"/>
                <w:szCs w:val="24"/>
                <w:rtl/>
              </w:rPr>
              <w:t>ירושלים, כ"ט בכסלו, תשפ"א</w:t>
            </w:r>
          </w:p>
          <w:p w14:paraId="0A82DC96" w14:textId="1919ECE0" w:rsidR="003B5D7B" w:rsidRPr="00DF107C" w:rsidRDefault="003B5D7B" w:rsidP="003B5D7B">
            <w:pPr>
              <w:spacing w:line="480" w:lineRule="auto"/>
              <w:jc w:val="right"/>
              <w:rPr>
                <w:rFonts w:cs="David"/>
                <w:sz w:val="24"/>
                <w:szCs w:val="24"/>
              </w:rPr>
            </w:pPr>
            <w:r>
              <w:rPr>
                <w:rFonts w:cs="David" w:hint="eastAsia"/>
                <w:sz w:val="24"/>
                <w:szCs w:val="24"/>
                <w:rtl/>
              </w:rPr>
              <w:t>‏‏</w:t>
            </w:r>
            <w:r>
              <w:rPr>
                <w:rFonts w:cs="David" w:hint="cs"/>
                <w:sz w:val="24"/>
                <w:szCs w:val="24"/>
                <w:rtl/>
              </w:rPr>
              <w:t>15  בדצמבר 2020</w:t>
            </w:r>
          </w:p>
        </w:tc>
      </w:tr>
    </w:tbl>
    <w:p w14:paraId="33FCAC4C" w14:textId="77777777" w:rsidR="003B5D7B" w:rsidRDefault="003B5D7B" w:rsidP="003B5D7B">
      <w:pPr>
        <w:spacing w:line="360" w:lineRule="auto"/>
        <w:ind w:left="-942" w:right="-101"/>
        <w:rPr>
          <w:rFonts w:cs="David"/>
          <w:sz w:val="24"/>
          <w:szCs w:val="24"/>
          <w:rtl/>
        </w:rPr>
      </w:pPr>
    </w:p>
    <w:p w14:paraId="7F6AADC2" w14:textId="77777777" w:rsidR="003B5D7B" w:rsidRDefault="003B5D7B" w:rsidP="003B5D7B">
      <w:pPr>
        <w:spacing w:line="360" w:lineRule="auto"/>
        <w:ind w:left="-942" w:right="-101"/>
        <w:rPr>
          <w:rFonts w:cs="David"/>
          <w:sz w:val="24"/>
          <w:szCs w:val="24"/>
          <w:rtl/>
        </w:rPr>
      </w:pPr>
    </w:p>
    <w:p w14:paraId="3A98D6A0" w14:textId="77777777" w:rsidR="003B5D7B" w:rsidRDefault="003B5D7B" w:rsidP="003B5D7B">
      <w:pPr>
        <w:spacing w:line="360" w:lineRule="auto"/>
        <w:ind w:right="-101"/>
        <w:rPr>
          <w:rFonts w:cs="David"/>
          <w:sz w:val="24"/>
          <w:szCs w:val="24"/>
          <w:rtl/>
        </w:rPr>
      </w:pPr>
      <w:r w:rsidRPr="007E18EE">
        <w:rPr>
          <w:rFonts w:cs="David" w:hint="cs"/>
          <w:sz w:val="24"/>
          <w:szCs w:val="24"/>
          <w:rtl/>
        </w:rPr>
        <w:t>הודעה לעיתונות:</w:t>
      </w:r>
    </w:p>
    <w:p w14:paraId="7EC8B0A6" w14:textId="77777777" w:rsidR="003B5D7B" w:rsidRDefault="003B5D7B" w:rsidP="003B5D7B">
      <w:pPr>
        <w:spacing w:line="360" w:lineRule="auto"/>
        <w:jc w:val="center"/>
        <w:rPr>
          <w:rFonts w:ascii="David" w:hAnsi="David" w:cs="David"/>
          <w:b/>
          <w:bCs/>
          <w:sz w:val="28"/>
          <w:szCs w:val="28"/>
          <w:rtl/>
        </w:rPr>
      </w:pPr>
      <w:r>
        <w:rPr>
          <w:rFonts w:ascii="David" w:hAnsi="David" w:cs="David"/>
          <w:b/>
          <w:bCs/>
          <w:sz w:val="28"/>
          <w:szCs w:val="28"/>
          <w:rtl/>
        </w:rPr>
        <w:t>הרצאת</w:t>
      </w:r>
      <w:r>
        <w:rPr>
          <w:rFonts w:ascii="David" w:hAnsi="David" w:cs="David" w:hint="cs"/>
          <w:b/>
          <w:bCs/>
          <w:sz w:val="28"/>
          <w:szCs w:val="28"/>
          <w:rtl/>
        </w:rPr>
        <w:t xml:space="preserve">ו של פרופ' מישל סטרבצ'ינסקי, מנהל חטיבת המחקר, </w:t>
      </w:r>
    </w:p>
    <w:p w14:paraId="618C1BF3" w14:textId="14AE5391" w:rsidR="003B5D7B" w:rsidRDefault="003B5D7B" w:rsidP="003B5D7B">
      <w:pPr>
        <w:spacing w:line="360" w:lineRule="auto"/>
        <w:jc w:val="center"/>
        <w:rPr>
          <w:rFonts w:ascii="David" w:hAnsi="David" w:cs="David"/>
          <w:sz w:val="24"/>
          <w:szCs w:val="24"/>
          <w:rtl/>
        </w:rPr>
      </w:pPr>
      <w:r w:rsidRPr="00F321C8">
        <w:rPr>
          <w:rFonts w:ascii="David" w:hAnsi="David" w:cs="David"/>
          <w:b/>
          <w:bCs/>
          <w:sz w:val="28"/>
          <w:szCs w:val="28"/>
          <w:rtl/>
        </w:rPr>
        <w:t xml:space="preserve"> בכנס אלי הורביץ 20</w:t>
      </w:r>
      <w:r w:rsidRPr="00F321C8">
        <w:rPr>
          <w:rFonts w:ascii="David" w:hAnsi="David" w:cs="David" w:hint="cs"/>
          <w:b/>
          <w:bCs/>
          <w:sz w:val="28"/>
          <w:szCs w:val="28"/>
          <w:rtl/>
        </w:rPr>
        <w:t>20</w:t>
      </w:r>
    </w:p>
    <w:p w14:paraId="53045233" w14:textId="742DBB60" w:rsidR="001F2023" w:rsidRPr="007D2631" w:rsidRDefault="001F2023" w:rsidP="003B5D7B">
      <w:pPr>
        <w:spacing w:line="360" w:lineRule="auto"/>
        <w:jc w:val="both"/>
        <w:rPr>
          <w:rFonts w:ascii="David" w:hAnsi="David" w:cs="David"/>
          <w:sz w:val="24"/>
          <w:szCs w:val="24"/>
          <w:rtl/>
        </w:rPr>
      </w:pPr>
      <w:r w:rsidRPr="007D2631">
        <w:rPr>
          <w:rFonts w:ascii="David" w:hAnsi="David" w:cs="David"/>
          <w:sz w:val="24"/>
          <w:szCs w:val="24"/>
          <w:rtl/>
        </w:rPr>
        <w:t xml:space="preserve">להלן דבריו במסגרת </w:t>
      </w:r>
      <w:r w:rsidR="0067787F">
        <w:rPr>
          <w:rFonts w:ascii="David" w:hAnsi="David" w:cs="David" w:hint="cs"/>
          <w:sz w:val="24"/>
          <w:szCs w:val="24"/>
          <w:rtl/>
        </w:rPr>
        <w:t>המושב של שוק העבודה ב</w:t>
      </w:r>
      <w:r w:rsidRPr="007D2631">
        <w:rPr>
          <w:rFonts w:ascii="David" w:hAnsi="David" w:cs="David"/>
          <w:sz w:val="24"/>
          <w:szCs w:val="24"/>
          <w:rtl/>
        </w:rPr>
        <w:t>כנס אלי הורוביץ של המכון הישראלי לדמוקרטיה:</w:t>
      </w:r>
    </w:p>
    <w:p w14:paraId="0AF81B43" w14:textId="74582201" w:rsidR="001F2023" w:rsidRPr="007D2631" w:rsidRDefault="001F2023" w:rsidP="007D2631">
      <w:pPr>
        <w:pStyle w:val="a3"/>
        <w:numPr>
          <w:ilvl w:val="0"/>
          <w:numId w:val="1"/>
        </w:numPr>
        <w:spacing w:line="360" w:lineRule="auto"/>
        <w:jc w:val="both"/>
        <w:rPr>
          <w:rFonts w:ascii="David" w:hAnsi="David" w:cs="David"/>
          <w:b/>
          <w:bCs/>
          <w:sz w:val="24"/>
          <w:szCs w:val="24"/>
        </w:rPr>
      </w:pPr>
      <w:r w:rsidRPr="007D2631">
        <w:rPr>
          <w:rFonts w:ascii="David" w:hAnsi="David" w:cs="David"/>
          <w:b/>
          <w:bCs/>
          <w:sz w:val="24"/>
          <w:szCs w:val="24"/>
          <w:rtl/>
        </w:rPr>
        <w:t>הסגר שנכפה על המשק בעק</w:t>
      </w:r>
      <w:r w:rsidR="0067787F">
        <w:rPr>
          <w:rFonts w:ascii="David" w:hAnsi="David" w:cs="David" w:hint="cs"/>
          <w:b/>
          <w:bCs/>
          <w:sz w:val="24"/>
          <w:szCs w:val="24"/>
          <w:rtl/>
        </w:rPr>
        <w:t>ב</w:t>
      </w:r>
      <w:r w:rsidRPr="007D2631">
        <w:rPr>
          <w:rFonts w:ascii="David" w:hAnsi="David" w:cs="David"/>
          <w:b/>
          <w:bCs/>
          <w:sz w:val="24"/>
          <w:szCs w:val="24"/>
          <w:rtl/>
        </w:rPr>
        <w:t xml:space="preserve">ות </w:t>
      </w:r>
      <w:r w:rsidR="0067787F">
        <w:rPr>
          <w:rFonts w:ascii="David" w:hAnsi="David" w:cs="David" w:hint="cs"/>
          <w:b/>
          <w:bCs/>
          <w:sz w:val="24"/>
          <w:szCs w:val="24"/>
          <w:rtl/>
        </w:rPr>
        <w:t>ה</w:t>
      </w:r>
      <w:r w:rsidRPr="007D2631">
        <w:rPr>
          <w:rFonts w:ascii="David" w:hAnsi="David" w:cs="David"/>
          <w:b/>
          <w:bCs/>
          <w:sz w:val="24"/>
          <w:szCs w:val="24"/>
          <w:rtl/>
        </w:rPr>
        <w:t>גל השני הביא לעלייה באבטלה הרחבה; מאז שהותרה פתיחה חלקית של חלק מהענפים ניכרת ירידה בנעדרים זמנית</w:t>
      </w:r>
      <w:r w:rsidR="0067787F">
        <w:rPr>
          <w:rFonts w:ascii="David" w:hAnsi="David" w:cs="David" w:hint="cs"/>
          <w:b/>
          <w:bCs/>
          <w:sz w:val="24"/>
          <w:szCs w:val="24"/>
          <w:rtl/>
        </w:rPr>
        <w:t xml:space="preserve"> (חל"ת)</w:t>
      </w:r>
      <w:r w:rsidRPr="007D2631">
        <w:rPr>
          <w:rFonts w:ascii="David" w:hAnsi="David" w:cs="David"/>
          <w:b/>
          <w:bCs/>
          <w:sz w:val="24"/>
          <w:szCs w:val="24"/>
          <w:rtl/>
        </w:rPr>
        <w:t>.</w:t>
      </w:r>
    </w:p>
    <w:p w14:paraId="390D69A7" w14:textId="741D86B5" w:rsidR="001F2023" w:rsidRPr="007D2631" w:rsidRDefault="001F2023" w:rsidP="007D2631">
      <w:pPr>
        <w:pStyle w:val="a3"/>
        <w:numPr>
          <w:ilvl w:val="0"/>
          <w:numId w:val="1"/>
        </w:numPr>
        <w:spacing w:line="360" w:lineRule="auto"/>
        <w:jc w:val="both"/>
        <w:rPr>
          <w:rFonts w:ascii="David" w:hAnsi="David" w:cs="David"/>
          <w:b/>
          <w:bCs/>
          <w:sz w:val="24"/>
          <w:szCs w:val="24"/>
        </w:rPr>
      </w:pPr>
      <w:r w:rsidRPr="007D2631">
        <w:rPr>
          <w:rFonts w:ascii="David" w:hAnsi="David" w:cs="David"/>
          <w:b/>
          <w:bCs/>
          <w:sz w:val="24"/>
          <w:szCs w:val="24"/>
          <w:rtl/>
        </w:rPr>
        <w:t>ניתוח של הסגרים לאורך זמן מראה כי כול פעם שהוטל סגר נרשמה קפיצה בנעדרים זמנית, תוך ירידה בהם עם פתיחת המשק מחדש. לעומת זאת, בבלתי מועסקים ובלא משתתפים כתוצאה ממשבר הקורונה</w:t>
      </w:r>
      <w:r w:rsidR="0067787F">
        <w:rPr>
          <w:rFonts w:ascii="David" w:hAnsi="David" w:cs="David" w:hint="cs"/>
          <w:b/>
          <w:bCs/>
          <w:sz w:val="24"/>
          <w:szCs w:val="24"/>
          <w:rtl/>
        </w:rPr>
        <w:t>,</w:t>
      </w:r>
      <w:r w:rsidRPr="007D2631">
        <w:rPr>
          <w:rFonts w:ascii="David" w:hAnsi="David" w:cs="David"/>
          <w:b/>
          <w:bCs/>
          <w:sz w:val="24"/>
          <w:szCs w:val="24"/>
          <w:rtl/>
        </w:rPr>
        <w:t xml:space="preserve"> נרשמה עלייה לאורך זמן.</w:t>
      </w:r>
    </w:p>
    <w:p w14:paraId="3FB1E5AD" w14:textId="7DC7A0CE" w:rsidR="001F2023" w:rsidRPr="007D2631" w:rsidRDefault="001F2023" w:rsidP="007D2631">
      <w:pPr>
        <w:pStyle w:val="a3"/>
        <w:numPr>
          <w:ilvl w:val="0"/>
          <w:numId w:val="1"/>
        </w:numPr>
        <w:spacing w:line="360" w:lineRule="auto"/>
        <w:jc w:val="both"/>
        <w:rPr>
          <w:rFonts w:ascii="David" w:hAnsi="David" w:cs="David"/>
          <w:b/>
          <w:bCs/>
          <w:sz w:val="24"/>
          <w:szCs w:val="24"/>
          <w:rtl/>
        </w:rPr>
      </w:pPr>
      <w:r w:rsidRPr="007D2631">
        <w:rPr>
          <w:rFonts w:ascii="David" w:hAnsi="David" w:cs="David"/>
          <w:b/>
          <w:bCs/>
          <w:sz w:val="24"/>
          <w:szCs w:val="24"/>
          <w:rtl/>
        </w:rPr>
        <w:t xml:space="preserve">הרכב </w:t>
      </w:r>
      <w:r w:rsidR="0067787F">
        <w:rPr>
          <w:rFonts w:ascii="David" w:hAnsi="David" w:cs="David" w:hint="cs"/>
          <w:b/>
          <w:bCs/>
          <w:sz w:val="24"/>
          <w:szCs w:val="24"/>
          <w:rtl/>
        </w:rPr>
        <w:t>האבטלה הרחבה</w:t>
      </w:r>
      <w:r w:rsidRPr="007D2631">
        <w:rPr>
          <w:rFonts w:ascii="David" w:hAnsi="David" w:cs="David"/>
          <w:b/>
          <w:bCs/>
          <w:sz w:val="24"/>
          <w:szCs w:val="24"/>
          <w:rtl/>
        </w:rPr>
        <w:t xml:space="preserve"> לפי </w:t>
      </w:r>
      <w:proofErr w:type="spellStart"/>
      <w:r w:rsidRPr="007D2631">
        <w:rPr>
          <w:rFonts w:ascii="David" w:hAnsi="David" w:cs="David"/>
          <w:b/>
          <w:bCs/>
          <w:sz w:val="24"/>
          <w:szCs w:val="24"/>
          <w:rtl/>
        </w:rPr>
        <w:t>חמישונים</w:t>
      </w:r>
      <w:proofErr w:type="spellEnd"/>
      <w:r w:rsidRPr="007D2631">
        <w:rPr>
          <w:rFonts w:ascii="David" w:hAnsi="David" w:cs="David"/>
          <w:b/>
          <w:bCs/>
          <w:sz w:val="24"/>
          <w:szCs w:val="24"/>
          <w:rtl/>
        </w:rPr>
        <w:t xml:space="preserve"> מראה כי </w:t>
      </w:r>
      <w:r w:rsidR="0067787F">
        <w:rPr>
          <w:rFonts w:ascii="David" w:hAnsi="David" w:cs="David" w:hint="cs"/>
          <w:b/>
          <w:bCs/>
          <w:sz w:val="24"/>
          <w:szCs w:val="24"/>
          <w:rtl/>
        </w:rPr>
        <w:t>בקרב ה</w:t>
      </w:r>
      <w:r w:rsidRPr="007D2631">
        <w:rPr>
          <w:rFonts w:ascii="David" w:hAnsi="David" w:cs="David"/>
          <w:b/>
          <w:bCs/>
          <w:sz w:val="24"/>
          <w:szCs w:val="24"/>
          <w:rtl/>
        </w:rPr>
        <w:t>בלתי מועסקים וב</w:t>
      </w:r>
      <w:r w:rsidR="0067787F">
        <w:rPr>
          <w:rFonts w:ascii="David" w:hAnsi="David" w:cs="David" w:hint="cs"/>
          <w:b/>
          <w:bCs/>
          <w:sz w:val="24"/>
          <w:szCs w:val="24"/>
          <w:rtl/>
        </w:rPr>
        <w:t>קרב ה</w:t>
      </w:r>
      <w:r w:rsidRPr="007D2631">
        <w:rPr>
          <w:rFonts w:ascii="David" w:hAnsi="David" w:cs="David"/>
          <w:b/>
          <w:bCs/>
          <w:sz w:val="24"/>
          <w:szCs w:val="24"/>
          <w:rtl/>
        </w:rPr>
        <w:t xml:space="preserve">לא משתתפים </w:t>
      </w:r>
      <w:r w:rsidR="0067787F">
        <w:rPr>
          <w:rFonts w:ascii="David" w:hAnsi="David" w:cs="David" w:hint="cs"/>
          <w:b/>
          <w:bCs/>
          <w:sz w:val="24"/>
          <w:szCs w:val="24"/>
          <w:rtl/>
        </w:rPr>
        <w:t xml:space="preserve">כתוצאה מהקורונה, </w:t>
      </w:r>
      <w:r w:rsidRPr="007D2631">
        <w:rPr>
          <w:rFonts w:ascii="David" w:hAnsi="David" w:cs="David"/>
          <w:b/>
          <w:bCs/>
          <w:sz w:val="24"/>
          <w:szCs w:val="24"/>
          <w:rtl/>
        </w:rPr>
        <w:t>עיקר הפגיעה נרשמה בבעלי ההכנסה הנמוכה</w:t>
      </w:r>
      <w:r w:rsidR="0067787F">
        <w:rPr>
          <w:rFonts w:ascii="David" w:hAnsi="David" w:cs="David" w:hint="cs"/>
          <w:b/>
          <w:bCs/>
          <w:sz w:val="24"/>
          <w:szCs w:val="24"/>
          <w:rtl/>
        </w:rPr>
        <w:t>; לעומת זאת, הנעדרים זמנית (חל"ת) הם בעיקר בעלי הכנסה גבוהה.</w:t>
      </w:r>
    </w:p>
    <w:p w14:paraId="6D986A05" w14:textId="59EEAD36" w:rsidR="001F2023" w:rsidRPr="007D2631" w:rsidRDefault="001F2023" w:rsidP="007D2631">
      <w:pPr>
        <w:spacing w:line="360" w:lineRule="auto"/>
        <w:jc w:val="both"/>
        <w:rPr>
          <w:rFonts w:ascii="David" w:hAnsi="David" w:cs="David"/>
          <w:sz w:val="24"/>
          <w:szCs w:val="24"/>
          <w:rtl/>
        </w:rPr>
      </w:pPr>
      <w:r w:rsidRPr="007D2631">
        <w:rPr>
          <w:rFonts w:ascii="David" w:hAnsi="David" w:cs="David"/>
          <w:sz w:val="24"/>
          <w:szCs w:val="24"/>
          <w:rtl/>
        </w:rPr>
        <w:t xml:space="preserve">מניתוח על שוק העבודה שהראה פרופ' מישל סטרבצ'ינסקי במסגרת הכנס אלי הורוביץ עולה כי התנודות בשיעור האבטלה הרחבה עולות בקנה אחד עם הסגרים שהוטלו על ידי הממשלה כדי להתמודד עם התחלואה וההדבקה בעקבות הפשטות נגיף הקורונה. בעוד שבסגר הראשון </w:t>
      </w:r>
      <w:r w:rsidR="0067787F">
        <w:rPr>
          <w:rFonts w:ascii="David" w:hAnsi="David" w:cs="David" w:hint="cs"/>
          <w:sz w:val="24"/>
          <w:szCs w:val="24"/>
          <w:rtl/>
        </w:rPr>
        <w:t xml:space="preserve">בחודש אפריל </w:t>
      </w:r>
      <w:r w:rsidRPr="007D2631">
        <w:rPr>
          <w:rFonts w:ascii="David" w:hAnsi="David" w:cs="David"/>
          <w:sz w:val="24"/>
          <w:szCs w:val="24"/>
          <w:rtl/>
        </w:rPr>
        <w:t>שיעור ה</w:t>
      </w:r>
      <w:bookmarkStart w:id="0" w:name="_GoBack"/>
      <w:bookmarkEnd w:id="0"/>
      <w:r w:rsidRPr="007D2631">
        <w:rPr>
          <w:rFonts w:ascii="David" w:hAnsi="David" w:cs="David"/>
          <w:sz w:val="24"/>
          <w:szCs w:val="24"/>
          <w:rtl/>
        </w:rPr>
        <w:t xml:space="preserve">אבטלה הרחבה הגיע לכ-35 אחוזים מכוח העבודה, </w:t>
      </w:r>
      <w:r w:rsidR="00C26CF2" w:rsidRPr="007D2631">
        <w:rPr>
          <w:rFonts w:ascii="David" w:hAnsi="David" w:cs="David"/>
          <w:sz w:val="24"/>
          <w:szCs w:val="24"/>
          <w:rtl/>
        </w:rPr>
        <w:t>בסגר השני שיעור האבטלה הרחבה הגיע בשיא</w:t>
      </w:r>
      <w:r w:rsidR="0067787F">
        <w:rPr>
          <w:rFonts w:ascii="David" w:hAnsi="David" w:cs="David" w:hint="cs"/>
          <w:sz w:val="24"/>
          <w:szCs w:val="24"/>
          <w:rtl/>
        </w:rPr>
        <w:t>ו</w:t>
      </w:r>
      <w:r w:rsidR="00C26CF2" w:rsidRPr="007D2631">
        <w:rPr>
          <w:rFonts w:ascii="David" w:hAnsi="David" w:cs="David"/>
          <w:sz w:val="24"/>
          <w:szCs w:val="24"/>
          <w:rtl/>
        </w:rPr>
        <w:t xml:space="preserve"> לכ-23 אחוזים, ומאז הפתיחה הוא ירד ל-</w:t>
      </w:r>
      <w:r w:rsidR="0067787F">
        <w:rPr>
          <w:rFonts w:ascii="David" w:hAnsi="David" w:cs="David" w:hint="cs"/>
          <w:sz w:val="24"/>
          <w:szCs w:val="24"/>
          <w:rtl/>
        </w:rPr>
        <w:t>15</w:t>
      </w:r>
      <w:r w:rsidR="00C26CF2" w:rsidRPr="007D2631">
        <w:rPr>
          <w:rFonts w:ascii="David" w:hAnsi="David" w:cs="David"/>
          <w:sz w:val="24"/>
          <w:szCs w:val="24"/>
          <w:rtl/>
        </w:rPr>
        <w:t xml:space="preserve"> אחוזים (נתונים מעודכנים עד חודש </w:t>
      </w:r>
      <w:r w:rsidR="0067787F">
        <w:rPr>
          <w:rFonts w:ascii="David" w:hAnsi="David" w:cs="David" w:hint="cs"/>
          <w:sz w:val="24"/>
          <w:szCs w:val="24"/>
          <w:rtl/>
        </w:rPr>
        <w:t>אמצע נובמבר</w:t>
      </w:r>
      <w:r w:rsidR="00C26CF2" w:rsidRPr="007D2631">
        <w:rPr>
          <w:rFonts w:ascii="David" w:hAnsi="David" w:cs="David"/>
          <w:sz w:val="24"/>
          <w:szCs w:val="24"/>
          <w:rtl/>
        </w:rPr>
        <w:t>).</w:t>
      </w:r>
      <w:r w:rsidRPr="007D2631">
        <w:rPr>
          <w:rFonts w:ascii="David" w:hAnsi="David" w:cs="David"/>
          <w:sz w:val="24"/>
          <w:szCs w:val="24"/>
          <w:rtl/>
        </w:rPr>
        <w:t xml:space="preserve">  </w:t>
      </w:r>
    </w:p>
    <w:p w14:paraId="218DD62C" w14:textId="5CD54510" w:rsidR="001F2023" w:rsidRPr="007D2631" w:rsidRDefault="00C26CF2" w:rsidP="007D2631">
      <w:pPr>
        <w:spacing w:line="360" w:lineRule="auto"/>
        <w:jc w:val="both"/>
        <w:rPr>
          <w:rFonts w:ascii="David" w:hAnsi="David" w:cs="David"/>
          <w:sz w:val="24"/>
          <w:szCs w:val="24"/>
          <w:rtl/>
        </w:rPr>
      </w:pPr>
      <w:r w:rsidRPr="007D2631">
        <w:rPr>
          <w:rFonts w:ascii="David" w:hAnsi="David" w:cs="David"/>
          <w:sz w:val="24"/>
          <w:szCs w:val="24"/>
          <w:rtl/>
        </w:rPr>
        <w:t>בהסתכלות על הרכב האבטלה הרחבה בולט כי הנעדרים זמנית מ</w:t>
      </w:r>
      <w:r w:rsidR="007D2631">
        <w:rPr>
          <w:rFonts w:ascii="David" w:hAnsi="David" w:cs="David"/>
          <w:sz w:val="24"/>
          <w:szCs w:val="24"/>
          <w:rtl/>
        </w:rPr>
        <w:t>גיבים בקשר ישיר לסגרים, בעוד שב</w:t>
      </w:r>
      <w:r w:rsidRPr="007D2631">
        <w:rPr>
          <w:rFonts w:ascii="David" w:hAnsi="David" w:cs="David"/>
          <w:sz w:val="24"/>
          <w:szCs w:val="24"/>
          <w:rtl/>
        </w:rPr>
        <w:t>ש</w:t>
      </w:r>
      <w:r w:rsidR="007D2631">
        <w:rPr>
          <w:rFonts w:ascii="David" w:hAnsi="David" w:cs="David" w:hint="cs"/>
          <w:sz w:val="24"/>
          <w:szCs w:val="24"/>
          <w:rtl/>
        </w:rPr>
        <w:t>ת</w:t>
      </w:r>
      <w:r w:rsidR="007D2631">
        <w:rPr>
          <w:rFonts w:ascii="David" w:hAnsi="David" w:cs="David"/>
          <w:sz w:val="24"/>
          <w:szCs w:val="24"/>
          <w:rtl/>
        </w:rPr>
        <w:t>י הקבוצות הנוספות ניכ</w:t>
      </w:r>
      <w:r w:rsidR="007D2631">
        <w:rPr>
          <w:rFonts w:ascii="David" w:hAnsi="David" w:cs="David" w:hint="cs"/>
          <w:sz w:val="24"/>
          <w:szCs w:val="24"/>
          <w:rtl/>
        </w:rPr>
        <w:t>ר</w:t>
      </w:r>
      <w:r w:rsidRPr="007D2631">
        <w:rPr>
          <w:rFonts w:ascii="David" w:hAnsi="David" w:cs="David"/>
          <w:sz w:val="24"/>
          <w:szCs w:val="24"/>
          <w:rtl/>
        </w:rPr>
        <w:t>ת מגמת עלייה יחסית לתקופה שלפני הקורונה. כך מתקבל שבקרב הלא משתתפים אשר שיעורם היה אפסי בסגר הראשון, בסגר השני שיעורם הגיע ל</w:t>
      </w:r>
      <w:r w:rsidR="0067787F">
        <w:rPr>
          <w:rFonts w:ascii="David" w:hAnsi="David" w:cs="David" w:hint="cs"/>
          <w:sz w:val="24"/>
          <w:szCs w:val="24"/>
          <w:rtl/>
        </w:rPr>
        <w:t>כ</w:t>
      </w:r>
      <w:r w:rsidRPr="007D2631">
        <w:rPr>
          <w:rFonts w:ascii="David" w:hAnsi="David" w:cs="David"/>
          <w:sz w:val="24"/>
          <w:szCs w:val="24"/>
          <w:rtl/>
        </w:rPr>
        <w:t>-2.</w:t>
      </w:r>
      <w:r w:rsidR="0067787F">
        <w:rPr>
          <w:rFonts w:ascii="David" w:hAnsi="David" w:cs="David" w:hint="cs"/>
          <w:sz w:val="24"/>
          <w:szCs w:val="24"/>
          <w:rtl/>
        </w:rPr>
        <w:t>5</w:t>
      </w:r>
      <w:r w:rsidRPr="007D2631">
        <w:rPr>
          <w:rFonts w:ascii="David" w:hAnsi="David" w:cs="David"/>
          <w:sz w:val="24"/>
          <w:szCs w:val="24"/>
          <w:rtl/>
        </w:rPr>
        <w:t xml:space="preserve"> אחוזים מכוח העבודה. לגבי הבלתי מועסקים, שיעורם עלה מכ-3 אחוזים בתקופה לפני הקורונה לכ-5 אחוזים ב</w:t>
      </w:r>
      <w:r w:rsidR="0067787F">
        <w:rPr>
          <w:rFonts w:ascii="David" w:hAnsi="David" w:cs="David" w:hint="cs"/>
          <w:sz w:val="24"/>
          <w:szCs w:val="24"/>
          <w:rtl/>
        </w:rPr>
        <w:t>נובמבר</w:t>
      </w:r>
      <w:r w:rsidRPr="007D2631">
        <w:rPr>
          <w:rFonts w:ascii="David" w:hAnsi="David" w:cs="David"/>
          <w:sz w:val="24"/>
          <w:szCs w:val="24"/>
          <w:rtl/>
        </w:rPr>
        <w:t xml:space="preserve"> – תוך עלייה לאורך זמן אשר התחדשה בעקבות הטלת הסגר השני (תרשים 1).</w:t>
      </w:r>
    </w:p>
    <w:p w14:paraId="3908D505" w14:textId="3E8732FF" w:rsidR="001869DB" w:rsidRPr="007D2631" w:rsidRDefault="007D2631" w:rsidP="007D2631">
      <w:pPr>
        <w:spacing w:line="360" w:lineRule="auto"/>
        <w:ind w:left="-341"/>
        <w:rPr>
          <w:rFonts w:ascii="David" w:hAnsi="David" w:cs="David"/>
          <w:sz w:val="24"/>
          <w:szCs w:val="24"/>
          <w:rtl/>
        </w:rPr>
      </w:pPr>
      <w:r>
        <w:rPr>
          <w:rFonts w:ascii="David" w:hAnsi="David" w:cs="David"/>
          <w:noProof/>
          <w:sz w:val="24"/>
          <w:szCs w:val="24"/>
        </w:rPr>
        <w:lastRenderedPageBreak/>
        <w:drawing>
          <wp:inline distT="0" distB="0" distL="0" distR="0" wp14:anchorId="0B4AB6B1" wp14:editId="0D2F96A9">
            <wp:extent cx="6085118" cy="3200400"/>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3869" cy="3205002"/>
                    </a:xfrm>
                    <a:prstGeom prst="rect">
                      <a:avLst/>
                    </a:prstGeom>
                    <a:noFill/>
                  </pic:spPr>
                </pic:pic>
              </a:graphicData>
            </a:graphic>
          </wp:inline>
        </w:drawing>
      </w:r>
    </w:p>
    <w:p w14:paraId="075054BE" w14:textId="57E584D6" w:rsidR="001F2023" w:rsidRPr="007D2631" w:rsidRDefault="00C26CF2" w:rsidP="007D2631">
      <w:pPr>
        <w:spacing w:line="360" w:lineRule="auto"/>
        <w:jc w:val="both"/>
        <w:rPr>
          <w:rFonts w:ascii="David" w:hAnsi="David" w:cs="David"/>
          <w:sz w:val="24"/>
          <w:szCs w:val="24"/>
          <w:rtl/>
        </w:rPr>
      </w:pPr>
      <w:r w:rsidRPr="007D2631">
        <w:rPr>
          <w:rFonts w:ascii="David" w:hAnsi="David" w:cs="David"/>
          <w:sz w:val="24"/>
          <w:szCs w:val="24"/>
          <w:rtl/>
        </w:rPr>
        <w:t xml:space="preserve">ניתוח </w:t>
      </w:r>
      <w:r w:rsidR="002E2AD8" w:rsidRPr="007D2631">
        <w:rPr>
          <w:rFonts w:ascii="David" w:hAnsi="David" w:cs="David"/>
          <w:sz w:val="24"/>
          <w:szCs w:val="24"/>
          <w:rtl/>
        </w:rPr>
        <w:t xml:space="preserve">של הרכב המובטלים לפי </w:t>
      </w:r>
      <w:proofErr w:type="spellStart"/>
      <w:r w:rsidR="002E2AD8" w:rsidRPr="007D2631">
        <w:rPr>
          <w:rFonts w:ascii="David" w:hAnsi="David" w:cs="David"/>
          <w:sz w:val="24"/>
          <w:szCs w:val="24"/>
          <w:rtl/>
        </w:rPr>
        <w:t>חמישונים</w:t>
      </w:r>
      <w:proofErr w:type="spellEnd"/>
      <w:r w:rsidR="002E2AD8" w:rsidRPr="007D2631">
        <w:rPr>
          <w:rFonts w:ascii="David" w:hAnsi="David" w:cs="David"/>
          <w:sz w:val="24"/>
          <w:szCs w:val="24"/>
          <w:rtl/>
        </w:rPr>
        <w:t xml:space="preserve"> (תרשים 2) מגלה כי עיקר הפגיע</w:t>
      </w:r>
      <w:r w:rsidR="00C3451C">
        <w:rPr>
          <w:rFonts w:ascii="David" w:hAnsi="David" w:cs="David" w:hint="cs"/>
          <w:sz w:val="24"/>
          <w:szCs w:val="24"/>
          <w:rtl/>
        </w:rPr>
        <w:t>ה</w:t>
      </w:r>
      <w:r w:rsidR="002E2AD8" w:rsidRPr="007D2631">
        <w:rPr>
          <w:rFonts w:ascii="David" w:hAnsi="David" w:cs="David"/>
          <w:sz w:val="24"/>
          <w:szCs w:val="24"/>
          <w:rtl/>
        </w:rPr>
        <w:t xml:space="preserve"> בקרב הבלתי מועסקים ובקרב הלא משתתפים התרחשה בבעלי ההכנסה הנמוכה, אשר חלקם בקבוצות אלה גבוה מחלקם באוכלוסייה. כך התקבל בי בקרב הבלתי מועסקים 27.4 ו-29 אחוזים שייכים </w:t>
      </w:r>
      <w:proofErr w:type="spellStart"/>
      <w:r w:rsidR="002E2AD8" w:rsidRPr="007D2631">
        <w:rPr>
          <w:rFonts w:ascii="David" w:hAnsi="David" w:cs="David"/>
          <w:sz w:val="24"/>
          <w:szCs w:val="24"/>
          <w:rtl/>
        </w:rPr>
        <w:t>ל</w:t>
      </w:r>
      <w:r w:rsidR="0067787F">
        <w:rPr>
          <w:rFonts w:ascii="David" w:hAnsi="David" w:cs="David" w:hint="cs"/>
          <w:sz w:val="24"/>
          <w:szCs w:val="24"/>
          <w:rtl/>
        </w:rPr>
        <w:t>חמיש</w:t>
      </w:r>
      <w:r w:rsidR="002E2AD8" w:rsidRPr="007D2631">
        <w:rPr>
          <w:rFonts w:ascii="David" w:hAnsi="David" w:cs="David"/>
          <w:sz w:val="24"/>
          <w:szCs w:val="24"/>
          <w:rtl/>
        </w:rPr>
        <w:t>ון</w:t>
      </w:r>
      <w:proofErr w:type="spellEnd"/>
      <w:r w:rsidR="002E2AD8" w:rsidRPr="007D2631">
        <w:rPr>
          <w:rFonts w:ascii="David" w:hAnsi="David" w:cs="David"/>
          <w:sz w:val="24"/>
          <w:szCs w:val="24"/>
          <w:rtl/>
        </w:rPr>
        <w:t xml:space="preserve"> </w:t>
      </w:r>
      <w:r w:rsidR="00BC66DD" w:rsidRPr="007D2631">
        <w:rPr>
          <w:rFonts w:ascii="David" w:hAnsi="David" w:cs="David"/>
          <w:sz w:val="24"/>
          <w:szCs w:val="24"/>
          <w:rtl/>
        </w:rPr>
        <w:t>הראשון והשלישי (בהשוואה ל-20 אחוזים בהתאמה</w:t>
      </w:r>
      <w:r w:rsidR="0067787F">
        <w:rPr>
          <w:rFonts w:ascii="David" w:hAnsi="David" w:cs="David" w:hint="cs"/>
          <w:sz w:val="24"/>
          <w:szCs w:val="24"/>
          <w:rtl/>
        </w:rPr>
        <w:t>,</w:t>
      </w:r>
      <w:r w:rsidR="00BC66DD" w:rsidRPr="007D2631">
        <w:rPr>
          <w:rFonts w:ascii="David" w:hAnsi="David" w:cs="David"/>
          <w:sz w:val="24"/>
          <w:szCs w:val="24"/>
          <w:rtl/>
        </w:rPr>
        <w:t xml:space="preserve"> המשקף את חלקם באוכלוסייה) ובקרב הלא משתתפים האחוזים המקבילים הם 22 ו-38 אחוזים בהתאמה</w:t>
      </w:r>
      <w:r w:rsidR="0042160E">
        <w:rPr>
          <w:rFonts w:ascii="David" w:hAnsi="David" w:cs="David"/>
          <w:sz w:val="24"/>
          <w:szCs w:val="24"/>
          <w:rtl/>
        </w:rPr>
        <w:t>. לעומת זאת,</w:t>
      </w:r>
      <w:r w:rsidR="00BC66DD" w:rsidRPr="007D2631">
        <w:rPr>
          <w:rFonts w:ascii="David" w:hAnsi="David" w:cs="David"/>
          <w:sz w:val="24"/>
          <w:szCs w:val="24"/>
          <w:rtl/>
        </w:rPr>
        <w:t xml:space="preserve"> הפגיעה </w:t>
      </w:r>
      <w:r w:rsidR="002E2AD8" w:rsidRPr="007D2631">
        <w:rPr>
          <w:rFonts w:ascii="David" w:hAnsi="David" w:cs="David"/>
          <w:sz w:val="24"/>
          <w:szCs w:val="24"/>
          <w:rtl/>
        </w:rPr>
        <w:t xml:space="preserve">בקרב הנעדרים זמנית </w:t>
      </w:r>
      <w:r w:rsidR="0067787F">
        <w:rPr>
          <w:rFonts w:ascii="David" w:hAnsi="David" w:cs="David" w:hint="cs"/>
          <w:sz w:val="24"/>
          <w:szCs w:val="24"/>
          <w:rtl/>
        </w:rPr>
        <w:t xml:space="preserve">(חל"ת) </w:t>
      </w:r>
      <w:r w:rsidR="002E2AD8" w:rsidRPr="007D2631">
        <w:rPr>
          <w:rFonts w:ascii="David" w:hAnsi="David" w:cs="David"/>
          <w:sz w:val="24"/>
          <w:szCs w:val="24"/>
          <w:rtl/>
        </w:rPr>
        <w:t>ה</w:t>
      </w:r>
      <w:r w:rsidR="00BC66DD" w:rsidRPr="007D2631">
        <w:rPr>
          <w:rFonts w:ascii="David" w:hAnsi="David" w:cs="David"/>
          <w:sz w:val="24"/>
          <w:szCs w:val="24"/>
          <w:rtl/>
        </w:rPr>
        <w:t>תמקדה</w:t>
      </w:r>
      <w:r w:rsidR="002E2AD8" w:rsidRPr="007D2631">
        <w:rPr>
          <w:rFonts w:ascii="David" w:hAnsi="David" w:cs="David"/>
          <w:sz w:val="24"/>
          <w:szCs w:val="24"/>
          <w:rtl/>
        </w:rPr>
        <w:t xml:space="preserve"> </w:t>
      </w:r>
      <w:proofErr w:type="spellStart"/>
      <w:r w:rsidR="002E2AD8" w:rsidRPr="007D2631">
        <w:rPr>
          <w:rFonts w:ascii="David" w:hAnsi="David" w:cs="David"/>
          <w:sz w:val="24"/>
          <w:szCs w:val="24"/>
          <w:rtl/>
        </w:rPr>
        <w:t>בחמישונים</w:t>
      </w:r>
      <w:proofErr w:type="spellEnd"/>
      <w:r w:rsidR="002E2AD8" w:rsidRPr="007D2631">
        <w:rPr>
          <w:rFonts w:ascii="David" w:hAnsi="David" w:cs="David"/>
          <w:sz w:val="24"/>
          <w:szCs w:val="24"/>
          <w:rtl/>
        </w:rPr>
        <w:t xml:space="preserve"> העליונים – ובעיקר </w:t>
      </w:r>
      <w:proofErr w:type="spellStart"/>
      <w:r w:rsidR="0067787F">
        <w:rPr>
          <w:rFonts w:ascii="David" w:hAnsi="David" w:cs="David" w:hint="cs"/>
          <w:sz w:val="24"/>
          <w:szCs w:val="24"/>
          <w:rtl/>
        </w:rPr>
        <w:t>ב</w:t>
      </w:r>
      <w:r w:rsidR="002E2AD8" w:rsidRPr="007D2631">
        <w:rPr>
          <w:rFonts w:ascii="David" w:hAnsi="David" w:cs="David"/>
          <w:sz w:val="24"/>
          <w:szCs w:val="24"/>
          <w:rtl/>
        </w:rPr>
        <w:t>חמישון</w:t>
      </w:r>
      <w:proofErr w:type="spellEnd"/>
      <w:r w:rsidR="002E2AD8" w:rsidRPr="007D2631">
        <w:rPr>
          <w:rFonts w:ascii="David" w:hAnsi="David" w:cs="David"/>
          <w:sz w:val="24"/>
          <w:szCs w:val="24"/>
          <w:rtl/>
        </w:rPr>
        <w:t xml:space="preserve"> השלישי והרביעי, בהם אחוז הנעדרים </w:t>
      </w:r>
      <w:r w:rsidR="00BC66DD" w:rsidRPr="007D2631">
        <w:rPr>
          <w:rFonts w:ascii="David" w:hAnsi="David" w:cs="David"/>
          <w:sz w:val="24"/>
          <w:szCs w:val="24"/>
          <w:rtl/>
        </w:rPr>
        <w:t>37.3 ו-32 אחוזים בהתאמה</w:t>
      </w:r>
      <w:r w:rsidR="0067787F">
        <w:rPr>
          <w:rFonts w:ascii="David" w:hAnsi="David" w:cs="David" w:hint="cs"/>
          <w:sz w:val="24"/>
          <w:szCs w:val="24"/>
          <w:rtl/>
        </w:rPr>
        <w:t xml:space="preserve"> (בהשוואה ל-20 אחוזים המשקף את חלקו של כול </w:t>
      </w:r>
      <w:proofErr w:type="spellStart"/>
      <w:r w:rsidR="0067787F">
        <w:rPr>
          <w:rFonts w:ascii="David" w:hAnsi="David" w:cs="David" w:hint="cs"/>
          <w:sz w:val="24"/>
          <w:szCs w:val="24"/>
          <w:rtl/>
        </w:rPr>
        <w:t>חמישון</w:t>
      </w:r>
      <w:proofErr w:type="spellEnd"/>
      <w:r w:rsidR="0067787F">
        <w:rPr>
          <w:rFonts w:ascii="David" w:hAnsi="David" w:cs="David" w:hint="cs"/>
          <w:sz w:val="24"/>
          <w:szCs w:val="24"/>
          <w:rtl/>
        </w:rPr>
        <w:t xml:space="preserve"> באוכלוסייה)</w:t>
      </w:r>
      <w:r w:rsidR="00BC66DD" w:rsidRPr="007D2631">
        <w:rPr>
          <w:rFonts w:ascii="David" w:hAnsi="David" w:cs="David"/>
          <w:sz w:val="24"/>
          <w:szCs w:val="24"/>
          <w:rtl/>
        </w:rPr>
        <w:t>.</w:t>
      </w:r>
    </w:p>
    <w:p w14:paraId="5555E93C" w14:textId="264CF824" w:rsidR="007D2631" w:rsidRPr="007D2631" w:rsidRDefault="007D2631" w:rsidP="007D2631">
      <w:pPr>
        <w:spacing w:line="360" w:lineRule="auto"/>
        <w:ind w:left="-483"/>
        <w:rPr>
          <w:rFonts w:ascii="David" w:hAnsi="David" w:cs="David"/>
          <w:sz w:val="24"/>
          <w:szCs w:val="24"/>
        </w:rPr>
      </w:pPr>
      <w:r>
        <w:rPr>
          <w:rFonts w:ascii="David" w:hAnsi="David" w:cs="David"/>
          <w:noProof/>
          <w:sz w:val="24"/>
          <w:szCs w:val="24"/>
        </w:rPr>
        <w:drawing>
          <wp:inline distT="0" distB="0" distL="0" distR="0" wp14:anchorId="05EA54CC" wp14:editId="68662C78">
            <wp:extent cx="6115736" cy="3082925"/>
            <wp:effectExtent l="0" t="0" r="0"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1065" cy="3085611"/>
                    </a:xfrm>
                    <a:prstGeom prst="rect">
                      <a:avLst/>
                    </a:prstGeom>
                    <a:noFill/>
                  </pic:spPr>
                </pic:pic>
              </a:graphicData>
            </a:graphic>
          </wp:inline>
        </w:drawing>
      </w:r>
    </w:p>
    <w:sectPr w:rsidR="007D2631" w:rsidRPr="007D2631" w:rsidSect="008746E2">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702B"/>
    <w:multiLevelType w:val="hybridMultilevel"/>
    <w:tmpl w:val="EC34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23"/>
    <w:rsid w:val="001869DB"/>
    <w:rsid w:val="001F2023"/>
    <w:rsid w:val="002E2AD8"/>
    <w:rsid w:val="00383FB6"/>
    <w:rsid w:val="003B5D7B"/>
    <w:rsid w:val="0042160E"/>
    <w:rsid w:val="0067787F"/>
    <w:rsid w:val="006C2BD4"/>
    <w:rsid w:val="007D2631"/>
    <w:rsid w:val="008746E2"/>
    <w:rsid w:val="00BC66DD"/>
    <w:rsid w:val="00C26CF2"/>
    <w:rsid w:val="00C3451C"/>
    <w:rsid w:val="00E34F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C44A"/>
  <w15:chartTrackingRefBased/>
  <w15:docId w15:val="{90E7FC46-3479-4C4C-A2DC-C47AC525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8D4B3A7-A4C3-4171-9386-6898B9A72655}"/>
</file>

<file path=customXml/itemProps2.xml><?xml version="1.0" encoding="utf-8"?>
<ds:datastoreItem xmlns:ds="http://schemas.openxmlformats.org/officeDocument/2006/customXml" ds:itemID="{3EFBA07B-42F8-48CF-B819-F020004E711D}"/>
</file>

<file path=customXml/itemProps3.xml><?xml version="1.0" encoding="utf-8"?>
<ds:datastoreItem xmlns:ds="http://schemas.openxmlformats.org/officeDocument/2006/customXml" ds:itemID="{B6231CA6-B9DB-45FD-A117-3C9A1D4CAE15}"/>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1820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מישל סטרבצ'ינסקי</dc:creator>
  <cp:keywords/>
  <dc:description/>
  <cp:lastModifiedBy>dovrot</cp:lastModifiedBy>
  <cp:revision>2</cp:revision>
  <dcterms:created xsi:type="dcterms:W3CDTF">2020-12-15T10:04:00Z</dcterms:created>
  <dcterms:modified xsi:type="dcterms:W3CDTF">2020-12-15T10:04:00Z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