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7E" w:rsidRPr="000E2A9D" w:rsidRDefault="00CE3B7E" w:rsidP="00CE3B7E">
      <w:pPr>
        <w:bidi w:val="0"/>
        <w:jc w:val="center"/>
        <w:rPr>
          <w:rtl/>
        </w:rPr>
      </w:pPr>
      <w:bookmarkStart w:id="0" w:name="_GoBack"/>
      <w:bookmarkEnd w:id="0"/>
      <w:r>
        <w:rPr>
          <w:noProof/>
        </w:rPr>
        <w:drawing>
          <wp:anchor distT="0" distB="0" distL="114300" distR="114300" simplePos="0" relativeHeight="251661312" behindDoc="0" locked="0" layoutInCell="1" allowOverlap="1">
            <wp:simplePos x="0" y="0"/>
            <wp:positionH relativeFrom="column">
              <wp:posOffset>2381250</wp:posOffset>
            </wp:positionH>
            <wp:positionV relativeFrom="paragraph">
              <wp:posOffset>-723900</wp:posOffset>
            </wp:positionV>
            <wp:extent cx="971550" cy="971550"/>
            <wp:effectExtent l="19050" t="0" r="0" b="0"/>
            <wp:wrapNone/>
            <wp:docPr id="3"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anchor>
        </w:drawing>
      </w:r>
    </w:p>
    <w:p w:rsidR="00CE3B7E" w:rsidRDefault="00CE3B7E" w:rsidP="00CE3B7E">
      <w:pPr>
        <w:pStyle w:val="regpar"/>
        <w:spacing w:line="300" w:lineRule="atLeast"/>
        <w:ind w:firstLine="0"/>
        <w:jc w:val="center"/>
        <w:rPr>
          <w:rFonts w:ascii="Times New Roman" w:hAnsi="Times New Roman" w:cs="David"/>
          <w:b/>
        </w:rPr>
      </w:pPr>
    </w:p>
    <w:p w:rsidR="00CE3B7E" w:rsidRPr="000E2A9D" w:rsidRDefault="00CE3B7E" w:rsidP="00CE3B7E">
      <w:pPr>
        <w:pStyle w:val="regpar"/>
        <w:spacing w:line="300" w:lineRule="atLeast"/>
        <w:ind w:firstLine="0"/>
        <w:jc w:val="center"/>
        <w:rPr>
          <w:rFonts w:ascii="Times New Roman" w:hAnsi="Times New Roman" w:cs="David"/>
          <w:b/>
        </w:rPr>
      </w:pPr>
      <w:r w:rsidRPr="000E2A9D">
        <w:rPr>
          <w:rFonts w:ascii="Times New Roman" w:hAnsi="Times New Roman" w:cs="David"/>
          <w:b/>
        </w:rPr>
        <w:t>BANK OF ISRAEL</w:t>
      </w:r>
    </w:p>
    <w:p w:rsidR="00CE3B7E" w:rsidRPr="000E2A9D" w:rsidRDefault="00CE3B7E" w:rsidP="00CE3B7E">
      <w:pPr>
        <w:pStyle w:val="regpar"/>
        <w:spacing w:line="300" w:lineRule="atLeast"/>
        <w:ind w:firstLine="0"/>
        <w:jc w:val="center"/>
        <w:rPr>
          <w:rFonts w:ascii="Times New Roman" w:hAnsi="Times New Roman" w:cs="Times New Roman"/>
          <w:b/>
        </w:rPr>
      </w:pPr>
      <w:r w:rsidRPr="000E2A9D">
        <w:rPr>
          <w:rFonts w:ascii="Times New Roman" w:hAnsi="Times New Roman" w:cs="Times New Roman"/>
        </w:rPr>
        <w:t>Office of the Spokesperson and Economic Information</w:t>
      </w:r>
    </w:p>
    <w:p w:rsidR="00CE3B7E" w:rsidRPr="000E2A9D" w:rsidRDefault="00CE3B7E" w:rsidP="00CE3B7E">
      <w:pPr>
        <w:bidi w:val="0"/>
        <w:jc w:val="right"/>
      </w:pPr>
    </w:p>
    <w:p w:rsidR="00CE3B7E" w:rsidRPr="003327C6" w:rsidRDefault="00CE3B7E" w:rsidP="00CE3B7E">
      <w:pPr>
        <w:bidi w:val="0"/>
      </w:pPr>
    </w:p>
    <w:p w:rsidR="00CE3B7E" w:rsidRPr="003327C6" w:rsidRDefault="00C630C7" w:rsidP="00447C33">
      <w:pPr>
        <w:bidi w:val="0"/>
        <w:jc w:val="right"/>
      </w:pPr>
      <w:r>
        <w:t>July 13, 2020</w:t>
      </w:r>
    </w:p>
    <w:p w:rsidR="00CE3B7E" w:rsidRPr="003327C6" w:rsidRDefault="00CE3B7E" w:rsidP="00CE3B7E">
      <w:pPr>
        <w:tabs>
          <w:tab w:val="center" w:pos="4156"/>
          <w:tab w:val="right" w:pos="8312"/>
        </w:tabs>
        <w:bidi w:val="0"/>
        <w:jc w:val="center"/>
        <w:rPr>
          <w:rFonts w:cs="David"/>
        </w:rPr>
      </w:pPr>
    </w:p>
    <w:p w:rsidR="00CE3B7E" w:rsidRPr="003327C6" w:rsidRDefault="00CE3B7E" w:rsidP="00CE3B7E">
      <w:pPr>
        <w:tabs>
          <w:tab w:val="center" w:pos="4156"/>
          <w:tab w:val="right" w:pos="8312"/>
        </w:tabs>
        <w:bidi w:val="0"/>
        <w:jc w:val="center"/>
        <w:rPr>
          <w:rFonts w:cs="David"/>
        </w:rPr>
      </w:pPr>
    </w:p>
    <w:p w:rsidR="00CE3B7E" w:rsidRPr="003327C6" w:rsidRDefault="00CE3B7E" w:rsidP="001A244E">
      <w:pPr>
        <w:tabs>
          <w:tab w:val="center" w:pos="4156"/>
          <w:tab w:val="right" w:pos="8312"/>
        </w:tabs>
        <w:bidi w:val="0"/>
        <w:rPr>
          <w:rFonts w:cs="David"/>
        </w:rPr>
      </w:pPr>
      <w:r w:rsidRPr="003327C6">
        <w:rPr>
          <w:rFonts w:cs="David"/>
        </w:rPr>
        <w:t>Press Release:</w:t>
      </w:r>
    </w:p>
    <w:p w:rsidR="00CE3B7E" w:rsidRPr="003327C6" w:rsidRDefault="00CE3B7E" w:rsidP="00CE3B7E">
      <w:pPr>
        <w:bidi w:val="0"/>
        <w:rPr>
          <w:b/>
          <w:bCs/>
        </w:rPr>
      </w:pPr>
    </w:p>
    <w:p w:rsidR="00CE3B7E" w:rsidRPr="00E244BC" w:rsidRDefault="00EE58B7" w:rsidP="00C630C7">
      <w:pPr>
        <w:bidi w:val="0"/>
        <w:jc w:val="center"/>
        <w:rPr>
          <w:b/>
          <w:bCs/>
          <w:sz w:val="32"/>
          <w:szCs w:val="32"/>
        </w:rPr>
      </w:pPr>
      <w:r w:rsidRPr="00E244BC">
        <w:rPr>
          <w:b/>
          <w:bCs/>
          <w:sz w:val="32"/>
          <w:szCs w:val="32"/>
        </w:rPr>
        <w:t>T</w:t>
      </w:r>
      <w:r w:rsidR="00447C33" w:rsidRPr="00E244BC">
        <w:rPr>
          <w:b/>
          <w:bCs/>
          <w:sz w:val="32"/>
          <w:szCs w:val="32"/>
        </w:rPr>
        <w:t xml:space="preserve">he Banking Supervision Department announces </w:t>
      </w:r>
      <w:r w:rsidR="00C630C7">
        <w:rPr>
          <w:b/>
          <w:bCs/>
          <w:sz w:val="32"/>
          <w:szCs w:val="32"/>
        </w:rPr>
        <w:t xml:space="preserve">the expansion of the </w:t>
      </w:r>
      <w:r w:rsidRPr="00E244BC">
        <w:rPr>
          <w:b/>
          <w:bCs/>
          <w:sz w:val="32"/>
          <w:szCs w:val="32"/>
        </w:rPr>
        <w:t xml:space="preserve">comprehensive framework for deferring </w:t>
      </w:r>
      <w:r w:rsidR="0049656A" w:rsidRPr="00E244BC">
        <w:rPr>
          <w:b/>
          <w:bCs/>
          <w:sz w:val="32"/>
          <w:szCs w:val="32"/>
        </w:rPr>
        <w:t xml:space="preserve">loan </w:t>
      </w:r>
      <w:r w:rsidRPr="00E244BC">
        <w:rPr>
          <w:b/>
          <w:bCs/>
          <w:sz w:val="32"/>
          <w:szCs w:val="32"/>
        </w:rPr>
        <w:t xml:space="preserve">payments </w:t>
      </w:r>
    </w:p>
    <w:p w:rsidR="00CE3B7E" w:rsidRPr="003327C6" w:rsidRDefault="00CE3B7E" w:rsidP="000A4A6F">
      <w:pPr>
        <w:bidi w:val="0"/>
        <w:jc w:val="both"/>
      </w:pPr>
    </w:p>
    <w:p w:rsidR="00C630C7" w:rsidRPr="00500CD0" w:rsidRDefault="00C630C7" w:rsidP="00806B13">
      <w:pPr>
        <w:pStyle w:val="a3"/>
        <w:numPr>
          <w:ilvl w:val="0"/>
          <w:numId w:val="7"/>
        </w:numPr>
        <w:bidi w:val="0"/>
        <w:ind w:left="360"/>
        <w:jc w:val="both"/>
        <w:rPr>
          <w:b/>
          <w:bCs/>
        </w:rPr>
      </w:pPr>
      <w:r w:rsidRPr="00500CD0">
        <w:rPr>
          <w:b/>
          <w:bCs/>
        </w:rPr>
        <w:t>In May 2020, the Banking Supervision Department announced a comprehensive framework that was adopted by the banking system for deferring loan repayments, as assistance to bank customers in dealing with the ramificat</w:t>
      </w:r>
      <w:r w:rsidR="00806B13" w:rsidRPr="00500CD0">
        <w:rPr>
          <w:b/>
          <w:bCs/>
        </w:rPr>
        <w:t>i</w:t>
      </w:r>
      <w:r w:rsidRPr="00500CD0">
        <w:rPr>
          <w:b/>
          <w:bCs/>
        </w:rPr>
        <w:t>ons of the coronavirus crisis.</w:t>
      </w:r>
    </w:p>
    <w:p w:rsidR="00C630C7" w:rsidRPr="00500CD0" w:rsidRDefault="00C630C7" w:rsidP="00741F4D">
      <w:pPr>
        <w:pStyle w:val="a3"/>
        <w:numPr>
          <w:ilvl w:val="0"/>
          <w:numId w:val="7"/>
        </w:numPr>
        <w:bidi w:val="0"/>
        <w:ind w:left="360"/>
        <w:jc w:val="both"/>
        <w:rPr>
          <w:b/>
          <w:bCs/>
        </w:rPr>
      </w:pPr>
      <w:r w:rsidRPr="00500CD0">
        <w:rPr>
          <w:b/>
          <w:bCs/>
        </w:rPr>
        <w:t xml:space="preserve">In March–June 2020, the banks </w:t>
      </w:r>
      <w:r w:rsidRPr="00CF5E30">
        <w:rPr>
          <w:b/>
          <w:bCs/>
        </w:rPr>
        <w:t xml:space="preserve">deferred </w:t>
      </w:r>
      <w:r w:rsidRPr="008149FB">
        <w:rPr>
          <w:b/>
          <w:bCs/>
        </w:rPr>
        <w:t>loan repayments</w:t>
      </w:r>
      <w:r w:rsidRPr="00CF5E30">
        <w:rPr>
          <w:b/>
          <w:bCs/>
        </w:rPr>
        <w:t xml:space="preserve"> for</w:t>
      </w:r>
      <w:r w:rsidRPr="00500CD0">
        <w:rPr>
          <w:b/>
          <w:bCs/>
        </w:rPr>
        <w:t xml:space="preserve"> approximately 553,000 customers in all activity segments, at a total value of approximately NIS 7 billion.</w:t>
      </w:r>
    </w:p>
    <w:p w:rsidR="00887D02" w:rsidRPr="00500CD0" w:rsidRDefault="00C630C7" w:rsidP="006D7184">
      <w:pPr>
        <w:pStyle w:val="a3"/>
        <w:numPr>
          <w:ilvl w:val="0"/>
          <w:numId w:val="7"/>
        </w:numPr>
        <w:bidi w:val="0"/>
        <w:ind w:left="360"/>
        <w:jc w:val="both"/>
        <w:rPr>
          <w:b/>
          <w:bCs/>
        </w:rPr>
      </w:pPr>
      <w:r w:rsidRPr="00500CD0">
        <w:rPr>
          <w:b/>
          <w:bCs/>
        </w:rPr>
        <w:t>With the goal of continuing to assist customers in dealing with the case flow difficulties due to the ramifications of the coronavirus crisis, while managing risks in an informed and responsible manner, the Banking Supervision Department announced an extension and expansion of the previous framework for deferring loan repayments, as follows:</w:t>
      </w:r>
    </w:p>
    <w:p w:rsidR="009F36E9" w:rsidRDefault="009F36E9" w:rsidP="002B2E70">
      <w:pPr>
        <w:pStyle w:val="a3"/>
        <w:numPr>
          <w:ilvl w:val="1"/>
          <w:numId w:val="7"/>
        </w:numPr>
        <w:bidi w:val="0"/>
        <w:ind w:left="1080"/>
        <w:jc w:val="both"/>
      </w:pPr>
      <w:r w:rsidRPr="00FF0EF4">
        <w:rPr>
          <w:u w:val="single"/>
        </w:rPr>
        <w:t>Regarding mortgages, consumer credit and business credit:</w:t>
      </w:r>
      <w:r>
        <w:t xml:space="preserve"> The period for submitting a request for a deferral of loan repayments will be extended </w:t>
      </w:r>
      <w:r w:rsidRPr="00CF5E30">
        <w:t xml:space="preserve">to </w:t>
      </w:r>
      <w:r w:rsidRPr="008149FB">
        <w:t>October 30</w:t>
      </w:r>
      <w:r w:rsidRPr="00CF5E30">
        <w:t>, 2020</w:t>
      </w:r>
      <w:r>
        <w:t>.</w:t>
      </w:r>
    </w:p>
    <w:p w:rsidR="00806B13" w:rsidRDefault="00E01D36" w:rsidP="000F1F8F">
      <w:pPr>
        <w:pStyle w:val="a3"/>
        <w:numPr>
          <w:ilvl w:val="1"/>
          <w:numId w:val="7"/>
        </w:numPr>
        <w:bidi w:val="0"/>
        <w:ind w:left="1080"/>
        <w:jc w:val="both"/>
      </w:pPr>
      <w:r w:rsidRPr="00FF0EF4">
        <w:rPr>
          <w:u w:val="single"/>
        </w:rPr>
        <w:t>Mortgages:</w:t>
      </w:r>
      <w:r>
        <w:t xml:space="preserve"> Customers</w:t>
      </w:r>
      <w:r w:rsidR="00B9440A">
        <w:t xml:space="preserve"> </w:t>
      </w:r>
      <w:r>
        <w:t xml:space="preserve">who have already received a deferral </w:t>
      </w:r>
      <w:r w:rsidR="00C061EC">
        <w:t xml:space="preserve">of mortgage </w:t>
      </w:r>
      <w:r w:rsidR="002C3DDC">
        <w:t>repayments</w:t>
      </w:r>
      <w:r w:rsidR="00C061EC">
        <w:t xml:space="preserve"> </w:t>
      </w:r>
      <w:r w:rsidR="004B4242">
        <w:t xml:space="preserve">will be able to defer the payments until the end of 2020, even if the deferral </w:t>
      </w:r>
      <w:r w:rsidR="000F1F8F">
        <w:t xml:space="preserve">exceeds </w:t>
      </w:r>
      <w:r w:rsidR="004B4242">
        <w:t>6 months.</w:t>
      </w:r>
      <w:r w:rsidR="00B9440A">
        <w:t xml:space="preserve"> Customers who have not yet deferred mortgage repayments, and ask to do so, will be able to defer the payments for 6 months.</w:t>
      </w:r>
    </w:p>
    <w:p w:rsidR="001B637B" w:rsidRDefault="001B637B" w:rsidP="002B2E70">
      <w:pPr>
        <w:pStyle w:val="a3"/>
        <w:numPr>
          <w:ilvl w:val="1"/>
          <w:numId w:val="7"/>
        </w:numPr>
        <w:bidi w:val="0"/>
        <w:ind w:left="1080"/>
        <w:jc w:val="both"/>
      </w:pPr>
      <w:r>
        <w:rPr>
          <w:u w:val="single"/>
        </w:rPr>
        <w:t>Consumer loans up to NIS 100,000:</w:t>
      </w:r>
      <w:r>
        <w:t xml:space="preserve"> Customers </w:t>
      </w:r>
      <w:r w:rsidR="006636A6">
        <w:t>will be able to defer such loans for up to 6 months (at the customers’ choice) without the bank’s judgment, as opposed to the previous framework in which the deferral was for 3 months.</w:t>
      </w:r>
    </w:p>
    <w:p w:rsidR="00806B13" w:rsidRPr="00D07A69" w:rsidRDefault="00806B13" w:rsidP="0039598A">
      <w:pPr>
        <w:pStyle w:val="a3"/>
        <w:numPr>
          <w:ilvl w:val="0"/>
          <w:numId w:val="7"/>
        </w:numPr>
        <w:bidi w:val="0"/>
        <w:ind w:left="360"/>
        <w:jc w:val="both"/>
        <w:rPr>
          <w:b/>
          <w:bCs/>
        </w:rPr>
      </w:pPr>
      <w:r w:rsidRPr="00D07A69">
        <w:rPr>
          <w:b/>
          <w:bCs/>
        </w:rPr>
        <w:t xml:space="preserve">We emphasize that the framework that was formulated </w:t>
      </w:r>
      <w:r w:rsidR="001B637B" w:rsidRPr="00D07A69">
        <w:rPr>
          <w:b/>
          <w:bCs/>
        </w:rPr>
        <w:t>presents the minimum terms for deferring the loans</w:t>
      </w:r>
      <w:r w:rsidR="00C07CCF" w:rsidRPr="00D07A69">
        <w:rPr>
          <w:b/>
          <w:bCs/>
        </w:rPr>
        <w:t>, and each bank may expand it for the benefit of its customers and at their request.</w:t>
      </w:r>
    </w:p>
    <w:p w:rsidR="001B00C7" w:rsidRPr="00D07A69" w:rsidRDefault="001B00C7" w:rsidP="002C3DDC">
      <w:pPr>
        <w:pStyle w:val="a3"/>
        <w:numPr>
          <w:ilvl w:val="0"/>
          <w:numId w:val="7"/>
        </w:numPr>
        <w:bidi w:val="0"/>
        <w:ind w:left="360"/>
        <w:jc w:val="both"/>
        <w:rPr>
          <w:b/>
          <w:bCs/>
        </w:rPr>
      </w:pPr>
      <w:r w:rsidRPr="00D07A69">
        <w:rPr>
          <w:b/>
          <w:bCs/>
        </w:rPr>
        <w:t xml:space="preserve">The Banking Supervision Department will continue to </w:t>
      </w:r>
      <w:r w:rsidR="00DA446F">
        <w:rPr>
          <w:b/>
          <w:bCs/>
        </w:rPr>
        <w:t xml:space="preserve">follow </w:t>
      </w:r>
      <w:r w:rsidR="002C3DDC">
        <w:rPr>
          <w:b/>
          <w:bCs/>
        </w:rPr>
        <w:t xml:space="preserve">closely </w:t>
      </w:r>
      <w:r w:rsidRPr="00D07A69">
        <w:rPr>
          <w:b/>
          <w:bCs/>
        </w:rPr>
        <w:t>the developments and the dynamic ramifications of the crisis, and will examine additional ways to assist households and businesses.</w:t>
      </w:r>
    </w:p>
    <w:p w:rsidR="00C6034A" w:rsidRDefault="00C6034A" w:rsidP="00C6034A">
      <w:pPr>
        <w:bidi w:val="0"/>
        <w:jc w:val="both"/>
      </w:pPr>
    </w:p>
    <w:p w:rsidR="00C6034A" w:rsidRDefault="00DC5F71" w:rsidP="008B20AC">
      <w:pPr>
        <w:bidi w:val="0"/>
        <w:jc w:val="both"/>
      </w:pPr>
      <w:r w:rsidRPr="003327C6">
        <w:rPr>
          <w:b/>
          <w:bCs/>
        </w:rPr>
        <w:t>Governor of the Bank of Israel, Prof. Amir Yaron,</w:t>
      </w:r>
      <w:r w:rsidRPr="003327C6">
        <w:t xml:space="preserve"> said</w:t>
      </w:r>
      <w:r w:rsidR="00341C5D" w:rsidRPr="003327C6">
        <w:t xml:space="preserve">, </w:t>
      </w:r>
      <w:r w:rsidR="00C6034A">
        <w:t>“We are working and we will continue to work with all the tools available to us in order to support the economy and economic activity at the background of the crisis.</w:t>
      </w:r>
      <w:r w:rsidR="00071AF4">
        <w:t xml:space="preserve"> The extension of the framework for deferring loans allows some additional breathing space </w:t>
      </w:r>
      <w:r w:rsidR="0079467F">
        <w:t>and will make it easier for households and businesses that were adversely impacted to endure the crisis period.</w:t>
      </w:r>
      <w:r w:rsidR="007F0691">
        <w:t xml:space="preserve"> However, it should be recalled that credit is not a grant, and it has to be paid back, and the borrower has to consider the various aspects of the </w:t>
      </w:r>
      <w:r w:rsidR="007F0691">
        <w:lastRenderedPageBreak/>
        <w:t>deferral</w:t>
      </w:r>
      <w:r w:rsidR="001C2CBE">
        <w:t xml:space="preserve">. The expansion of the framework for deferring loans </w:t>
      </w:r>
      <w:r w:rsidR="008B20AC">
        <w:t xml:space="preserve">comes </w:t>
      </w:r>
      <w:r w:rsidR="001C2CBE">
        <w:t xml:space="preserve">in parallel with </w:t>
      </w:r>
      <w:r w:rsidR="008B20AC">
        <w:t>the government assistance plan to provide maximum certainty to those who have been negatively impacted.”</w:t>
      </w:r>
    </w:p>
    <w:p w:rsidR="00BB6607" w:rsidRPr="003327C6" w:rsidRDefault="00BB6607" w:rsidP="00BB6607">
      <w:pPr>
        <w:bidi w:val="0"/>
        <w:jc w:val="both"/>
      </w:pPr>
    </w:p>
    <w:p w:rsidR="00D1579C" w:rsidRDefault="00BB6607" w:rsidP="00CF5E30">
      <w:pPr>
        <w:bidi w:val="0"/>
        <w:jc w:val="both"/>
      </w:pPr>
      <w:r w:rsidRPr="003327C6">
        <w:rPr>
          <w:b/>
          <w:bCs/>
        </w:rPr>
        <w:t xml:space="preserve">Supervisor of Banks </w:t>
      </w:r>
      <w:r w:rsidR="00C630C7">
        <w:rPr>
          <w:b/>
          <w:bCs/>
        </w:rPr>
        <w:t xml:space="preserve">Yair Avidan </w:t>
      </w:r>
      <w:r w:rsidRPr="003327C6">
        <w:t xml:space="preserve">said, </w:t>
      </w:r>
      <w:r w:rsidR="00D1579C">
        <w:t xml:space="preserve">“We all see that many households and businesses continue to be impacted by the ramifications of the coronavirus crisis and therefore those customers have to continue being assisted, </w:t>
      </w:r>
      <w:r w:rsidR="000376A8">
        <w:t xml:space="preserve">with </w:t>
      </w:r>
      <w:r w:rsidR="00D1579C">
        <w:t>informed and responsible risk management.</w:t>
      </w:r>
      <w:r w:rsidR="00485B55">
        <w:t xml:space="preserve"> The resilience of the overall public is built on the resilience of the individuals that </w:t>
      </w:r>
      <w:r w:rsidR="00F54BFF">
        <w:t xml:space="preserve">comprise </w:t>
      </w:r>
      <w:r w:rsidR="00485B55">
        <w:t>it</w:t>
      </w:r>
      <w:r w:rsidR="00F75A94">
        <w:t>,</w:t>
      </w:r>
      <w:r w:rsidR="00F54BFF">
        <w:t xml:space="preserve"> and the expansion of this framework </w:t>
      </w:r>
      <w:r w:rsidR="00F75A94">
        <w:t xml:space="preserve">can </w:t>
      </w:r>
      <w:r w:rsidR="00F54BFF">
        <w:t xml:space="preserve">strengthen the resilience of private individuals. I commend the banking system on the expansion of the framework, </w:t>
      </w:r>
      <w:r w:rsidR="00F75A94">
        <w:t xml:space="preserve">out of </w:t>
      </w:r>
      <w:r w:rsidR="00F54BFF">
        <w:t>an understanding and readiness to continue accompanying th</w:t>
      </w:r>
      <w:r w:rsidR="0021604E">
        <w:t xml:space="preserve">e </w:t>
      </w:r>
      <w:r w:rsidR="00F54BFF">
        <w:t>customers during this challenging time, with flexibility and sensitivity.</w:t>
      </w:r>
      <w:r w:rsidR="00AA0D56">
        <w:t xml:space="preserve"> We will continue to follow the developments and to examine additional ways to </w:t>
      </w:r>
      <w:r w:rsidR="00CF5E30">
        <w:t xml:space="preserve">make </w:t>
      </w:r>
      <w:r w:rsidR="0018521B">
        <w:t>things ea</w:t>
      </w:r>
      <w:r w:rsidR="00CF5E30">
        <w:t>s</w:t>
      </w:r>
      <w:r w:rsidR="0018521B">
        <w:t>i</w:t>
      </w:r>
      <w:r w:rsidR="00CF5E30">
        <w:t xml:space="preserve">er and to </w:t>
      </w:r>
      <w:r w:rsidR="00AA0D56">
        <w:t>provide tools for dealing with the difficulties that many households and businesses are forced to deal with each day.”</w:t>
      </w:r>
    </w:p>
    <w:p w:rsidR="009E5F1D" w:rsidRDefault="009E5F1D" w:rsidP="009E5F1D">
      <w:pPr>
        <w:bidi w:val="0"/>
        <w:jc w:val="both"/>
      </w:pPr>
    </w:p>
    <w:p w:rsidR="009E5F1D" w:rsidRDefault="009E5F1D" w:rsidP="00AE183C">
      <w:pPr>
        <w:bidi w:val="0"/>
        <w:jc w:val="both"/>
      </w:pPr>
      <w:r w:rsidRPr="00D07A69">
        <w:t>As households and small busine</w:t>
      </w:r>
      <w:r w:rsidR="0093624C" w:rsidRPr="00D07A69">
        <w:t>s</w:t>
      </w:r>
      <w:r w:rsidRPr="00D07A69">
        <w:t xml:space="preserve">ses are still dealing </w:t>
      </w:r>
      <w:r w:rsidR="00F17B54">
        <w:t>wi</w:t>
      </w:r>
      <w:r w:rsidRPr="00D07A69">
        <w:t xml:space="preserve">th </w:t>
      </w:r>
      <w:r w:rsidR="00F17B54">
        <w:t xml:space="preserve">the </w:t>
      </w:r>
      <w:r w:rsidRPr="00D07A69">
        <w:t>economic rami</w:t>
      </w:r>
      <w:r w:rsidR="00F17B54">
        <w:t>f</w:t>
      </w:r>
      <w:r w:rsidRPr="00D07A69">
        <w:t>icat</w:t>
      </w:r>
      <w:r w:rsidR="00F17B54">
        <w:t>i</w:t>
      </w:r>
      <w:r w:rsidRPr="00D07A69">
        <w:t>ons of the coronavirus crisis</w:t>
      </w:r>
      <w:r w:rsidR="00AE183C">
        <w:t xml:space="preserve">, </w:t>
      </w:r>
      <w:r w:rsidRPr="00D07A69">
        <w:t>whi</w:t>
      </w:r>
      <w:r w:rsidR="0093624C" w:rsidRPr="00D07A69">
        <w:t>c</w:t>
      </w:r>
      <w:r w:rsidRPr="00D07A69">
        <w:t>h in</w:t>
      </w:r>
      <w:r w:rsidR="0093624C" w:rsidRPr="00D07A69">
        <w:t>c</w:t>
      </w:r>
      <w:r w:rsidRPr="00D07A69">
        <w:t xml:space="preserve">lude, among other things, a decline in income </w:t>
      </w:r>
      <w:r w:rsidR="0093624C" w:rsidRPr="00D07A69">
        <w:t xml:space="preserve">and </w:t>
      </w:r>
      <w:r w:rsidRPr="00D07A69">
        <w:t>accordingly di</w:t>
      </w:r>
      <w:r w:rsidR="0093624C" w:rsidRPr="00D07A69">
        <w:t>f</w:t>
      </w:r>
      <w:r w:rsidRPr="00D07A69">
        <w:t>ficul</w:t>
      </w:r>
      <w:r w:rsidR="0093624C" w:rsidRPr="00D07A69">
        <w:t>t</w:t>
      </w:r>
      <w:r w:rsidRPr="00D07A69">
        <w:t xml:space="preserve">y in </w:t>
      </w:r>
      <w:r w:rsidR="0093624C" w:rsidRPr="00D07A69">
        <w:t xml:space="preserve">repaying the loans </w:t>
      </w:r>
      <w:r w:rsidRPr="00D07A69">
        <w:t>that wer</w:t>
      </w:r>
      <w:r w:rsidR="0093624C" w:rsidRPr="00D07A69">
        <w:t>e</w:t>
      </w:r>
      <w:r w:rsidRPr="00D07A69">
        <w:t xml:space="preserve"> taken out prior to the outbr</w:t>
      </w:r>
      <w:r w:rsidR="0093624C" w:rsidRPr="00D07A69">
        <w:t>e</w:t>
      </w:r>
      <w:r w:rsidR="00265236" w:rsidRPr="00D07A69">
        <w:t>a</w:t>
      </w:r>
      <w:r w:rsidRPr="00D07A69">
        <w:t>k of the crisis, the Banking Supervision Departm</w:t>
      </w:r>
      <w:r w:rsidR="00A51321" w:rsidRPr="00D07A69">
        <w:t xml:space="preserve">ent announces the expansion of the </w:t>
      </w:r>
      <w:r w:rsidRPr="00D07A69">
        <w:t xml:space="preserve">uniform framework </w:t>
      </w:r>
      <w:r w:rsidR="0093624C" w:rsidRPr="00D07A69">
        <w:t xml:space="preserve">for deferring </w:t>
      </w:r>
      <w:r w:rsidRPr="00D07A69">
        <w:t>loan re</w:t>
      </w:r>
      <w:r w:rsidR="0093624C" w:rsidRPr="00D07A69">
        <w:t>p</w:t>
      </w:r>
      <w:r w:rsidRPr="00D07A69">
        <w:t>aym</w:t>
      </w:r>
      <w:r w:rsidR="0093624C" w:rsidRPr="00D07A69">
        <w:t>e</w:t>
      </w:r>
      <w:r w:rsidRPr="00D07A69">
        <w:t>n</w:t>
      </w:r>
      <w:r w:rsidR="0093624C" w:rsidRPr="00D07A69">
        <w:t>t</w:t>
      </w:r>
      <w:r w:rsidRPr="00D07A69">
        <w:t>s</w:t>
      </w:r>
      <w:r w:rsidR="00981FDA" w:rsidRPr="00D07A69">
        <w:t>, the goal of which is to assist households and small businesses with cash flow difficulties.</w:t>
      </w:r>
    </w:p>
    <w:p w:rsidR="00413962" w:rsidRDefault="00413962" w:rsidP="00413962">
      <w:pPr>
        <w:bidi w:val="0"/>
        <w:jc w:val="both"/>
      </w:pPr>
    </w:p>
    <w:p w:rsidR="00413962" w:rsidRDefault="00413962" w:rsidP="003F6E78">
      <w:pPr>
        <w:bidi w:val="0"/>
        <w:jc w:val="both"/>
      </w:pPr>
      <w:r>
        <w:t xml:space="preserve">The goal of the expanded framework is to assist those who deferred payments in the past and require additional “oxygen” </w:t>
      </w:r>
      <w:r w:rsidR="00C22CFE">
        <w:t xml:space="preserve">to get through the difficult period, but they also bear the responsibility to prepare for meeting their obligations in the future. </w:t>
      </w:r>
      <w:r w:rsidR="003F6E78">
        <w:t>I</w:t>
      </w:r>
      <w:r w:rsidR="00C22CFE">
        <w:t xml:space="preserve">t is </w:t>
      </w:r>
      <w:r w:rsidR="003F6E78">
        <w:t xml:space="preserve">also </w:t>
      </w:r>
      <w:r w:rsidR="00C22CFE">
        <w:t xml:space="preserve">intended to assist the public that so far </w:t>
      </w:r>
      <w:r w:rsidR="003F6E78">
        <w:t xml:space="preserve">has </w:t>
      </w:r>
      <w:r w:rsidR="00C22CFE">
        <w:t>succeeded in meeting its obligations and not deferring payments</w:t>
      </w:r>
      <w:r w:rsidR="009D5F46">
        <w:t>, to know that it has the possibility of using the framework in that manner and to ease its cash flow as needed.</w:t>
      </w:r>
    </w:p>
    <w:p w:rsidR="00A90EF3" w:rsidRDefault="00A90EF3" w:rsidP="00A90EF3">
      <w:pPr>
        <w:bidi w:val="0"/>
        <w:jc w:val="both"/>
      </w:pPr>
    </w:p>
    <w:p w:rsidR="00A90EF3" w:rsidRDefault="00A90EF3" w:rsidP="00E86EE5">
      <w:pPr>
        <w:bidi w:val="0"/>
        <w:jc w:val="both"/>
      </w:pPr>
      <w:r>
        <w:t xml:space="preserve">The formulation of the framework by the Bank of Israel was carried out while examining the steps and practices </w:t>
      </w:r>
      <w:r w:rsidR="00E86EE5">
        <w:t xml:space="preserve">common around the world in this issue, both from the perspective of the time span given to submit a loan deferral </w:t>
      </w:r>
      <w:r w:rsidR="00A21427" w:rsidRPr="008149FB">
        <w:t>request</w:t>
      </w:r>
      <w:r w:rsidR="00A21427">
        <w:t xml:space="preserve"> </w:t>
      </w:r>
      <w:r w:rsidR="00E86EE5">
        <w:t>and from the perspective of the length of the deferral and the related terms.</w:t>
      </w:r>
    </w:p>
    <w:p w:rsidR="00754769" w:rsidRDefault="00754769" w:rsidP="00754769">
      <w:pPr>
        <w:bidi w:val="0"/>
        <w:jc w:val="both"/>
      </w:pPr>
    </w:p>
    <w:p w:rsidR="00C16E78" w:rsidRDefault="00C16E78" w:rsidP="00754769">
      <w:pPr>
        <w:bidi w:val="0"/>
        <w:jc w:val="both"/>
      </w:pPr>
    </w:p>
    <w:p w:rsidR="00C16E78" w:rsidRDefault="00C16E78">
      <w:pPr>
        <w:bidi w:val="0"/>
        <w:spacing w:after="200" w:line="276" w:lineRule="auto"/>
      </w:pPr>
      <w:r>
        <w:br w:type="page"/>
      </w:r>
    </w:p>
    <w:p w:rsidR="00754769" w:rsidRDefault="00754769" w:rsidP="00CF5E30">
      <w:pPr>
        <w:bidi w:val="0"/>
        <w:jc w:val="both"/>
      </w:pPr>
      <w:r>
        <w:lastRenderedPageBreak/>
        <w:t xml:space="preserve">Following are details on the framework’s expansions (a comparison table of the expanded framework and the </w:t>
      </w:r>
      <w:r w:rsidR="00CF5E30">
        <w:t xml:space="preserve">previous </w:t>
      </w:r>
      <w:r>
        <w:t>framework is attache</w:t>
      </w:r>
      <w:r w:rsidR="007B196F">
        <w:t>d as Appendix A).</w:t>
      </w:r>
    </w:p>
    <w:p w:rsidR="0048570D" w:rsidRDefault="0048570D" w:rsidP="0048570D">
      <w:pPr>
        <w:bidi w:val="0"/>
        <w:jc w:val="both"/>
      </w:pPr>
    </w:p>
    <w:p w:rsidR="0048570D" w:rsidRPr="007B6D40" w:rsidRDefault="0048570D" w:rsidP="00C16E78">
      <w:pPr>
        <w:pBdr>
          <w:top w:val="single" w:sz="4" w:space="1" w:color="auto"/>
          <w:left w:val="single" w:sz="4" w:space="4" w:color="auto"/>
          <w:bottom w:val="single" w:sz="4" w:space="1" w:color="auto"/>
          <w:right w:val="single" w:sz="4" w:space="4" w:color="auto"/>
        </w:pBdr>
        <w:bidi w:val="0"/>
        <w:jc w:val="both"/>
        <w:rPr>
          <w:b/>
          <w:bCs/>
        </w:rPr>
      </w:pPr>
      <w:r w:rsidRPr="007B6D40">
        <w:rPr>
          <w:b/>
          <w:bCs/>
        </w:rPr>
        <w:t>Mortgages</w:t>
      </w:r>
    </w:p>
    <w:p w:rsidR="0048570D" w:rsidRDefault="0048570D" w:rsidP="00C16E78">
      <w:pPr>
        <w:pBdr>
          <w:top w:val="single" w:sz="4" w:space="1" w:color="auto"/>
          <w:left w:val="single" w:sz="4" w:space="4" w:color="auto"/>
          <w:bottom w:val="single" w:sz="4" w:space="1" w:color="auto"/>
          <w:right w:val="single" w:sz="4" w:space="4" w:color="auto"/>
        </w:pBdr>
        <w:bidi w:val="0"/>
        <w:jc w:val="both"/>
      </w:pPr>
      <w:r w:rsidRPr="008149FB">
        <w:rPr>
          <w:u w:val="single"/>
        </w:rPr>
        <w:t>Under the previous framework:</w:t>
      </w:r>
      <w:r w:rsidR="005D74A6">
        <w:t xml:space="preserve"> For mortgages</w:t>
      </w:r>
      <w:r w:rsidR="004A3A7E">
        <w:t>,</w:t>
      </w:r>
      <w:r w:rsidR="005D74A6">
        <w:t xml:space="preserve"> the deferral will be for a period of 6 months, without the bank’s judgment.</w:t>
      </w:r>
    </w:p>
    <w:p w:rsidR="005D74A6" w:rsidRDefault="005D74A6" w:rsidP="00C16E78">
      <w:pPr>
        <w:pBdr>
          <w:top w:val="single" w:sz="4" w:space="1" w:color="auto"/>
          <w:left w:val="single" w:sz="4" w:space="4" w:color="auto"/>
          <w:bottom w:val="single" w:sz="4" w:space="1" w:color="auto"/>
          <w:right w:val="single" w:sz="4" w:space="4" w:color="auto"/>
        </w:pBdr>
        <w:bidi w:val="0"/>
        <w:jc w:val="both"/>
      </w:pPr>
    </w:p>
    <w:p w:rsidR="005D74A6" w:rsidRDefault="005D74A6" w:rsidP="00C16E78">
      <w:pPr>
        <w:pBdr>
          <w:top w:val="single" w:sz="4" w:space="1" w:color="auto"/>
          <w:left w:val="single" w:sz="4" w:space="4" w:color="auto"/>
          <w:bottom w:val="single" w:sz="4" w:space="1" w:color="auto"/>
          <w:right w:val="single" w:sz="4" w:space="4" w:color="auto"/>
        </w:pBdr>
        <w:bidi w:val="0"/>
        <w:jc w:val="both"/>
      </w:pPr>
      <w:r w:rsidRPr="00C16E78">
        <w:rPr>
          <w:b/>
          <w:bCs/>
        </w:rPr>
        <w:t>Under the expanded framework:</w:t>
      </w:r>
      <w:r>
        <w:t xml:space="preserve"> </w:t>
      </w:r>
      <w:r w:rsidR="00811518">
        <w:t>The deferral period for mortgages will be as follows:</w:t>
      </w:r>
    </w:p>
    <w:p w:rsidR="001C2913" w:rsidRDefault="001C2913" w:rsidP="00C16E78">
      <w:pPr>
        <w:pBdr>
          <w:top w:val="single" w:sz="4" w:space="1" w:color="auto"/>
          <w:left w:val="single" w:sz="4" w:space="4" w:color="auto"/>
          <w:bottom w:val="single" w:sz="4" w:space="1" w:color="auto"/>
          <w:right w:val="single" w:sz="4" w:space="4" w:color="auto"/>
        </w:pBdr>
        <w:bidi w:val="0"/>
        <w:jc w:val="both"/>
      </w:pPr>
    </w:p>
    <w:p w:rsidR="001C2913" w:rsidRDefault="001C2913" w:rsidP="00C16E78">
      <w:pPr>
        <w:pBdr>
          <w:top w:val="single" w:sz="4" w:space="1" w:color="auto"/>
          <w:left w:val="single" w:sz="4" w:space="4" w:color="auto"/>
          <w:bottom w:val="single" w:sz="4" w:space="1" w:color="auto"/>
          <w:right w:val="single" w:sz="4" w:space="4" w:color="auto"/>
        </w:pBdr>
        <w:bidi w:val="0"/>
        <w:jc w:val="both"/>
      </w:pPr>
      <w:r>
        <w:t xml:space="preserve">Customers who </w:t>
      </w:r>
      <w:r w:rsidR="004A3A7E">
        <w:t xml:space="preserve">have </w:t>
      </w:r>
      <w:r>
        <w:t xml:space="preserve">already deferred mortgage repayments for up to 6 </w:t>
      </w:r>
      <w:r w:rsidR="002C3DDC">
        <w:t>months</w:t>
      </w:r>
      <w:r>
        <w:t xml:space="preserve"> will be able to receive a further deferral up to December 31, 2020.</w:t>
      </w:r>
    </w:p>
    <w:p w:rsidR="001C2913" w:rsidRDefault="001C2913" w:rsidP="00C16E78">
      <w:pPr>
        <w:pBdr>
          <w:top w:val="single" w:sz="4" w:space="1" w:color="auto"/>
          <w:left w:val="single" w:sz="4" w:space="4" w:color="auto"/>
          <w:bottom w:val="single" w:sz="4" w:space="1" w:color="auto"/>
          <w:right w:val="single" w:sz="4" w:space="4" w:color="auto"/>
        </w:pBdr>
        <w:bidi w:val="0"/>
        <w:jc w:val="both"/>
      </w:pPr>
      <w:r>
        <w:t xml:space="preserve">Customers who have not yet deferred mortgage payments and now are interested in deferring </w:t>
      </w:r>
      <w:r w:rsidR="002C3DDC">
        <w:t>them</w:t>
      </w:r>
      <w:r>
        <w:t xml:space="preserve"> </w:t>
      </w:r>
      <w:r w:rsidRPr="00CF5E30">
        <w:t xml:space="preserve">will be able to receive a deferral of up to 6 months. The request has to be submitted by </w:t>
      </w:r>
      <w:r w:rsidRPr="008149FB">
        <w:t>October 30,</w:t>
      </w:r>
      <w:r w:rsidRPr="00CF5E30">
        <w:t xml:space="preserve"> 2020.</w:t>
      </w:r>
    </w:p>
    <w:p w:rsidR="003F5983" w:rsidRDefault="003F5983" w:rsidP="003F5983">
      <w:pPr>
        <w:bidi w:val="0"/>
        <w:jc w:val="both"/>
      </w:pPr>
    </w:p>
    <w:p w:rsidR="003F5983" w:rsidRDefault="003F5983" w:rsidP="003F5983">
      <w:pPr>
        <w:bidi w:val="0"/>
        <w:jc w:val="both"/>
      </w:pPr>
    </w:p>
    <w:p w:rsidR="003F5983" w:rsidRPr="007B6D40" w:rsidRDefault="003F5983" w:rsidP="00C16E78">
      <w:pPr>
        <w:pBdr>
          <w:top w:val="single" w:sz="4" w:space="1" w:color="auto"/>
          <w:left w:val="single" w:sz="4" w:space="4" w:color="auto"/>
          <w:bottom w:val="single" w:sz="4" w:space="1" w:color="auto"/>
          <w:right w:val="single" w:sz="4" w:space="4" w:color="auto"/>
        </w:pBdr>
        <w:bidi w:val="0"/>
        <w:jc w:val="both"/>
        <w:rPr>
          <w:b/>
          <w:bCs/>
        </w:rPr>
      </w:pPr>
      <w:r w:rsidRPr="007B6D40">
        <w:rPr>
          <w:b/>
          <w:bCs/>
        </w:rPr>
        <w:t xml:space="preserve">Consumer loans: </w:t>
      </w:r>
    </w:p>
    <w:p w:rsidR="003F5983" w:rsidRDefault="003F5983" w:rsidP="00C16E78">
      <w:pPr>
        <w:pBdr>
          <w:top w:val="single" w:sz="4" w:space="1" w:color="auto"/>
          <w:left w:val="single" w:sz="4" w:space="4" w:color="auto"/>
          <w:bottom w:val="single" w:sz="4" w:space="1" w:color="auto"/>
          <w:right w:val="single" w:sz="4" w:space="4" w:color="auto"/>
        </w:pBdr>
        <w:bidi w:val="0"/>
        <w:jc w:val="both"/>
      </w:pPr>
      <w:r w:rsidRPr="00C16E78">
        <w:rPr>
          <w:u w:val="single"/>
        </w:rPr>
        <w:t>Under the previous framework:</w:t>
      </w:r>
      <w:r>
        <w:t xml:space="preserve"> For consumer loans </w:t>
      </w:r>
      <w:r w:rsidR="00992F16" w:rsidRPr="003327C6">
        <w:t>with an outstanding balance of up to NIS 100,000</w:t>
      </w:r>
      <w:r>
        <w:t xml:space="preserve">, the deferral </w:t>
      </w:r>
      <w:r w:rsidR="007B6D40">
        <w:t xml:space="preserve">will be carried out for a period of 3 months (with an option for an additional </w:t>
      </w:r>
      <w:r w:rsidR="00C20095">
        <w:t xml:space="preserve">3-month </w:t>
      </w:r>
      <w:r w:rsidR="007B6D40">
        <w:t>deferral in line with the bank’s judgment).</w:t>
      </w:r>
    </w:p>
    <w:p w:rsidR="007B6D40" w:rsidRDefault="007B6D40" w:rsidP="00C16E78">
      <w:pPr>
        <w:pBdr>
          <w:top w:val="single" w:sz="4" w:space="1" w:color="auto"/>
          <w:left w:val="single" w:sz="4" w:space="4" w:color="auto"/>
          <w:bottom w:val="single" w:sz="4" w:space="1" w:color="auto"/>
          <w:right w:val="single" w:sz="4" w:space="4" w:color="auto"/>
        </w:pBdr>
        <w:bidi w:val="0"/>
        <w:jc w:val="both"/>
      </w:pPr>
    </w:p>
    <w:p w:rsidR="004113B1" w:rsidRDefault="007B6D40" w:rsidP="00C16E78">
      <w:pPr>
        <w:pBdr>
          <w:top w:val="single" w:sz="4" w:space="1" w:color="auto"/>
          <w:left w:val="single" w:sz="4" w:space="4" w:color="auto"/>
          <w:bottom w:val="single" w:sz="4" w:space="1" w:color="auto"/>
          <w:right w:val="single" w:sz="4" w:space="4" w:color="auto"/>
        </w:pBdr>
        <w:bidi w:val="0"/>
        <w:jc w:val="both"/>
      </w:pPr>
      <w:r w:rsidRPr="00186CF3">
        <w:rPr>
          <w:b/>
          <w:bCs/>
        </w:rPr>
        <w:t>Under the expanded framework:</w:t>
      </w:r>
      <w:r w:rsidR="002E5F85">
        <w:t xml:space="preserve"> The deferral period for such loans shall be up to 6 months, at the customer’s choosing, in the following manner:</w:t>
      </w:r>
      <w:r w:rsidR="0090473E">
        <w:t xml:space="preserve"> </w:t>
      </w:r>
    </w:p>
    <w:p w:rsidR="007B6D40" w:rsidRDefault="0090473E" w:rsidP="00AB53D5">
      <w:pPr>
        <w:pBdr>
          <w:top w:val="single" w:sz="4" w:space="1" w:color="auto"/>
          <w:left w:val="single" w:sz="4" w:space="4" w:color="auto"/>
          <w:bottom w:val="single" w:sz="4" w:space="1" w:color="auto"/>
          <w:right w:val="single" w:sz="4" w:space="4" w:color="auto"/>
        </w:pBdr>
        <w:bidi w:val="0"/>
        <w:jc w:val="both"/>
      </w:pPr>
      <w:r>
        <w:t xml:space="preserve">Customers who already deferred payments for some of the </w:t>
      </w:r>
      <w:r w:rsidR="002C3DDC">
        <w:t>period</w:t>
      </w:r>
      <w:r>
        <w:t xml:space="preserve"> </w:t>
      </w:r>
      <w:r w:rsidR="004113B1">
        <w:t xml:space="preserve">will be able to </w:t>
      </w:r>
      <w:r>
        <w:t xml:space="preserve">submit another request to defer the payments for a cumulative period of up to 6 months, provided that there were no </w:t>
      </w:r>
      <w:r w:rsidRPr="00AB53D5">
        <w:t xml:space="preserve">arrears </w:t>
      </w:r>
      <w:r w:rsidRPr="008149FB">
        <w:t xml:space="preserve">in </w:t>
      </w:r>
      <w:r w:rsidR="00AB53D5" w:rsidRPr="008149FB">
        <w:t xml:space="preserve">the </w:t>
      </w:r>
      <w:r w:rsidRPr="008149FB">
        <w:t>loan</w:t>
      </w:r>
      <w:r w:rsidRPr="00AB53D5">
        <w:t xml:space="preserve"> as of</w:t>
      </w:r>
      <w:r>
        <w:t xml:space="preserve"> February 28, 2020.</w:t>
      </w:r>
    </w:p>
    <w:p w:rsidR="00B60F26" w:rsidRDefault="00B60F26" w:rsidP="00595ABF">
      <w:pPr>
        <w:pBdr>
          <w:top w:val="single" w:sz="4" w:space="1" w:color="auto"/>
          <w:left w:val="single" w:sz="4" w:space="4" w:color="auto"/>
          <w:bottom w:val="single" w:sz="4" w:space="1" w:color="auto"/>
          <w:right w:val="single" w:sz="4" w:space="4" w:color="auto"/>
        </w:pBdr>
        <w:bidi w:val="0"/>
        <w:jc w:val="both"/>
      </w:pPr>
      <w:r>
        <w:t xml:space="preserve">Customers who have not yet deferred payments, and now are interested in doing so, will be able to receive a deferral of up to 6 months. This will also apply to customers whose loans had arrears in the two </w:t>
      </w:r>
      <w:r w:rsidR="00033A1E">
        <w:t xml:space="preserve">months </w:t>
      </w:r>
      <w:r>
        <w:t xml:space="preserve">preceding </w:t>
      </w:r>
      <w:r w:rsidR="00F90439">
        <w:t>the date the request is submitted.</w:t>
      </w:r>
    </w:p>
    <w:p w:rsidR="00834AA6" w:rsidRDefault="00834AA6" w:rsidP="00C16E78">
      <w:pPr>
        <w:pBdr>
          <w:top w:val="single" w:sz="4" w:space="1" w:color="auto"/>
          <w:left w:val="single" w:sz="4" w:space="4" w:color="auto"/>
          <w:bottom w:val="single" w:sz="4" w:space="1" w:color="auto"/>
          <w:right w:val="single" w:sz="4" w:space="4" w:color="auto"/>
        </w:pBdr>
        <w:bidi w:val="0"/>
        <w:jc w:val="both"/>
      </w:pPr>
      <w:r>
        <w:t>It will be possible to submit requests for deferral of payments in line with this framework begin</w:t>
      </w:r>
      <w:r w:rsidR="002C3DDC">
        <w:t>ni</w:t>
      </w:r>
      <w:r>
        <w:t>ng from the date this notice is published and until October 30, 2020.</w:t>
      </w:r>
    </w:p>
    <w:p w:rsidR="00334F62" w:rsidRDefault="00334F62" w:rsidP="00334F62">
      <w:pPr>
        <w:bidi w:val="0"/>
        <w:jc w:val="both"/>
      </w:pPr>
    </w:p>
    <w:p w:rsidR="00C16E78" w:rsidRDefault="00C16E78" w:rsidP="00334F62">
      <w:pPr>
        <w:bidi w:val="0"/>
        <w:jc w:val="both"/>
        <w:rPr>
          <w:b/>
          <w:bCs/>
        </w:rPr>
      </w:pPr>
    </w:p>
    <w:p w:rsidR="00334F62" w:rsidRPr="00C16E78" w:rsidRDefault="00334F62" w:rsidP="00C16E78">
      <w:pPr>
        <w:pBdr>
          <w:top w:val="single" w:sz="4" w:space="1" w:color="auto"/>
          <w:left w:val="single" w:sz="4" w:space="4" w:color="auto"/>
          <w:bottom w:val="single" w:sz="4" w:space="1" w:color="auto"/>
          <w:right w:val="single" w:sz="4" w:space="4" w:color="auto"/>
        </w:pBdr>
        <w:bidi w:val="0"/>
        <w:jc w:val="both"/>
        <w:rPr>
          <w:b/>
          <w:bCs/>
        </w:rPr>
      </w:pPr>
      <w:r w:rsidRPr="00C16E78">
        <w:rPr>
          <w:b/>
          <w:bCs/>
        </w:rPr>
        <w:t>Business credit—extension of period to submit a deferral request</w:t>
      </w:r>
    </w:p>
    <w:p w:rsidR="00334F62" w:rsidRDefault="00354751" w:rsidP="00817198">
      <w:pPr>
        <w:pBdr>
          <w:top w:val="single" w:sz="4" w:space="1" w:color="auto"/>
          <w:left w:val="single" w:sz="4" w:space="4" w:color="auto"/>
          <w:bottom w:val="single" w:sz="4" w:space="1" w:color="auto"/>
          <w:right w:val="single" w:sz="4" w:space="4" w:color="auto"/>
        </w:pBdr>
        <w:bidi w:val="0"/>
        <w:jc w:val="both"/>
      </w:pPr>
      <w:r w:rsidRPr="008149FB">
        <w:rPr>
          <w:u w:val="single"/>
        </w:rPr>
        <w:t xml:space="preserve">Under </w:t>
      </w:r>
      <w:r w:rsidR="00334F62" w:rsidRPr="008149FB">
        <w:rPr>
          <w:u w:val="single"/>
        </w:rPr>
        <w:t>the previous framework:</w:t>
      </w:r>
      <w:r w:rsidR="00334F62">
        <w:t xml:space="preserve"> </w:t>
      </w:r>
      <w:r w:rsidR="00817198">
        <w:t>A</w:t>
      </w:r>
      <w:r w:rsidR="00334F62">
        <w:t xml:space="preserve"> request for a deferral of business loan repayments can be submitted</w:t>
      </w:r>
      <w:r w:rsidR="003426B9">
        <w:t xml:space="preserve"> until July 31, 2020.</w:t>
      </w:r>
    </w:p>
    <w:p w:rsidR="00E02956" w:rsidRDefault="00E02956" w:rsidP="00C16E78">
      <w:pPr>
        <w:pBdr>
          <w:top w:val="single" w:sz="4" w:space="1" w:color="auto"/>
          <w:left w:val="single" w:sz="4" w:space="4" w:color="auto"/>
          <w:bottom w:val="single" w:sz="4" w:space="1" w:color="auto"/>
          <w:right w:val="single" w:sz="4" w:space="4" w:color="auto"/>
        </w:pBdr>
        <w:bidi w:val="0"/>
        <w:jc w:val="both"/>
      </w:pPr>
    </w:p>
    <w:p w:rsidR="00E02956" w:rsidRDefault="00186CF3" w:rsidP="00186CF3">
      <w:pPr>
        <w:pBdr>
          <w:top w:val="single" w:sz="4" w:space="1" w:color="auto"/>
          <w:left w:val="single" w:sz="4" w:space="4" w:color="auto"/>
          <w:bottom w:val="single" w:sz="4" w:space="1" w:color="auto"/>
          <w:right w:val="single" w:sz="4" w:space="4" w:color="auto"/>
        </w:pBdr>
        <w:bidi w:val="0"/>
        <w:jc w:val="both"/>
      </w:pPr>
      <w:r>
        <w:rPr>
          <w:b/>
          <w:bCs/>
        </w:rPr>
        <w:t>Under the e</w:t>
      </w:r>
      <w:r w:rsidR="00E02956" w:rsidRPr="00186CF3">
        <w:rPr>
          <w:b/>
          <w:bCs/>
        </w:rPr>
        <w:t>xpanded framework:</w:t>
      </w:r>
      <w:r w:rsidR="00E02956">
        <w:t xml:space="preserve"> a borrower who took business credit, and who has not yet submitted a request to defer payments, or who submitted </w:t>
      </w:r>
      <w:r w:rsidR="00A73B81">
        <w:t xml:space="preserve">a request </w:t>
      </w:r>
      <w:r w:rsidR="00E02956">
        <w:t>for a partial period, will be able to submit a request to defer payments, in accordance with this framework, until October 30, 2020.</w:t>
      </w:r>
    </w:p>
    <w:p w:rsidR="0088620C" w:rsidRDefault="0088620C" w:rsidP="0088620C">
      <w:pPr>
        <w:bidi w:val="0"/>
        <w:jc w:val="both"/>
      </w:pPr>
    </w:p>
    <w:p w:rsidR="0088620C" w:rsidRDefault="0088620C" w:rsidP="0073582B">
      <w:pPr>
        <w:bidi w:val="0"/>
        <w:jc w:val="both"/>
      </w:pPr>
      <w:r w:rsidRPr="00C16E78">
        <w:rPr>
          <w:b/>
          <w:bCs/>
        </w:rPr>
        <w:t>Deferred payments will bear an interest rate that does not exceed the interest rate set in the loan agreement and will apply to the deferral period.</w:t>
      </w:r>
      <w:r w:rsidR="00A74627">
        <w:t xml:space="preserve"> Therefore, prior to making a decision on deferring payments, it is important that the customer examine the ramifications of the deferral, including the economic price of the deferral (from the perspective of the interest cost, amount of monthly payment after the deferral, etc.) in ord</w:t>
      </w:r>
      <w:r w:rsidR="0046295F">
        <w:t>er to make an informed decision.</w:t>
      </w:r>
    </w:p>
    <w:p w:rsidR="00C9253A" w:rsidRDefault="00C9253A" w:rsidP="00C9253A">
      <w:pPr>
        <w:bidi w:val="0"/>
        <w:jc w:val="both"/>
      </w:pPr>
    </w:p>
    <w:p w:rsidR="00C9253A" w:rsidRPr="004A228B" w:rsidRDefault="00C9253A" w:rsidP="00C9253A">
      <w:pPr>
        <w:bidi w:val="0"/>
        <w:jc w:val="both"/>
        <w:rPr>
          <w:b/>
          <w:bCs/>
        </w:rPr>
      </w:pPr>
      <w:r w:rsidRPr="004A228B">
        <w:rPr>
          <w:b/>
          <w:bCs/>
        </w:rPr>
        <w:t xml:space="preserve">Updated data—deferrals carried out to date in the banking system </w:t>
      </w:r>
    </w:p>
    <w:p w:rsidR="004A228B" w:rsidRDefault="004A228B" w:rsidP="004A228B">
      <w:pPr>
        <w:bidi w:val="0"/>
        <w:jc w:val="both"/>
      </w:pPr>
    </w:p>
    <w:p w:rsidR="004A228B" w:rsidRDefault="004A228B" w:rsidP="0073582B">
      <w:pPr>
        <w:bidi w:val="0"/>
        <w:jc w:val="both"/>
      </w:pPr>
      <w:r>
        <w:t xml:space="preserve">Since the outbreak of the </w:t>
      </w:r>
      <w:r w:rsidR="00445405">
        <w:t xml:space="preserve">crisis, the banking system </w:t>
      </w:r>
      <w:r w:rsidR="0073582B">
        <w:t xml:space="preserve">has </w:t>
      </w:r>
      <w:r w:rsidR="00445405">
        <w:t>deferred loan repayments at unprecedented scopes in all activity segments, as detailed below:</w:t>
      </w:r>
    </w:p>
    <w:p w:rsidR="00445405" w:rsidRDefault="00445405" w:rsidP="00445405">
      <w:pPr>
        <w:bidi w:val="0"/>
        <w:jc w:val="both"/>
      </w:pPr>
    </w:p>
    <w:p w:rsidR="00445405" w:rsidRDefault="00445405" w:rsidP="0062237E">
      <w:pPr>
        <w:bidi w:val="0"/>
        <w:jc w:val="both"/>
      </w:pPr>
      <w:r>
        <w:t xml:space="preserve">In March–June 2020, the banking system </w:t>
      </w:r>
      <w:r w:rsidRPr="002A095D">
        <w:rPr>
          <w:b/>
          <w:bCs/>
        </w:rPr>
        <w:t>approved 553,000 requests</w:t>
      </w:r>
      <w:r>
        <w:t xml:space="preserve"> </w:t>
      </w:r>
      <w:r w:rsidR="0004437C">
        <w:t xml:space="preserve">submitted for deferring loan repayments at </w:t>
      </w:r>
      <w:r w:rsidR="0004437C" w:rsidRPr="002A095D">
        <w:rPr>
          <w:b/>
          <w:bCs/>
        </w:rPr>
        <w:t>a total amount of NIS 7 billion.</w:t>
      </w:r>
      <w:r w:rsidR="0062237E">
        <w:t xml:space="preserve"> The outstanding balance in respect of which the deferral was requested was NIS 156.6 billion, which makes up about 14.8 percent of the total banking system’s credit portfolio.</w:t>
      </w:r>
    </w:p>
    <w:p w:rsidR="00C9733D" w:rsidRDefault="00C9733D" w:rsidP="00C9733D">
      <w:pPr>
        <w:bidi w:val="0"/>
        <w:jc w:val="both"/>
      </w:pPr>
    </w:p>
    <w:p w:rsidR="00C9733D" w:rsidRDefault="00C9733D" w:rsidP="00C9733D">
      <w:pPr>
        <w:bidi w:val="0"/>
        <w:jc w:val="both"/>
        <w:rPr>
          <w:sz w:val="28"/>
          <w:szCs w:val="28"/>
        </w:rPr>
      </w:pPr>
    </w:p>
    <w:tbl>
      <w:tblPr>
        <w:tblStyle w:val="a4"/>
        <w:tblW w:w="9805" w:type="dxa"/>
        <w:tblLook w:val="04A0" w:firstRow="1" w:lastRow="0" w:firstColumn="1" w:lastColumn="0" w:noHBand="0" w:noVBand="1"/>
      </w:tblPr>
      <w:tblGrid>
        <w:gridCol w:w="2171"/>
        <w:gridCol w:w="1283"/>
        <w:gridCol w:w="1423"/>
        <w:gridCol w:w="1423"/>
        <w:gridCol w:w="1559"/>
        <w:gridCol w:w="1946"/>
      </w:tblGrid>
      <w:tr w:rsidR="00C16E78" w:rsidRPr="0056003B" w:rsidTr="00B5080D">
        <w:tc>
          <w:tcPr>
            <w:tcW w:w="9805" w:type="dxa"/>
            <w:gridSpan w:val="6"/>
            <w:shd w:val="clear" w:color="auto" w:fill="C6D9F1" w:themeFill="text2" w:themeFillTint="33"/>
          </w:tcPr>
          <w:p w:rsidR="00C16E78" w:rsidRPr="0056003B" w:rsidRDefault="00C16E78" w:rsidP="00B5080D">
            <w:pPr>
              <w:bidi w:val="0"/>
              <w:jc w:val="both"/>
              <w:rPr>
                <w:b/>
                <w:bCs/>
              </w:rPr>
            </w:pPr>
            <w:r w:rsidRPr="00C16E78">
              <w:rPr>
                <w:b/>
                <w:bCs/>
              </w:rPr>
              <w:t xml:space="preserve">Credit repayment deferrals beginning from March 1, 2020 through June 30, 2020 </w:t>
            </w:r>
            <w:r w:rsidR="00B5080D">
              <w:rPr>
                <w:b/>
                <w:bCs/>
              </w:rPr>
              <w:t xml:space="preserve"> </w:t>
            </w:r>
            <w:r w:rsidRPr="00C16E78">
              <w:rPr>
                <w:b/>
                <w:bCs/>
              </w:rPr>
              <w:t>(NIS billion)</w:t>
            </w:r>
          </w:p>
        </w:tc>
      </w:tr>
      <w:tr w:rsidR="00B5080D" w:rsidRPr="0056003B" w:rsidTr="00B5080D">
        <w:tc>
          <w:tcPr>
            <w:tcW w:w="2171" w:type="dxa"/>
          </w:tcPr>
          <w:p w:rsidR="00C9733D" w:rsidRPr="0056003B" w:rsidRDefault="00C9733D" w:rsidP="00CF5855">
            <w:pPr>
              <w:bidi w:val="0"/>
              <w:jc w:val="both"/>
            </w:pPr>
          </w:p>
        </w:tc>
        <w:tc>
          <w:tcPr>
            <w:tcW w:w="1283" w:type="dxa"/>
          </w:tcPr>
          <w:p w:rsidR="00C9733D" w:rsidRPr="0056003B" w:rsidRDefault="00C9733D" w:rsidP="00CF5855">
            <w:pPr>
              <w:bidi w:val="0"/>
              <w:jc w:val="both"/>
              <w:rPr>
                <w:b/>
                <w:bCs/>
              </w:rPr>
            </w:pPr>
            <w:r w:rsidRPr="0056003B">
              <w:rPr>
                <w:b/>
                <w:bCs/>
              </w:rPr>
              <w:t>Consumer</w:t>
            </w:r>
          </w:p>
        </w:tc>
        <w:tc>
          <w:tcPr>
            <w:tcW w:w="1423" w:type="dxa"/>
          </w:tcPr>
          <w:p w:rsidR="00C9733D" w:rsidRPr="0056003B" w:rsidRDefault="00C9733D" w:rsidP="00CF5855">
            <w:pPr>
              <w:bidi w:val="0"/>
              <w:jc w:val="both"/>
              <w:rPr>
                <w:b/>
                <w:bCs/>
              </w:rPr>
            </w:pPr>
            <w:r w:rsidRPr="0056003B">
              <w:rPr>
                <w:b/>
                <w:bCs/>
              </w:rPr>
              <w:t>Housing</w:t>
            </w:r>
          </w:p>
        </w:tc>
        <w:tc>
          <w:tcPr>
            <w:tcW w:w="1423" w:type="dxa"/>
          </w:tcPr>
          <w:p w:rsidR="00C9733D" w:rsidRPr="0056003B" w:rsidRDefault="00C9733D" w:rsidP="00CF5855">
            <w:pPr>
              <w:bidi w:val="0"/>
              <w:jc w:val="both"/>
              <w:rPr>
                <w:b/>
                <w:bCs/>
              </w:rPr>
            </w:pPr>
            <w:r w:rsidRPr="0056003B">
              <w:rPr>
                <w:b/>
                <w:bCs/>
              </w:rPr>
              <w:t>Small business</w:t>
            </w:r>
          </w:p>
        </w:tc>
        <w:tc>
          <w:tcPr>
            <w:tcW w:w="1559" w:type="dxa"/>
          </w:tcPr>
          <w:p w:rsidR="00C9733D" w:rsidRPr="008149FB" w:rsidRDefault="00C9733D" w:rsidP="00CF5855">
            <w:pPr>
              <w:bidi w:val="0"/>
              <w:jc w:val="both"/>
              <w:rPr>
                <w:b/>
                <w:bCs/>
              </w:rPr>
            </w:pPr>
            <w:r w:rsidRPr="008149FB">
              <w:rPr>
                <w:b/>
                <w:bCs/>
              </w:rPr>
              <w:t>Business</w:t>
            </w:r>
          </w:p>
          <w:p w:rsidR="00C9733D" w:rsidRPr="0056003B" w:rsidRDefault="00C9733D" w:rsidP="00CF5855">
            <w:pPr>
              <w:bidi w:val="0"/>
              <w:jc w:val="both"/>
              <w:rPr>
                <w:b/>
                <w:bCs/>
              </w:rPr>
            </w:pPr>
            <w:r w:rsidRPr="008149FB">
              <w:rPr>
                <w:b/>
                <w:bCs/>
              </w:rPr>
              <w:t>Commercial</w:t>
            </w:r>
          </w:p>
        </w:tc>
        <w:tc>
          <w:tcPr>
            <w:tcW w:w="1946" w:type="dxa"/>
          </w:tcPr>
          <w:p w:rsidR="00C9733D" w:rsidRPr="0056003B" w:rsidRDefault="00C9733D" w:rsidP="00CF5855">
            <w:pPr>
              <w:bidi w:val="0"/>
              <w:jc w:val="both"/>
              <w:rPr>
                <w:b/>
                <w:bCs/>
              </w:rPr>
            </w:pPr>
            <w:r w:rsidRPr="0056003B">
              <w:rPr>
                <w:b/>
                <w:bCs/>
              </w:rPr>
              <w:t>Total</w:t>
            </w:r>
          </w:p>
        </w:tc>
      </w:tr>
      <w:tr w:rsidR="00B5080D" w:rsidRPr="0056003B" w:rsidTr="00B5080D">
        <w:tc>
          <w:tcPr>
            <w:tcW w:w="2171" w:type="dxa"/>
          </w:tcPr>
          <w:p w:rsidR="00C9733D" w:rsidRPr="0056003B" w:rsidRDefault="00C9733D" w:rsidP="00CF5855">
            <w:pPr>
              <w:bidi w:val="0"/>
              <w:jc w:val="both"/>
            </w:pPr>
            <w:r w:rsidRPr="0056003B">
              <w:t>Number of customers for whom there was a deferral</w:t>
            </w:r>
          </w:p>
        </w:tc>
        <w:tc>
          <w:tcPr>
            <w:tcW w:w="1283" w:type="dxa"/>
          </w:tcPr>
          <w:p w:rsidR="00C9733D" w:rsidRPr="0056003B" w:rsidRDefault="0069176C" w:rsidP="00CF5855">
            <w:pPr>
              <w:bidi w:val="0"/>
              <w:jc w:val="both"/>
            </w:pPr>
            <w:r>
              <w:t>277</w:t>
            </w:r>
            <w:r w:rsidR="00250046">
              <w:t>,</w:t>
            </w:r>
            <w:r>
              <w:t>634</w:t>
            </w:r>
          </w:p>
        </w:tc>
        <w:tc>
          <w:tcPr>
            <w:tcW w:w="1423" w:type="dxa"/>
          </w:tcPr>
          <w:p w:rsidR="00C9733D" w:rsidRPr="0056003B" w:rsidRDefault="0069176C" w:rsidP="00CF5855">
            <w:pPr>
              <w:bidi w:val="0"/>
              <w:jc w:val="both"/>
            </w:pPr>
            <w:r>
              <w:t>144</w:t>
            </w:r>
            <w:r w:rsidR="00250046">
              <w:t>,</w:t>
            </w:r>
            <w:r>
              <w:t>562</w:t>
            </w:r>
          </w:p>
        </w:tc>
        <w:tc>
          <w:tcPr>
            <w:tcW w:w="1423" w:type="dxa"/>
          </w:tcPr>
          <w:p w:rsidR="00C9733D" w:rsidRPr="0056003B" w:rsidRDefault="0069176C" w:rsidP="00CF5855">
            <w:pPr>
              <w:bidi w:val="0"/>
              <w:jc w:val="both"/>
            </w:pPr>
            <w:r>
              <w:t>124</w:t>
            </w:r>
            <w:r w:rsidR="00250046">
              <w:t>,</w:t>
            </w:r>
            <w:r>
              <w:t>952</w:t>
            </w:r>
          </w:p>
        </w:tc>
        <w:tc>
          <w:tcPr>
            <w:tcW w:w="1559" w:type="dxa"/>
          </w:tcPr>
          <w:p w:rsidR="00C9733D" w:rsidRPr="0056003B" w:rsidRDefault="0069176C" w:rsidP="00CF5855">
            <w:pPr>
              <w:bidi w:val="0"/>
              <w:jc w:val="both"/>
            </w:pPr>
            <w:r>
              <w:t>5</w:t>
            </w:r>
            <w:r w:rsidR="00250046">
              <w:t>,</w:t>
            </w:r>
            <w:r>
              <w:t>798</w:t>
            </w:r>
          </w:p>
        </w:tc>
        <w:tc>
          <w:tcPr>
            <w:tcW w:w="1946" w:type="dxa"/>
          </w:tcPr>
          <w:p w:rsidR="00C9733D" w:rsidRPr="008149FB" w:rsidRDefault="0069176C" w:rsidP="00CF5855">
            <w:pPr>
              <w:bidi w:val="0"/>
              <w:jc w:val="both"/>
            </w:pPr>
            <w:r w:rsidRPr="008149FB">
              <w:t>552</w:t>
            </w:r>
            <w:r w:rsidR="00250046" w:rsidRPr="008149FB">
              <w:t>,</w:t>
            </w:r>
            <w:r w:rsidRPr="008149FB">
              <w:t>946</w:t>
            </w:r>
          </w:p>
        </w:tc>
      </w:tr>
      <w:tr w:rsidR="00B5080D" w:rsidRPr="0056003B" w:rsidTr="00B5080D">
        <w:tc>
          <w:tcPr>
            <w:tcW w:w="2171" w:type="dxa"/>
          </w:tcPr>
          <w:p w:rsidR="00C9733D" w:rsidRPr="0056003B" w:rsidRDefault="00C9733D" w:rsidP="00CF5855">
            <w:pPr>
              <w:bidi w:val="0"/>
              <w:jc w:val="both"/>
            </w:pPr>
            <w:r w:rsidRPr="0056003B">
              <w:t>Balance of payments actually deferred</w:t>
            </w:r>
          </w:p>
        </w:tc>
        <w:tc>
          <w:tcPr>
            <w:tcW w:w="1283" w:type="dxa"/>
          </w:tcPr>
          <w:p w:rsidR="00C9733D" w:rsidRPr="0056003B" w:rsidRDefault="0069176C" w:rsidP="00CF5855">
            <w:pPr>
              <w:bidi w:val="0"/>
              <w:jc w:val="both"/>
            </w:pPr>
            <w:r>
              <w:t>1.1</w:t>
            </w:r>
          </w:p>
        </w:tc>
        <w:tc>
          <w:tcPr>
            <w:tcW w:w="1423" w:type="dxa"/>
          </w:tcPr>
          <w:p w:rsidR="00C9733D" w:rsidRPr="0056003B" w:rsidRDefault="0069176C" w:rsidP="00CF5855">
            <w:pPr>
              <w:bidi w:val="0"/>
              <w:jc w:val="both"/>
            </w:pPr>
            <w:r>
              <w:t>2</w:t>
            </w:r>
          </w:p>
        </w:tc>
        <w:tc>
          <w:tcPr>
            <w:tcW w:w="1423" w:type="dxa"/>
          </w:tcPr>
          <w:p w:rsidR="00C9733D" w:rsidRPr="0056003B" w:rsidRDefault="0069176C" w:rsidP="00CF5855">
            <w:pPr>
              <w:bidi w:val="0"/>
              <w:jc w:val="both"/>
            </w:pPr>
            <w:r>
              <w:t>2.4</w:t>
            </w:r>
          </w:p>
        </w:tc>
        <w:tc>
          <w:tcPr>
            <w:tcW w:w="1559" w:type="dxa"/>
          </w:tcPr>
          <w:p w:rsidR="00C9733D" w:rsidRPr="0056003B" w:rsidRDefault="0069176C" w:rsidP="00CF5855">
            <w:pPr>
              <w:bidi w:val="0"/>
              <w:jc w:val="both"/>
            </w:pPr>
            <w:r>
              <w:t>1.5</w:t>
            </w:r>
          </w:p>
        </w:tc>
        <w:tc>
          <w:tcPr>
            <w:tcW w:w="1946" w:type="dxa"/>
          </w:tcPr>
          <w:p w:rsidR="00C9733D" w:rsidRPr="0056003B" w:rsidRDefault="0069176C" w:rsidP="00CF5855">
            <w:pPr>
              <w:bidi w:val="0"/>
              <w:jc w:val="both"/>
            </w:pPr>
            <w:r>
              <w:t>7</w:t>
            </w:r>
          </w:p>
        </w:tc>
      </w:tr>
      <w:tr w:rsidR="00B5080D" w:rsidRPr="0056003B" w:rsidTr="00B5080D">
        <w:tc>
          <w:tcPr>
            <w:tcW w:w="2171" w:type="dxa"/>
          </w:tcPr>
          <w:p w:rsidR="00C9733D" w:rsidRPr="0056003B" w:rsidRDefault="00C9733D" w:rsidP="00CF5855">
            <w:pPr>
              <w:bidi w:val="0"/>
              <w:jc w:val="both"/>
            </w:pPr>
            <w:r w:rsidRPr="0056003B">
              <w:t>Balance of credit in respect of which the payments were deferred</w:t>
            </w:r>
          </w:p>
        </w:tc>
        <w:tc>
          <w:tcPr>
            <w:tcW w:w="1283" w:type="dxa"/>
          </w:tcPr>
          <w:p w:rsidR="00C9733D" w:rsidRPr="0056003B" w:rsidRDefault="0069176C" w:rsidP="00CF5855">
            <w:pPr>
              <w:bidi w:val="0"/>
              <w:jc w:val="both"/>
            </w:pPr>
            <w:r>
              <w:t>12.9</w:t>
            </w:r>
          </w:p>
        </w:tc>
        <w:tc>
          <w:tcPr>
            <w:tcW w:w="1423" w:type="dxa"/>
          </w:tcPr>
          <w:p w:rsidR="00C9733D" w:rsidRPr="0056003B" w:rsidRDefault="0069176C" w:rsidP="00CF5855">
            <w:pPr>
              <w:bidi w:val="0"/>
              <w:jc w:val="both"/>
            </w:pPr>
            <w:r>
              <w:t>98.3</w:t>
            </w:r>
          </w:p>
        </w:tc>
        <w:tc>
          <w:tcPr>
            <w:tcW w:w="1423" w:type="dxa"/>
          </w:tcPr>
          <w:p w:rsidR="00C9733D" w:rsidRPr="0056003B" w:rsidRDefault="0069176C" w:rsidP="00CF5855">
            <w:pPr>
              <w:bidi w:val="0"/>
              <w:jc w:val="both"/>
            </w:pPr>
            <w:r>
              <w:t>21.4</w:t>
            </w:r>
          </w:p>
        </w:tc>
        <w:tc>
          <w:tcPr>
            <w:tcW w:w="1559" w:type="dxa"/>
          </w:tcPr>
          <w:p w:rsidR="00C9733D" w:rsidRPr="0056003B" w:rsidRDefault="0069176C" w:rsidP="00CF5855">
            <w:pPr>
              <w:bidi w:val="0"/>
              <w:jc w:val="both"/>
            </w:pPr>
            <w:r>
              <w:t>24</w:t>
            </w:r>
          </w:p>
        </w:tc>
        <w:tc>
          <w:tcPr>
            <w:tcW w:w="1946" w:type="dxa"/>
          </w:tcPr>
          <w:p w:rsidR="00C9733D" w:rsidRPr="0056003B" w:rsidRDefault="0069176C" w:rsidP="00CF5855">
            <w:pPr>
              <w:bidi w:val="0"/>
              <w:jc w:val="both"/>
            </w:pPr>
            <w:r>
              <w:t>156.6</w:t>
            </w:r>
          </w:p>
        </w:tc>
      </w:tr>
      <w:tr w:rsidR="00B5080D" w:rsidRPr="0056003B" w:rsidTr="00B5080D">
        <w:tc>
          <w:tcPr>
            <w:tcW w:w="2171" w:type="dxa"/>
          </w:tcPr>
          <w:p w:rsidR="00C9733D" w:rsidRPr="0056003B" w:rsidRDefault="00C9733D" w:rsidP="00CF5855">
            <w:pPr>
              <w:bidi w:val="0"/>
              <w:jc w:val="both"/>
            </w:pPr>
            <w:r w:rsidRPr="0056003B">
              <w:t>Share of total credit portfolio</w:t>
            </w:r>
          </w:p>
        </w:tc>
        <w:tc>
          <w:tcPr>
            <w:tcW w:w="1283" w:type="dxa"/>
          </w:tcPr>
          <w:p w:rsidR="00C9733D" w:rsidRPr="0056003B" w:rsidRDefault="0069176C" w:rsidP="0069176C">
            <w:pPr>
              <w:bidi w:val="0"/>
              <w:jc w:val="both"/>
            </w:pPr>
            <w:r>
              <w:t>8.8</w:t>
            </w:r>
            <w:r w:rsidR="00C9733D" w:rsidRPr="0056003B">
              <w:t>%</w:t>
            </w:r>
          </w:p>
        </w:tc>
        <w:tc>
          <w:tcPr>
            <w:tcW w:w="1423" w:type="dxa"/>
          </w:tcPr>
          <w:p w:rsidR="00C9733D" w:rsidRPr="0056003B" w:rsidRDefault="0069176C" w:rsidP="0069176C">
            <w:pPr>
              <w:bidi w:val="0"/>
              <w:jc w:val="both"/>
            </w:pPr>
            <w:r>
              <w:t>24.1%</w:t>
            </w:r>
          </w:p>
        </w:tc>
        <w:tc>
          <w:tcPr>
            <w:tcW w:w="1423" w:type="dxa"/>
          </w:tcPr>
          <w:p w:rsidR="00C9733D" w:rsidRPr="0056003B" w:rsidRDefault="0069176C" w:rsidP="0069176C">
            <w:pPr>
              <w:bidi w:val="0"/>
              <w:jc w:val="both"/>
            </w:pPr>
            <w:r>
              <w:t>19.7%</w:t>
            </w:r>
          </w:p>
        </w:tc>
        <w:tc>
          <w:tcPr>
            <w:tcW w:w="1559" w:type="dxa"/>
          </w:tcPr>
          <w:p w:rsidR="00C9733D" w:rsidRPr="0056003B" w:rsidRDefault="0069176C" w:rsidP="00CF5855">
            <w:pPr>
              <w:bidi w:val="0"/>
              <w:jc w:val="both"/>
            </w:pPr>
            <w:r>
              <w:t>6.1%</w:t>
            </w:r>
          </w:p>
        </w:tc>
        <w:tc>
          <w:tcPr>
            <w:tcW w:w="1946" w:type="dxa"/>
          </w:tcPr>
          <w:p w:rsidR="00C9733D" w:rsidRPr="00250046" w:rsidRDefault="0069176C" w:rsidP="00CF5855">
            <w:pPr>
              <w:bidi w:val="0"/>
              <w:jc w:val="both"/>
            </w:pPr>
            <w:r w:rsidRPr="00250046">
              <w:t>14.8%</w:t>
            </w:r>
          </w:p>
        </w:tc>
      </w:tr>
    </w:tbl>
    <w:p w:rsidR="00C9733D" w:rsidRDefault="00C9733D" w:rsidP="00C9733D">
      <w:pPr>
        <w:bidi w:val="0"/>
        <w:jc w:val="both"/>
        <w:rPr>
          <w:sz w:val="28"/>
          <w:szCs w:val="28"/>
        </w:rPr>
      </w:pPr>
      <w:r>
        <w:rPr>
          <w:sz w:val="28"/>
          <w:szCs w:val="28"/>
        </w:rPr>
        <w:t xml:space="preserve"> </w:t>
      </w:r>
    </w:p>
    <w:p w:rsidR="003F5983" w:rsidRDefault="003F5983" w:rsidP="003F5983">
      <w:pPr>
        <w:bidi w:val="0"/>
        <w:jc w:val="both"/>
      </w:pPr>
    </w:p>
    <w:p w:rsidR="00255E7C" w:rsidRPr="003327C6" w:rsidRDefault="00255E7C" w:rsidP="00255E7C">
      <w:pPr>
        <w:bidi w:val="0"/>
        <w:jc w:val="both"/>
      </w:pPr>
    </w:p>
    <w:p w:rsidR="00B94459" w:rsidRDefault="00B94459">
      <w:pPr>
        <w:bidi w:val="0"/>
        <w:spacing w:after="200" w:line="276" w:lineRule="auto"/>
        <w:rPr>
          <w:b/>
          <w:bCs/>
        </w:rPr>
      </w:pPr>
      <w:r>
        <w:rPr>
          <w:b/>
          <w:bCs/>
        </w:rPr>
        <w:br w:type="page"/>
      </w:r>
    </w:p>
    <w:p w:rsidR="00255E7C" w:rsidRPr="003327C6" w:rsidRDefault="00816A80" w:rsidP="00205449">
      <w:pPr>
        <w:bidi w:val="0"/>
        <w:jc w:val="both"/>
        <w:rPr>
          <w:b/>
          <w:bCs/>
        </w:rPr>
      </w:pPr>
      <w:r>
        <w:rPr>
          <w:b/>
          <w:bCs/>
        </w:rPr>
        <w:lastRenderedPageBreak/>
        <w:t>Appendix A</w:t>
      </w:r>
      <w:r w:rsidR="00255E7C" w:rsidRPr="003327C6">
        <w:rPr>
          <w:b/>
          <w:bCs/>
        </w:rPr>
        <w:t xml:space="preserve">: The </w:t>
      </w:r>
      <w:r w:rsidR="00205449">
        <w:rPr>
          <w:b/>
          <w:bCs/>
        </w:rPr>
        <w:t xml:space="preserve">expanded </w:t>
      </w:r>
      <w:r w:rsidR="00255E7C" w:rsidRPr="003327C6">
        <w:rPr>
          <w:b/>
          <w:bCs/>
        </w:rPr>
        <w:t xml:space="preserve">framework </w:t>
      </w:r>
      <w:r w:rsidR="00205449">
        <w:rPr>
          <w:b/>
          <w:bCs/>
        </w:rPr>
        <w:t>vs. the previous framework</w:t>
      </w:r>
    </w:p>
    <w:p w:rsidR="00890B7F" w:rsidRDefault="00890B7F" w:rsidP="00890B7F">
      <w:pPr>
        <w:bidi w:val="0"/>
        <w:jc w:val="both"/>
        <w:rPr>
          <w:sz w:val="28"/>
          <w:szCs w:val="28"/>
        </w:rPr>
      </w:pPr>
    </w:p>
    <w:tbl>
      <w:tblPr>
        <w:tblStyle w:val="a4"/>
        <w:tblW w:w="5805" w:type="pct"/>
        <w:tblInd w:w="-635" w:type="dxa"/>
        <w:tblLayout w:type="fixed"/>
        <w:tblLook w:val="04A0" w:firstRow="1" w:lastRow="0" w:firstColumn="1" w:lastColumn="0" w:noHBand="0" w:noVBand="1"/>
      </w:tblPr>
      <w:tblGrid>
        <w:gridCol w:w="1146"/>
        <w:gridCol w:w="1125"/>
        <w:gridCol w:w="1780"/>
        <w:gridCol w:w="2464"/>
        <w:gridCol w:w="1040"/>
        <w:gridCol w:w="1179"/>
        <w:gridCol w:w="1079"/>
        <w:gridCol w:w="1042"/>
      </w:tblGrid>
      <w:tr w:rsidR="00324FDF" w:rsidRPr="00F94308" w:rsidTr="00D33E01">
        <w:trPr>
          <w:tblHeader/>
        </w:trPr>
        <w:tc>
          <w:tcPr>
            <w:tcW w:w="528" w:type="pct"/>
            <w:shd w:val="clear" w:color="auto" w:fill="C6D9F1" w:themeFill="text2" w:themeFillTint="33"/>
          </w:tcPr>
          <w:p w:rsidR="00623EF7" w:rsidRPr="00F94308" w:rsidRDefault="00623EF7" w:rsidP="00623EF7">
            <w:pPr>
              <w:bidi w:val="0"/>
              <w:jc w:val="both"/>
              <w:rPr>
                <w:sz w:val="18"/>
                <w:szCs w:val="18"/>
              </w:rPr>
            </w:pPr>
          </w:p>
        </w:tc>
        <w:tc>
          <w:tcPr>
            <w:tcW w:w="518" w:type="pct"/>
            <w:shd w:val="clear" w:color="auto" w:fill="C6D9F1" w:themeFill="text2" w:themeFillTint="33"/>
          </w:tcPr>
          <w:p w:rsidR="00623EF7" w:rsidRPr="00F94308" w:rsidRDefault="00623EF7" w:rsidP="00623EF7">
            <w:pPr>
              <w:bidi w:val="0"/>
              <w:rPr>
                <w:b/>
                <w:bCs/>
                <w:sz w:val="18"/>
                <w:szCs w:val="18"/>
              </w:rPr>
            </w:pPr>
            <w:r w:rsidRPr="00F94308">
              <w:rPr>
                <w:b/>
                <w:bCs/>
                <w:sz w:val="18"/>
                <w:szCs w:val="18"/>
              </w:rPr>
              <w:t>Type of framework</w:t>
            </w:r>
          </w:p>
        </w:tc>
        <w:tc>
          <w:tcPr>
            <w:tcW w:w="820" w:type="pct"/>
            <w:shd w:val="clear" w:color="auto" w:fill="C6D9F1" w:themeFill="text2" w:themeFillTint="33"/>
          </w:tcPr>
          <w:p w:rsidR="00623EF7" w:rsidRPr="00F94308" w:rsidRDefault="00623EF7" w:rsidP="00623EF7">
            <w:pPr>
              <w:bidi w:val="0"/>
              <w:rPr>
                <w:b/>
                <w:bCs/>
                <w:sz w:val="18"/>
                <w:szCs w:val="18"/>
              </w:rPr>
            </w:pPr>
            <w:r w:rsidRPr="00F94308">
              <w:rPr>
                <w:b/>
                <w:bCs/>
                <w:sz w:val="18"/>
                <w:szCs w:val="18"/>
              </w:rPr>
              <w:t>Customer group</w:t>
            </w:r>
          </w:p>
        </w:tc>
        <w:tc>
          <w:tcPr>
            <w:tcW w:w="1135" w:type="pct"/>
            <w:shd w:val="clear" w:color="auto" w:fill="C6D9F1" w:themeFill="text2" w:themeFillTint="33"/>
          </w:tcPr>
          <w:p w:rsidR="00623EF7" w:rsidRPr="00F94308" w:rsidRDefault="00623EF7" w:rsidP="00623EF7">
            <w:pPr>
              <w:bidi w:val="0"/>
              <w:rPr>
                <w:b/>
                <w:bCs/>
                <w:sz w:val="18"/>
                <w:szCs w:val="18"/>
              </w:rPr>
            </w:pPr>
            <w:r w:rsidRPr="00F94308">
              <w:rPr>
                <w:b/>
                <w:bCs/>
                <w:sz w:val="18"/>
                <w:szCs w:val="18"/>
              </w:rPr>
              <w:t>Deferral period</w:t>
            </w:r>
          </w:p>
        </w:tc>
        <w:tc>
          <w:tcPr>
            <w:tcW w:w="479" w:type="pct"/>
            <w:shd w:val="clear" w:color="auto" w:fill="C6D9F1" w:themeFill="text2" w:themeFillTint="33"/>
          </w:tcPr>
          <w:p w:rsidR="00623EF7" w:rsidRPr="00F94308" w:rsidRDefault="00623EF7" w:rsidP="00623EF7">
            <w:pPr>
              <w:bidi w:val="0"/>
              <w:rPr>
                <w:b/>
                <w:bCs/>
                <w:sz w:val="18"/>
                <w:szCs w:val="18"/>
              </w:rPr>
            </w:pPr>
            <w:r w:rsidRPr="00F94308">
              <w:rPr>
                <w:b/>
                <w:bCs/>
                <w:sz w:val="18"/>
                <w:szCs w:val="18"/>
              </w:rPr>
              <w:t>Last date to submit deferral request</w:t>
            </w:r>
          </w:p>
        </w:tc>
        <w:tc>
          <w:tcPr>
            <w:tcW w:w="543" w:type="pct"/>
            <w:shd w:val="clear" w:color="auto" w:fill="C6D9F1" w:themeFill="text2" w:themeFillTint="33"/>
          </w:tcPr>
          <w:p w:rsidR="00623EF7" w:rsidRPr="00F94308" w:rsidRDefault="00623EF7" w:rsidP="00623EF7">
            <w:pPr>
              <w:bidi w:val="0"/>
              <w:rPr>
                <w:b/>
                <w:bCs/>
                <w:sz w:val="18"/>
                <w:szCs w:val="18"/>
              </w:rPr>
            </w:pPr>
            <w:r w:rsidRPr="00F94308">
              <w:rPr>
                <w:b/>
                <w:bCs/>
                <w:sz w:val="18"/>
                <w:szCs w:val="18"/>
              </w:rPr>
              <w:t>How payments are spread out</w:t>
            </w:r>
          </w:p>
        </w:tc>
        <w:tc>
          <w:tcPr>
            <w:tcW w:w="497" w:type="pct"/>
            <w:shd w:val="clear" w:color="auto" w:fill="C6D9F1" w:themeFill="text2" w:themeFillTint="33"/>
          </w:tcPr>
          <w:p w:rsidR="00623EF7" w:rsidRPr="00F94308" w:rsidRDefault="00623EF7" w:rsidP="00623EF7">
            <w:pPr>
              <w:bidi w:val="0"/>
              <w:rPr>
                <w:b/>
                <w:bCs/>
                <w:sz w:val="18"/>
                <w:szCs w:val="18"/>
              </w:rPr>
            </w:pPr>
            <w:r w:rsidRPr="00F94308">
              <w:rPr>
                <w:b/>
                <w:bCs/>
                <w:sz w:val="18"/>
                <w:szCs w:val="18"/>
              </w:rPr>
              <w:t>Maximum interest rate</w:t>
            </w:r>
          </w:p>
        </w:tc>
        <w:tc>
          <w:tcPr>
            <w:tcW w:w="480" w:type="pct"/>
            <w:shd w:val="clear" w:color="auto" w:fill="C6D9F1" w:themeFill="text2" w:themeFillTint="33"/>
          </w:tcPr>
          <w:p w:rsidR="00623EF7" w:rsidRPr="00F94308" w:rsidRDefault="00623EF7" w:rsidP="00623EF7">
            <w:pPr>
              <w:bidi w:val="0"/>
              <w:rPr>
                <w:b/>
                <w:bCs/>
                <w:sz w:val="18"/>
                <w:szCs w:val="18"/>
              </w:rPr>
            </w:pPr>
            <w:r w:rsidRPr="00F94308">
              <w:rPr>
                <w:b/>
                <w:bCs/>
                <w:sz w:val="18"/>
                <w:szCs w:val="18"/>
              </w:rPr>
              <w:t>Fee charged</w:t>
            </w:r>
          </w:p>
        </w:tc>
      </w:tr>
      <w:tr w:rsidR="00D33E01" w:rsidRPr="00F94308" w:rsidTr="00D33E01">
        <w:tc>
          <w:tcPr>
            <w:tcW w:w="528" w:type="pct"/>
            <w:vMerge w:val="restart"/>
            <w:vAlign w:val="center"/>
          </w:tcPr>
          <w:p w:rsidR="00D33E01" w:rsidRPr="00F94308" w:rsidRDefault="00D33E01" w:rsidP="00836F18">
            <w:pPr>
              <w:bidi w:val="0"/>
              <w:jc w:val="center"/>
              <w:rPr>
                <w:b/>
                <w:bCs/>
                <w:sz w:val="18"/>
                <w:szCs w:val="18"/>
              </w:rPr>
            </w:pPr>
            <w:r w:rsidRPr="00F94308">
              <w:rPr>
                <w:b/>
                <w:bCs/>
                <w:sz w:val="18"/>
                <w:szCs w:val="18"/>
              </w:rPr>
              <w:t>Mortgages</w:t>
            </w:r>
          </w:p>
        </w:tc>
        <w:tc>
          <w:tcPr>
            <w:tcW w:w="518" w:type="pct"/>
          </w:tcPr>
          <w:p w:rsidR="00D33E01" w:rsidRPr="00F94308" w:rsidRDefault="00D33E01" w:rsidP="00623EF7">
            <w:pPr>
              <w:bidi w:val="0"/>
              <w:jc w:val="both"/>
              <w:rPr>
                <w:sz w:val="18"/>
                <w:szCs w:val="18"/>
              </w:rPr>
            </w:pPr>
            <w:r w:rsidRPr="00F94308">
              <w:rPr>
                <w:sz w:val="18"/>
                <w:szCs w:val="18"/>
              </w:rPr>
              <w:t>Previous framework</w:t>
            </w:r>
          </w:p>
        </w:tc>
        <w:tc>
          <w:tcPr>
            <w:tcW w:w="820" w:type="pct"/>
            <w:vMerge w:val="restart"/>
          </w:tcPr>
          <w:p w:rsidR="00D33E01" w:rsidRPr="00F94308" w:rsidRDefault="00D33E01" w:rsidP="00623EF7">
            <w:pPr>
              <w:bidi w:val="0"/>
              <w:jc w:val="both"/>
              <w:rPr>
                <w:sz w:val="18"/>
                <w:szCs w:val="18"/>
              </w:rPr>
            </w:pPr>
            <w:r w:rsidRPr="00F94308">
              <w:rPr>
                <w:sz w:val="18"/>
                <w:szCs w:val="18"/>
              </w:rPr>
              <w:t>All borrowers*</w:t>
            </w:r>
          </w:p>
        </w:tc>
        <w:tc>
          <w:tcPr>
            <w:tcW w:w="1135" w:type="pct"/>
          </w:tcPr>
          <w:p w:rsidR="00D33E01" w:rsidRPr="00F94308" w:rsidRDefault="00D33E01" w:rsidP="00623EF7">
            <w:pPr>
              <w:bidi w:val="0"/>
              <w:jc w:val="both"/>
              <w:rPr>
                <w:sz w:val="18"/>
                <w:szCs w:val="18"/>
              </w:rPr>
            </w:pPr>
            <w:r w:rsidRPr="00F94308">
              <w:rPr>
                <w:sz w:val="18"/>
                <w:szCs w:val="18"/>
              </w:rPr>
              <w:t>6 months</w:t>
            </w:r>
          </w:p>
        </w:tc>
        <w:tc>
          <w:tcPr>
            <w:tcW w:w="479" w:type="pct"/>
          </w:tcPr>
          <w:p w:rsidR="00D33E01" w:rsidRPr="00F94308" w:rsidRDefault="00D33E01" w:rsidP="00623EF7">
            <w:pPr>
              <w:bidi w:val="0"/>
              <w:jc w:val="both"/>
              <w:rPr>
                <w:sz w:val="18"/>
                <w:szCs w:val="18"/>
              </w:rPr>
            </w:pPr>
            <w:r>
              <w:rPr>
                <w:sz w:val="18"/>
                <w:szCs w:val="18"/>
              </w:rPr>
              <w:t>July 31, 2020</w:t>
            </w:r>
          </w:p>
        </w:tc>
        <w:tc>
          <w:tcPr>
            <w:tcW w:w="543" w:type="pct"/>
            <w:vMerge w:val="restart"/>
            <w:vAlign w:val="center"/>
          </w:tcPr>
          <w:p w:rsidR="00D33E01" w:rsidRPr="00F94308" w:rsidRDefault="00D33E01" w:rsidP="00D33E01">
            <w:pPr>
              <w:bidi w:val="0"/>
              <w:jc w:val="center"/>
              <w:rPr>
                <w:sz w:val="18"/>
                <w:szCs w:val="18"/>
              </w:rPr>
            </w:pPr>
            <w:r w:rsidRPr="00F94308">
              <w:rPr>
                <w:sz w:val="18"/>
                <w:szCs w:val="18"/>
              </w:rPr>
              <w:t>Distributed over the loan period</w:t>
            </w:r>
          </w:p>
        </w:tc>
        <w:tc>
          <w:tcPr>
            <w:tcW w:w="497" w:type="pct"/>
            <w:vMerge w:val="restart"/>
            <w:vAlign w:val="center"/>
          </w:tcPr>
          <w:p w:rsidR="00D33E01" w:rsidRPr="00F94308" w:rsidRDefault="00D33E01" w:rsidP="00B94459">
            <w:pPr>
              <w:bidi w:val="0"/>
              <w:jc w:val="center"/>
              <w:rPr>
                <w:sz w:val="18"/>
                <w:szCs w:val="18"/>
              </w:rPr>
            </w:pPr>
            <w:r w:rsidRPr="00F94308">
              <w:rPr>
                <w:sz w:val="18"/>
                <w:szCs w:val="18"/>
              </w:rPr>
              <w:t>The contracted interest rate</w:t>
            </w:r>
          </w:p>
          <w:p w:rsidR="00D33E01" w:rsidRPr="00F94308" w:rsidRDefault="00D33E01" w:rsidP="00B94459">
            <w:pPr>
              <w:bidi w:val="0"/>
              <w:jc w:val="center"/>
              <w:rPr>
                <w:sz w:val="18"/>
                <w:szCs w:val="18"/>
              </w:rPr>
            </w:pPr>
          </w:p>
        </w:tc>
        <w:tc>
          <w:tcPr>
            <w:tcW w:w="480" w:type="pct"/>
            <w:vMerge w:val="restart"/>
            <w:vAlign w:val="center"/>
          </w:tcPr>
          <w:p w:rsidR="00D33E01" w:rsidRPr="00F94308" w:rsidRDefault="00D33E01" w:rsidP="00B94459">
            <w:pPr>
              <w:bidi w:val="0"/>
              <w:jc w:val="center"/>
              <w:rPr>
                <w:sz w:val="18"/>
                <w:szCs w:val="18"/>
              </w:rPr>
            </w:pPr>
            <w:r w:rsidRPr="00F94308">
              <w:rPr>
                <w:sz w:val="18"/>
                <w:szCs w:val="18"/>
              </w:rPr>
              <w:t>The deferral will be carried out without any fee incurred</w:t>
            </w:r>
          </w:p>
        </w:tc>
      </w:tr>
      <w:tr w:rsidR="00D33E01" w:rsidRPr="00F94308" w:rsidTr="00D33E01">
        <w:tc>
          <w:tcPr>
            <w:tcW w:w="528" w:type="pct"/>
            <w:vMerge/>
          </w:tcPr>
          <w:p w:rsidR="00D33E01" w:rsidRPr="00F94308" w:rsidRDefault="00D33E01" w:rsidP="00623EF7">
            <w:pPr>
              <w:bidi w:val="0"/>
              <w:jc w:val="both"/>
              <w:rPr>
                <w:b/>
                <w:bCs/>
                <w:sz w:val="18"/>
                <w:szCs w:val="18"/>
              </w:rPr>
            </w:pPr>
          </w:p>
        </w:tc>
        <w:tc>
          <w:tcPr>
            <w:tcW w:w="518" w:type="pct"/>
          </w:tcPr>
          <w:p w:rsidR="00D33E01" w:rsidRPr="00F94308" w:rsidRDefault="00D33E01" w:rsidP="00623EF7">
            <w:pPr>
              <w:bidi w:val="0"/>
              <w:jc w:val="both"/>
              <w:rPr>
                <w:sz w:val="18"/>
                <w:szCs w:val="18"/>
              </w:rPr>
            </w:pPr>
            <w:r w:rsidRPr="00F94308">
              <w:rPr>
                <w:sz w:val="18"/>
                <w:szCs w:val="18"/>
              </w:rPr>
              <w:t>Expanded framework</w:t>
            </w:r>
          </w:p>
        </w:tc>
        <w:tc>
          <w:tcPr>
            <w:tcW w:w="820" w:type="pct"/>
            <w:vMerge/>
          </w:tcPr>
          <w:p w:rsidR="00D33E01" w:rsidRPr="00F94308" w:rsidRDefault="00D33E01" w:rsidP="00623EF7">
            <w:pPr>
              <w:bidi w:val="0"/>
              <w:jc w:val="both"/>
              <w:rPr>
                <w:sz w:val="18"/>
                <w:szCs w:val="18"/>
              </w:rPr>
            </w:pPr>
          </w:p>
        </w:tc>
        <w:tc>
          <w:tcPr>
            <w:tcW w:w="1135" w:type="pct"/>
          </w:tcPr>
          <w:p w:rsidR="00D33E01" w:rsidRPr="00F94308" w:rsidRDefault="00D33E01" w:rsidP="00623EF7">
            <w:pPr>
              <w:bidi w:val="0"/>
              <w:jc w:val="both"/>
              <w:rPr>
                <w:sz w:val="18"/>
                <w:szCs w:val="18"/>
              </w:rPr>
            </w:pPr>
            <w:r w:rsidRPr="00F94308">
              <w:rPr>
                <w:sz w:val="18"/>
                <w:szCs w:val="18"/>
              </w:rPr>
              <w:t xml:space="preserve">Borrowers who deferred mortgage repayments for a period of up to 6 </w:t>
            </w:r>
            <w:r w:rsidR="002C3DDC" w:rsidRPr="00F94308">
              <w:rPr>
                <w:sz w:val="18"/>
                <w:szCs w:val="18"/>
              </w:rPr>
              <w:t>months</w:t>
            </w:r>
            <w:r w:rsidRPr="00F94308">
              <w:rPr>
                <w:sz w:val="18"/>
                <w:szCs w:val="18"/>
              </w:rPr>
              <w:t xml:space="preserve"> will be able to receive an additional deferral until December 31, 2020.</w:t>
            </w:r>
          </w:p>
          <w:p w:rsidR="00D33E01" w:rsidRPr="00F94308" w:rsidRDefault="00D33E01" w:rsidP="00FE4371">
            <w:pPr>
              <w:bidi w:val="0"/>
              <w:jc w:val="both"/>
              <w:rPr>
                <w:sz w:val="18"/>
                <w:szCs w:val="18"/>
              </w:rPr>
            </w:pPr>
          </w:p>
          <w:p w:rsidR="00D33E01" w:rsidRPr="00F94308" w:rsidRDefault="00D33E01" w:rsidP="001D0FD2">
            <w:pPr>
              <w:bidi w:val="0"/>
              <w:jc w:val="both"/>
              <w:rPr>
                <w:sz w:val="18"/>
                <w:szCs w:val="18"/>
              </w:rPr>
            </w:pPr>
            <w:r w:rsidRPr="00F94308">
              <w:rPr>
                <w:sz w:val="18"/>
                <w:szCs w:val="18"/>
              </w:rPr>
              <w:t xml:space="preserve">Borrowers who have not yet deferred </w:t>
            </w:r>
            <w:r>
              <w:rPr>
                <w:sz w:val="18"/>
                <w:szCs w:val="18"/>
              </w:rPr>
              <w:t xml:space="preserve">mortgage </w:t>
            </w:r>
            <w:r w:rsidRPr="00F94308">
              <w:rPr>
                <w:sz w:val="18"/>
                <w:szCs w:val="18"/>
              </w:rPr>
              <w:t xml:space="preserve">payments and want to do so </w:t>
            </w:r>
            <w:r w:rsidR="002C3DDC" w:rsidRPr="00F94308">
              <w:rPr>
                <w:sz w:val="18"/>
                <w:szCs w:val="18"/>
              </w:rPr>
              <w:t>now</w:t>
            </w:r>
            <w:r w:rsidRPr="00F94308">
              <w:rPr>
                <w:sz w:val="18"/>
                <w:szCs w:val="18"/>
              </w:rPr>
              <w:t xml:space="preserve"> can receive a deferral of </w:t>
            </w:r>
            <w:r w:rsidRPr="001D0FD2">
              <w:rPr>
                <w:b/>
                <w:bCs/>
                <w:sz w:val="18"/>
                <w:szCs w:val="18"/>
              </w:rPr>
              <w:t>up to 6 months</w:t>
            </w:r>
            <w:r>
              <w:rPr>
                <w:b/>
                <w:bCs/>
                <w:sz w:val="18"/>
                <w:szCs w:val="18"/>
              </w:rPr>
              <w:t xml:space="preserve">; </w:t>
            </w:r>
            <w:r w:rsidRPr="00F94308">
              <w:rPr>
                <w:sz w:val="18"/>
                <w:szCs w:val="18"/>
              </w:rPr>
              <w:t>the request must be submitted by Oct. 30, 2020.</w:t>
            </w:r>
          </w:p>
        </w:tc>
        <w:tc>
          <w:tcPr>
            <w:tcW w:w="479" w:type="pct"/>
          </w:tcPr>
          <w:p w:rsidR="00D33E01" w:rsidRPr="00D10528" w:rsidRDefault="00D33E01" w:rsidP="00623EF7">
            <w:pPr>
              <w:bidi w:val="0"/>
              <w:jc w:val="both"/>
              <w:rPr>
                <w:b/>
                <w:bCs/>
                <w:sz w:val="18"/>
                <w:szCs w:val="18"/>
              </w:rPr>
            </w:pPr>
            <w:r w:rsidRPr="00D10528">
              <w:rPr>
                <w:b/>
                <w:bCs/>
                <w:sz w:val="18"/>
                <w:szCs w:val="18"/>
              </w:rPr>
              <w:t>Oct. 30, 2020</w:t>
            </w:r>
          </w:p>
        </w:tc>
        <w:tc>
          <w:tcPr>
            <w:tcW w:w="543" w:type="pct"/>
            <w:vMerge/>
          </w:tcPr>
          <w:p w:rsidR="00D33E01" w:rsidRPr="00F94308" w:rsidRDefault="00D33E01" w:rsidP="00623EF7">
            <w:pPr>
              <w:bidi w:val="0"/>
              <w:jc w:val="both"/>
              <w:rPr>
                <w:sz w:val="18"/>
                <w:szCs w:val="18"/>
              </w:rPr>
            </w:pPr>
          </w:p>
        </w:tc>
        <w:tc>
          <w:tcPr>
            <w:tcW w:w="497" w:type="pct"/>
            <w:vMerge/>
          </w:tcPr>
          <w:p w:rsidR="00D33E01" w:rsidRPr="00F94308" w:rsidRDefault="00D33E01" w:rsidP="00623EF7">
            <w:pPr>
              <w:bidi w:val="0"/>
              <w:jc w:val="both"/>
              <w:rPr>
                <w:sz w:val="18"/>
                <w:szCs w:val="18"/>
              </w:rPr>
            </w:pPr>
          </w:p>
        </w:tc>
        <w:tc>
          <w:tcPr>
            <w:tcW w:w="480" w:type="pct"/>
            <w:vMerge/>
          </w:tcPr>
          <w:p w:rsidR="00D33E01" w:rsidRPr="00F94308" w:rsidRDefault="00D33E01" w:rsidP="00623EF7">
            <w:pPr>
              <w:bidi w:val="0"/>
              <w:jc w:val="both"/>
              <w:rPr>
                <w:sz w:val="18"/>
                <w:szCs w:val="18"/>
              </w:rPr>
            </w:pPr>
          </w:p>
        </w:tc>
      </w:tr>
      <w:tr w:rsidR="009C672B" w:rsidRPr="00F94308" w:rsidTr="009C672B">
        <w:tc>
          <w:tcPr>
            <w:tcW w:w="528" w:type="pct"/>
            <w:vMerge w:val="restart"/>
            <w:vAlign w:val="center"/>
          </w:tcPr>
          <w:p w:rsidR="009C672B" w:rsidRPr="00F94308" w:rsidRDefault="009C672B" w:rsidP="00836F18">
            <w:pPr>
              <w:bidi w:val="0"/>
              <w:jc w:val="center"/>
              <w:rPr>
                <w:b/>
                <w:bCs/>
                <w:sz w:val="18"/>
                <w:szCs w:val="18"/>
              </w:rPr>
            </w:pPr>
            <w:r w:rsidRPr="00F94308">
              <w:rPr>
                <w:b/>
                <w:bCs/>
                <w:sz w:val="18"/>
                <w:szCs w:val="18"/>
              </w:rPr>
              <w:t>Consumer credit up to NIS 100,000**</w:t>
            </w:r>
          </w:p>
        </w:tc>
        <w:tc>
          <w:tcPr>
            <w:tcW w:w="518" w:type="pct"/>
          </w:tcPr>
          <w:p w:rsidR="009C672B" w:rsidRPr="00F94308" w:rsidRDefault="009C672B" w:rsidP="00623EF7">
            <w:pPr>
              <w:bidi w:val="0"/>
              <w:jc w:val="both"/>
              <w:rPr>
                <w:sz w:val="18"/>
                <w:szCs w:val="18"/>
              </w:rPr>
            </w:pPr>
            <w:r w:rsidRPr="00F94308">
              <w:rPr>
                <w:sz w:val="18"/>
                <w:szCs w:val="18"/>
              </w:rPr>
              <w:t>Previous framework</w:t>
            </w:r>
          </w:p>
        </w:tc>
        <w:tc>
          <w:tcPr>
            <w:tcW w:w="820" w:type="pct"/>
          </w:tcPr>
          <w:p w:rsidR="009C672B" w:rsidRPr="00F94308" w:rsidRDefault="009C672B" w:rsidP="00D91732">
            <w:pPr>
              <w:bidi w:val="0"/>
              <w:jc w:val="both"/>
              <w:rPr>
                <w:sz w:val="18"/>
                <w:szCs w:val="18"/>
              </w:rPr>
            </w:pPr>
            <w:r w:rsidRPr="00F94308">
              <w:rPr>
                <w:sz w:val="18"/>
                <w:szCs w:val="18"/>
              </w:rPr>
              <w:t>A borrower without arrears as of February 28, 2020</w:t>
            </w:r>
          </w:p>
        </w:tc>
        <w:tc>
          <w:tcPr>
            <w:tcW w:w="1135" w:type="pct"/>
          </w:tcPr>
          <w:p w:rsidR="009C672B" w:rsidRPr="00F94308" w:rsidRDefault="009C672B" w:rsidP="00623EF7">
            <w:pPr>
              <w:bidi w:val="0"/>
              <w:jc w:val="both"/>
              <w:rPr>
                <w:sz w:val="18"/>
                <w:szCs w:val="18"/>
              </w:rPr>
            </w:pPr>
            <w:r w:rsidRPr="00F94308">
              <w:rPr>
                <w:sz w:val="18"/>
                <w:szCs w:val="18"/>
              </w:rPr>
              <w:t xml:space="preserve">Deferral for a period of 3 months. </w:t>
            </w:r>
          </w:p>
          <w:p w:rsidR="009C672B" w:rsidRPr="00F94308" w:rsidRDefault="009C672B" w:rsidP="009218E1">
            <w:pPr>
              <w:bidi w:val="0"/>
              <w:jc w:val="both"/>
              <w:rPr>
                <w:sz w:val="18"/>
                <w:szCs w:val="18"/>
              </w:rPr>
            </w:pPr>
          </w:p>
          <w:p w:rsidR="009C672B" w:rsidRPr="00F94308" w:rsidRDefault="009C672B" w:rsidP="009218E1">
            <w:pPr>
              <w:bidi w:val="0"/>
              <w:jc w:val="both"/>
              <w:rPr>
                <w:sz w:val="18"/>
                <w:szCs w:val="18"/>
              </w:rPr>
            </w:pPr>
            <w:r w:rsidRPr="00F94308">
              <w:rPr>
                <w:sz w:val="18"/>
                <w:szCs w:val="18"/>
              </w:rPr>
              <w:t>In addition, an option for extension of another 3 months, in line with the bank’s judgment.</w:t>
            </w:r>
          </w:p>
        </w:tc>
        <w:tc>
          <w:tcPr>
            <w:tcW w:w="479" w:type="pct"/>
          </w:tcPr>
          <w:p w:rsidR="009C672B" w:rsidRPr="00F94308" w:rsidRDefault="009C672B" w:rsidP="00623EF7">
            <w:pPr>
              <w:bidi w:val="0"/>
              <w:jc w:val="both"/>
              <w:rPr>
                <w:sz w:val="18"/>
                <w:szCs w:val="18"/>
              </w:rPr>
            </w:pPr>
            <w:r w:rsidRPr="00F94308">
              <w:rPr>
                <w:sz w:val="18"/>
                <w:szCs w:val="18"/>
              </w:rPr>
              <w:t>July 31, 2020</w:t>
            </w:r>
          </w:p>
        </w:tc>
        <w:tc>
          <w:tcPr>
            <w:tcW w:w="543" w:type="pct"/>
            <w:vMerge w:val="restart"/>
            <w:vAlign w:val="center"/>
          </w:tcPr>
          <w:p w:rsidR="009C672B" w:rsidRPr="00F94308" w:rsidRDefault="009C672B" w:rsidP="009C672B">
            <w:pPr>
              <w:bidi w:val="0"/>
              <w:jc w:val="center"/>
              <w:rPr>
                <w:sz w:val="18"/>
                <w:szCs w:val="18"/>
              </w:rPr>
            </w:pPr>
            <w:r w:rsidRPr="00F94308">
              <w:rPr>
                <w:sz w:val="18"/>
                <w:szCs w:val="18"/>
              </w:rPr>
              <w:t>Payments added at the end of the loan period***</w:t>
            </w:r>
          </w:p>
        </w:tc>
        <w:tc>
          <w:tcPr>
            <w:tcW w:w="497" w:type="pct"/>
            <w:vMerge/>
          </w:tcPr>
          <w:p w:rsidR="009C672B" w:rsidRPr="00F94308" w:rsidRDefault="009C672B" w:rsidP="00623EF7">
            <w:pPr>
              <w:bidi w:val="0"/>
              <w:jc w:val="both"/>
              <w:rPr>
                <w:sz w:val="18"/>
                <w:szCs w:val="18"/>
              </w:rPr>
            </w:pPr>
          </w:p>
        </w:tc>
        <w:tc>
          <w:tcPr>
            <w:tcW w:w="480" w:type="pct"/>
            <w:vMerge/>
          </w:tcPr>
          <w:p w:rsidR="009C672B" w:rsidRPr="00F94308" w:rsidRDefault="009C672B" w:rsidP="00623EF7">
            <w:pPr>
              <w:bidi w:val="0"/>
              <w:jc w:val="both"/>
              <w:rPr>
                <w:sz w:val="18"/>
                <w:szCs w:val="18"/>
              </w:rPr>
            </w:pPr>
          </w:p>
        </w:tc>
      </w:tr>
      <w:tr w:rsidR="009C672B" w:rsidRPr="00F94308" w:rsidTr="00D33E01">
        <w:tc>
          <w:tcPr>
            <w:tcW w:w="528" w:type="pct"/>
            <w:vMerge/>
          </w:tcPr>
          <w:p w:rsidR="009C672B" w:rsidRPr="00F94308" w:rsidRDefault="009C672B" w:rsidP="00623EF7">
            <w:pPr>
              <w:bidi w:val="0"/>
              <w:jc w:val="both"/>
              <w:rPr>
                <w:b/>
                <w:bCs/>
                <w:sz w:val="18"/>
                <w:szCs w:val="18"/>
              </w:rPr>
            </w:pPr>
          </w:p>
        </w:tc>
        <w:tc>
          <w:tcPr>
            <w:tcW w:w="518" w:type="pct"/>
          </w:tcPr>
          <w:p w:rsidR="009C672B" w:rsidRPr="00F94308" w:rsidRDefault="009C672B" w:rsidP="00623EF7">
            <w:pPr>
              <w:bidi w:val="0"/>
              <w:jc w:val="both"/>
              <w:rPr>
                <w:sz w:val="18"/>
                <w:szCs w:val="18"/>
              </w:rPr>
            </w:pPr>
            <w:r w:rsidRPr="00F94308">
              <w:rPr>
                <w:sz w:val="18"/>
                <w:szCs w:val="18"/>
              </w:rPr>
              <w:t>Expanded framework</w:t>
            </w:r>
          </w:p>
        </w:tc>
        <w:tc>
          <w:tcPr>
            <w:tcW w:w="820" w:type="pct"/>
          </w:tcPr>
          <w:p w:rsidR="009C672B" w:rsidRPr="00F94308" w:rsidRDefault="009C672B" w:rsidP="00AA2E0A">
            <w:pPr>
              <w:bidi w:val="0"/>
              <w:jc w:val="both"/>
              <w:rPr>
                <w:sz w:val="18"/>
                <w:szCs w:val="18"/>
              </w:rPr>
            </w:pPr>
            <w:r w:rsidRPr="00F94308">
              <w:rPr>
                <w:sz w:val="18"/>
                <w:szCs w:val="18"/>
              </w:rPr>
              <w:t xml:space="preserve">Regarding </w:t>
            </w:r>
            <w:r>
              <w:rPr>
                <w:sz w:val="18"/>
                <w:szCs w:val="18"/>
              </w:rPr>
              <w:t xml:space="preserve">a request for an </w:t>
            </w:r>
            <w:r w:rsidRPr="00F94308">
              <w:rPr>
                <w:sz w:val="18"/>
                <w:szCs w:val="18"/>
              </w:rPr>
              <w:t>additional deferral: A borrower without arrears as of Feb. 28, 2020.</w:t>
            </w:r>
          </w:p>
          <w:p w:rsidR="009C672B" w:rsidRPr="00F94308" w:rsidRDefault="009C672B" w:rsidP="003100DA">
            <w:pPr>
              <w:bidi w:val="0"/>
              <w:jc w:val="both"/>
              <w:rPr>
                <w:sz w:val="18"/>
                <w:szCs w:val="18"/>
              </w:rPr>
            </w:pPr>
          </w:p>
          <w:p w:rsidR="009C672B" w:rsidRPr="00F94308" w:rsidRDefault="009C672B" w:rsidP="003100DA">
            <w:pPr>
              <w:bidi w:val="0"/>
              <w:jc w:val="both"/>
              <w:rPr>
                <w:sz w:val="18"/>
                <w:szCs w:val="18"/>
              </w:rPr>
            </w:pPr>
            <w:r w:rsidRPr="00F94308">
              <w:rPr>
                <w:sz w:val="18"/>
                <w:szCs w:val="18"/>
              </w:rPr>
              <w:t xml:space="preserve">Regarding a new request for deferral: A borrower without </w:t>
            </w:r>
            <w:r w:rsidRPr="00CF5E30">
              <w:rPr>
                <w:sz w:val="18"/>
                <w:szCs w:val="18"/>
              </w:rPr>
              <w:t xml:space="preserve">arrears in </w:t>
            </w:r>
            <w:r w:rsidRPr="008149FB">
              <w:rPr>
                <w:sz w:val="18"/>
                <w:szCs w:val="18"/>
              </w:rPr>
              <w:t>a loan</w:t>
            </w:r>
            <w:r w:rsidRPr="00CF5E30">
              <w:rPr>
                <w:sz w:val="18"/>
                <w:szCs w:val="18"/>
              </w:rPr>
              <w:t xml:space="preserve"> over</w:t>
            </w:r>
            <w:r w:rsidRPr="00F94308">
              <w:rPr>
                <w:sz w:val="18"/>
                <w:szCs w:val="18"/>
              </w:rPr>
              <w:t xml:space="preserve"> the 2 months preceding the date the request is submitted.</w:t>
            </w:r>
          </w:p>
        </w:tc>
        <w:tc>
          <w:tcPr>
            <w:tcW w:w="1135" w:type="pct"/>
          </w:tcPr>
          <w:p w:rsidR="009C672B" w:rsidRPr="00F94308" w:rsidRDefault="009C672B" w:rsidP="00D50CA6">
            <w:pPr>
              <w:bidi w:val="0"/>
              <w:jc w:val="both"/>
              <w:rPr>
                <w:sz w:val="18"/>
                <w:szCs w:val="18"/>
              </w:rPr>
            </w:pPr>
            <w:r w:rsidRPr="00F94308">
              <w:rPr>
                <w:sz w:val="18"/>
                <w:szCs w:val="18"/>
              </w:rPr>
              <w:t xml:space="preserve">Customers who already deferred payments for part of the period can submit a request for an additional deferral </w:t>
            </w:r>
            <w:r w:rsidRPr="00D50CA6">
              <w:rPr>
                <w:b/>
                <w:bCs/>
                <w:sz w:val="18"/>
                <w:szCs w:val="18"/>
              </w:rPr>
              <w:t>up to a cumulative period of 6 months,</w:t>
            </w:r>
            <w:r w:rsidRPr="00F94308">
              <w:rPr>
                <w:sz w:val="18"/>
                <w:szCs w:val="18"/>
              </w:rPr>
              <w:t xml:space="preserve"> without the bank’</w:t>
            </w:r>
            <w:r>
              <w:rPr>
                <w:sz w:val="18"/>
                <w:szCs w:val="18"/>
              </w:rPr>
              <w:t>s</w:t>
            </w:r>
            <w:r w:rsidRPr="00F94308">
              <w:rPr>
                <w:sz w:val="18"/>
                <w:szCs w:val="18"/>
              </w:rPr>
              <w:t xml:space="preserve"> judgment, and provided there were no arrears </w:t>
            </w:r>
            <w:r>
              <w:rPr>
                <w:sz w:val="18"/>
                <w:szCs w:val="18"/>
              </w:rPr>
              <w:t xml:space="preserve">in the loan </w:t>
            </w:r>
            <w:r w:rsidRPr="00F94308">
              <w:rPr>
                <w:sz w:val="18"/>
                <w:szCs w:val="18"/>
              </w:rPr>
              <w:t>as of February 28, 2020.</w:t>
            </w:r>
          </w:p>
          <w:p w:rsidR="009C672B" w:rsidRPr="00F94308" w:rsidRDefault="009C672B" w:rsidP="00B14925">
            <w:pPr>
              <w:bidi w:val="0"/>
              <w:jc w:val="both"/>
              <w:rPr>
                <w:sz w:val="18"/>
                <w:szCs w:val="18"/>
              </w:rPr>
            </w:pPr>
          </w:p>
          <w:p w:rsidR="009C672B" w:rsidRPr="00F94308" w:rsidRDefault="009C672B" w:rsidP="00B14925">
            <w:pPr>
              <w:bidi w:val="0"/>
              <w:jc w:val="both"/>
              <w:rPr>
                <w:sz w:val="18"/>
                <w:szCs w:val="18"/>
              </w:rPr>
            </w:pPr>
            <w:r w:rsidRPr="00F94308">
              <w:rPr>
                <w:sz w:val="18"/>
                <w:szCs w:val="18"/>
              </w:rPr>
              <w:t xml:space="preserve">Customers who have not yet deferred payments and want to do so now, can receive </w:t>
            </w:r>
            <w:r w:rsidRPr="00D10528">
              <w:rPr>
                <w:b/>
                <w:bCs/>
                <w:sz w:val="18"/>
                <w:szCs w:val="18"/>
              </w:rPr>
              <w:t>a deferral of up to 6 months</w:t>
            </w:r>
            <w:r w:rsidRPr="00F94308">
              <w:rPr>
                <w:sz w:val="18"/>
                <w:szCs w:val="18"/>
              </w:rPr>
              <w:t xml:space="preserve"> without the bank’s judgment. The above also applies to customers whose loans had arrears in the 2 months prior to submitting the request.</w:t>
            </w:r>
          </w:p>
        </w:tc>
        <w:tc>
          <w:tcPr>
            <w:tcW w:w="479" w:type="pct"/>
          </w:tcPr>
          <w:p w:rsidR="009C672B" w:rsidRPr="009C672B" w:rsidRDefault="009C672B" w:rsidP="00623EF7">
            <w:pPr>
              <w:bidi w:val="0"/>
              <w:jc w:val="both"/>
              <w:rPr>
                <w:b/>
                <w:bCs/>
                <w:sz w:val="18"/>
                <w:szCs w:val="18"/>
              </w:rPr>
            </w:pPr>
            <w:r w:rsidRPr="009C672B">
              <w:rPr>
                <w:b/>
                <w:bCs/>
                <w:sz w:val="18"/>
                <w:szCs w:val="18"/>
              </w:rPr>
              <w:t>Oct. 30, 2020</w:t>
            </w:r>
          </w:p>
        </w:tc>
        <w:tc>
          <w:tcPr>
            <w:tcW w:w="543" w:type="pct"/>
            <w:vMerge/>
          </w:tcPr>
          <w:p w:rsidR="009C672B" w:rsidRPr="00F94308" w:rsidRDefault="009C672B" w:rsidP="00623EF7">
            <w:pPr>
              <w:bidi w:val="0"/>
              <w:jc w:val="both"/>
              <w:rPr>
                <w:sz w:val="18"/>
                <w:szCs w:val="18"/>
              </w:rPr>
            </w:pPr>
          </w:p>
        </w:tc>
        <w:tc>
          <w:tcPr>
            <w:tcW w:w="497" w:type="pct"/>
            <w:vMerge/>
          </w:tcPr>
          <w:p w:rsidR="009C672B" w:rsidRPr="00F94308" w:rsidRDefault="009C672B" w:rsidP="00623EF7">
            <w:pPr>
              <w:bidi w:val="0"/>
              <w:jc w:val="both"/>
              <w:rPr>
                <w:sz w:val="18"/>
                <w:szCs w:val="18"/>
              </w:rPr>
            </w:pPr>
          </w:p>
        </w:tc>
        <w:tc>
          <w:tcPr>
            <w:tcW w:w="480" w:type="pct"/>
            <w:vMerge/>
          </w:tcPr>
          <w:p w:rsidR="009C672B" w:rsidRPr="00F94308" w:rsidRDefault="009C672B" w:rsidP="00623EF7">
            <w:pPr>
              <w:bidi w:val="0"/>
              <w:jc w:val="both"/>
              <w:rPr>
                <w:sz w:val="18"/>
                <w:szCs w:val="18"/>
              </w:rPr>
            </w:pPr>
          </w:p>
        </w:tc>
      </w:tr>
      <w:tr w:rsidR="009C672B" w:rsidRPr="00F94308" w:rsidTr="009C672B">
        <w:tc>
          <w:tcPr>
            <w:tcW w:w="528" w:type="pct"/>
            <w:vMerge w:val="restart"/>
            <w:vAlign w:val="center"/>
          </w:tcPr>
          <w:p w:rsidR="009C672B" w:rsidRPr="00F94308" w:rsidRDefault="009C672B" w:rsidP="00836F18">
            <w:pPr>
              <w:bidi w:val="0"/>
              <w:jc w:val="center"/>
              <w:rPr>
                <w:b/>
                <w:bCs/>
                <w:sz w:val="18"/>
                <w:szCs w:val="18"/>
              </w:rPr>
            </w:pPr>
            <w:r w:rsidRPr="00F94308">
              <w:rPr>
                <w:b/>
                <w:bCs/>
                <w:sz w:val="18"/>
                <w:szCs w:val="18"/>
              </w:rPr>
              <w:t>Business credit</w:t>
            </w:r>
          </w:p>
        </w:tc>
        <w:tc>
          <w:tcPr>
            <w:tcW w:w="518" w:type="pct"/>
          </w:tcPr>
          <w:p w:rsidR="009C672B" w:rsidRPr="00F94308" w:rsidRDefault="009C672B" w:rsidP="00623EF7">
            <w:pPr>
              <w:bidi w:val="0"/>
              <w:jc w:val="both"/>
              <w:rPr>
                <w:sz w:val="18"/>
                <w:szCs w:val="18"/>
              </w:rPr>
            </w:pPr>
            <w:r w:rsidRPr="00F94308">
              <w:rPr>
                <w:sz w:val="18"/>
                <w:szCs w:val="18"/>
              </w:rPr>
              <w:t>Previous framework</w:t>
            </w:r>
          </w:p>
        </w:tc>
        <w:tc>
          <w:tcPr>
            <w:tcW w:w="820" w:type="pct"/>
          </w:tcPr>
          <w:p w:rsidR="009C672B" w:rsidRPr="00F94308" w:rsidRDefault="009C672B" w:rsidP="00623EF7">
            <w:pPr>
              <w:bidi w:val="0"/>
              <w:jc w:val="both"/>
              <w:rPr>
                <w:sz w:val="18"/>
                <w:szCs w:val="18"/>
              </w:rPr>
            </w:pPr>
            <w:r w:rsidRPr="00F94308">
              <w:rPr>
                <w:sz w:val="18"/>
                <w:szCs w:val="18"/>
              </w:rPr>
              <w:t>A business with annual turnover of up to NIS 25 million, which was negatively impacted by the crisis.</w:t>
            </w:r>
          </w:p>
          <w:p w:rsidR="009C672B" w:rsidRPr="00F94308" w:rsidRDefault="009C672B" w:rsidP="00623EF7">
            <w:pPr>
              <w:bidi w:val="0"/>
              <w:jc w:val="both"/>
              <w:rPr>
                <w:sz w:val="18"/>
                <w:szCs w:val="18"/>
              </w:rPr>
            </w:pPr>
          </w:p>
        </w:tc>
        <w:tc>
          <w:tcPr>
            <w:tcW w:w="1135" w:type="pct"/>
          </w:tcPr>
          <w:p w:rsidR="009C672B" w:rsidRPr="00F94308" w:rsidRDefault="009C672B" w:rsidP="00623EF7">
            <w:pPr>
              <w:bidi w:val="0"/>
              <w:jc w:val="both"/>
              <w:rPr>
                <w:sz w:val="18"/>
                <w:szCs w:val="18"/>
              </w:rPr>
            </w:pPr>
            <w:r w:rsidRPr="00F94308">
              <w:rPr>
                <w:sz w:val="18"/>
                <w:szCs w:val="18"/>
              </w:rPr>
              <w:t xml:space="preserve">Up to 6 months, </w:t>
            </w:r>
            <w:r w:rsidRPr="00D10528">
              <w:rPr>
                <w:b/>
                <w:bCs/>
                <w:sz w:val="18"/>
                <w:szCs w:val="18"/>
              </w:rPr>
              <w:t>in line with the bank’s judgment</w:t>
            </w:r>
          </w:p>
        </w:tc>
        <w:tc>
          <w:tcPr>
            <w:tcW w:w="479" w:type="pct"/>
          </w:tcPr>
          <w:p w:rsidR="009C672B" w:rsidRPr="00F94308" w:rsidRDefault="009C672B" w:rsidP="00623EF7">
            <w:pPr>
              <w:bidi w:val="0"/>
              <w:jc w:val="both"/>
              <w:rPr>
                <w:sz w:val="18"/>
                <w:szCs w:val="18"/>
              </w:rPr>
            </w:pPr>
            <w:r w:rsidRPr="00F94308">
              <w:rPr>
                <w:sz w:val="18"/>
                <w:szCs w:val="18"/>
              </w:rPr>
              <w:t>July 31, 2020</w:t>
            </w:r>
          </w:p>
        </w:tc>
        <w:tc>
          <w:tcPr>
            <w:tcW w:w="543" w:type="pct"/>
            <w:vMerge w:val="restart"/>
            <w:vAlign w:val="center"/>
          </w:tcPr>
          <w:p w:rsidR="009C672B" w:rsidRPr="00F94308" w:rsidRDefault="009C672B" w:rsidP="009C672B">
            <w:pPr>
              <w:bidi w:val="0"/>
              <w:jc w:val="center"/>
              <w:rPr>
                <w:sz w:val="18"/>
                <w:szCs w:val="18"/>
              </w:rPr>
            </w:pPr>
            <w:r w:rsidRPr="00F94308">
              <w:rPr>
                <w:sz w:val="18"/>
                <w:szCs w:val="18"/>
              </w:rPr>
              <w:t>Payments added at the end of the loan period***</w:t>
            </w:r>
          </w:p>
        </w:tc>
        <w:tc>
          <w:tcPr>
            <w:tcW w:w="497" w:type="pct"/>
            <w:vMerge/>
          </w:tcPr>
          <w:p w:rsidR="009C672B" w:rsidRPr="00F94308" w:rsidRDefault="009C672B" w:rsidP="00623EF7">
            <w:pPr>
              <w:bidi w:val="0"/>
              <w:jc w:val="both"/>
              <w:rPr>
                <w:sz w:val="18"/>
                <w:szCs w:val="18"/>
              </w:rPr>
            </w:pPr>
          </w:p>
        </w:tc>
        <w:tc>
          <w:tcPr>
            <w:tcW w:w="480" w:type="pct"/>
            <w:vMerge/>
          </w:tcPr>
          <w:p w:rsidR="009C672B" w:rsidRPr="00F94308" w:rsidRDefault="009C672B" w:rsidP="00623EF7">
            <w:pPr>
              <w:bidi w:val="0"/>
              <w:jc w:val="both"/>
              <w:rPr>
                <w:sz w:val="18"/>
                <w:szCs w:val="18"/>
              </w:rPr>
            </w:pPr>
          </w:p>
        </w:tc>
      </w:tr>
      <w:tr w:rsidR="009C672B" w:rsidRPr="00F94308" w:rsidTr="00D33E01">
        <w:tc>
          <w:tcPr>
            <w:tcW w:w="528" w:type="pct"/>
            <w:vMerge/>
          </w:tcPr>
          <w:p w:rsidR="009C672B" w:rsidRPr="00F94308" w:rsidRDefault="009C672B" w:rsidP="00623EF7">
            <w:pPr>
              <w:bidi w:val="0"/>
              <w:jc w:val="both"/>
              <w:rPr>
                <w:b/>
                <w:bCs/>
                <w:sz w:val="18"/>
                <w:szCs w:val="18"/>
              </w:rPr>
            </w:pPr>
          </w:p>
        </w:tc>
        <w:tc>
          <w:tcPr>
            <w:tcW w:w="518" w:type="pct"/>
          </w:tcPr>
          <w:p w:rsidR="009C672B" w:rsidRPr="00F94308" w:rsidRDefault="009C672B" w:rsidP="00623EF7">
            <w:pPr>
              <w:bidi w:val="0"/>
              <w:jc w:val="both"/>
              <w:rPr>
                <w:sz w:val="18"/>
                <w:szCs w:val="18"/>
              </w:rPr>
            </w:pPr>
            <w:r w:rsidRPr="00F94308">
              <w:rPr>
                <w:sz w:val="18"/>
                <w:szCs w:val="18"/>
              </w:rPr>
              <w:t>Expanded framework</w:t>
            </w:r>
          </w:p>
        </w:tc>
        <w:tc>
          <w:tcPr>
            <w:tcW w:w="820" w:type="pct"/>
          </w:tcPr>
          <w:p w:rsidR="009C672B" w:rsidRPr="00F94308" w:rsidRDefault="009C672B" w:rsidP="001D54D9">
            <w:pPr>
              <w:bidi w:val="0"/>
              <w:jc w:val="both"/>
              <w:rPr>
                <w:sz w:val="18"/>
                <w:szCs w:val="18"/>
              </w:rPr>
            </w:pPr>
            <w:r w:rsidRPr="00F94308">
              <w:rPr>
                <w:sz w:val="18"/>
                <w:szCs w:val="18"/>
              </w:rPr>
              <w:t>The business’s loans have been repaid regularly up to Feb. 28</w:t>
            </w:r>
            <w:r w:rsidR="001D54D9">
              <w:rPr>
                <w:sz w:val="18"/>
                <w:szCs w:val="18"/>
              </w:rPr>
              <w:t>,</w:t>
            </w:r>
            <w:r w:rsidRPr="00F94308">
              <w:rPr>
                <w:sz w:val="18"/>
                <w:szCs w:val="18"/>
              </w:rPr>
              <w:t xml:space="preserve"> 2020 during the year preceding this date, and it is expected that it will </w:t>
            </w:r>
            <w:r w:rsidRPr="00F94308">
              <w:rPr>
                <w:sz w:val="18"/>
                <w:szCs w:val="18"/>
              </w:rPr>
              <w:lastRenderedPageBreak/>
              <w:t>get through the crisis and be able to meet the loan repayment after the crisis.</w:t>
            </w:r>
          </w:p>
        </w:tc>
        <w:tc>
          <w:tcPr>
            <w:tcW w:w="1135" w:type="pct"/>
          </w:tcPr>
          <w:p w:rsidR="009C672B" w:rsidRPr="00F94308" w:rsidRDefault="009C672B" w:rsidP="00623EF7">
            <w:pPr>
              <w:bidi w:val="0"/>
              <w:jc w:val="both"/>
              <w:rPr>
                <w:sz w:val="18"/>
                <w:szCs w:val="18"/>
              </w:rPr>
            </w:pPr>
          </w:p>
        </w:tc>
        <w:tc>
          <w:tcPr>
            <w:tcW w:w="479" w:type="pct"/>
          </w:tcPr>
          <w:p w:rsidR="009C672B" w:rsidRPr="001D54D9" w:rsidRDefault="009C672B" w:rsidP="00623EF7">
            <w:pPr>
              <w:bidi w:val="0"/>
              <w:jc w:val="both"/>
              <w:rPr>
                <w:b/>
                <w:bCs/>
                <w:sz w:val="18"/>
                <w:szCs w:val="18"/>
              </w:rPr>
            </w:pPr>
            <w:r w:rsidRPr="001D54D9">
              <w:rPr>
                <w:b/>
                <w:bCs/>
                <w:sz w:val="18"/>
                <w:szCs w:val="18"/>
              </w:rPr>
              <w:t>Oct. 30, 2020</w:t>
            </w:r>
          </w:p>
        </w:tc>
        <w:tc>
          <w:tcPr>
            <w:tcW w:w="543" w:type="pct"/>
            <w:vMerge/>
          </w:tcPr>
          <w:p w:rsidR="009C672B" w:rsidRPr="00F94308" w:rsidRDefault="009C672B" w:rsidP="00623EF7">
            <w:pPr>
              <w:bidi w:val="0"/>
              <w:rPr>
                <w:b/>
                <w:bCs/>
                <w:sz w:val="18"/>
                <w:szCs w:val="18"/>
              </w:rPr>
            </w:pPr>
          </w:p>
        </w:tc>
        <w:tc>
          <w:tcPr>
            <w:tcW w:w="497" w:type="pct"/>
            <w:vMerge/>
          </w:tcPr>
          <w:p w:rsidR="009C672B" w:rsidRPr="00F94308" w:rsidRDefault="009C672B" w:rsidP="00623EF7">
            <w:pPr>
              <w:bidi w:val="0"/>
              <w:jc w:val="both"/>
              <w:rPr>
                <w:sz w:val="18"/>
                <w:szCs w:val="18"/>
              </w:rPr>
            </w:pPr>
          </w:p>
        </w:tc>
        <w:tc>
          <w:tcPr>
            <w:tcW w:w="480" w:type="pct"/>
            <w:vMerge/>
          </w:tcPr>
          <w:p w:rsidR="009C672B" w:rsidRPr="00F94308" w:rsidRDefault="009C672B" w:rsidP="00623EF7">
            <w:pPr>
              <w:bidi w:val="0"/>
              <w:jc w:val="both"/>
              <w:rPr>
                <w:sz w:val="18"/>
                <w:szCs w:val="18"/>
              </w:rPr>
            </w:pPr>
          </w:p>
        </w:tc>
      </w:tr>
    </w:tbl>
    <w:p w:rsidR="006C0798" w:rsidRDefault="006C0798" w:rsidP="006C0798">
      <w:pPr>
        <w:bidi w:val="0"/>
        <w:jc w:val="both"/>
        <w:rPr>
          <w:sz w:val="28"/>
          <w:szCs w:val="28"/>
        </w:rPr>
      </w:pPr>
    </w:p>
    <w:p w:rsidR="006C0798" w:rsidRPr="003327C6" w:rsidRDefault="00E31DD4" w:rsidP="006C0798">
      <w:pPr>
        <w:bidi w:val="0"/>
        <w:jc w:val="both"/>
        <w:rPr>
          <w:u w:val="single"/>
        </w:rPr>
      </w:pPr>
      <w:r w:rsidRPr="003327C6">
        <w:rPr>
          <w:u w:val="single"/>
        </w:rPr>
        <w:t xml:space="preserve">Clarifications: </w:t>
      </w:r>
    </w:p>
    <w:p w:rsidR="00B66791" w:rsidRDefault="009C0274" w:rsidP="006733F3">
      <w:pPr>
        <w:bidi w:val="0"/>
        <w:jc w:val="both"/>
      </w:pPr>
      <w:r>
        <w:t>*</w:t>
      </w:r>
      <w:r w:rsidR="00B66791">
        <w:t>A borrower who was in arrears prior to February 28, 2</w:t>
      </w:r>
      <w:r w:rsidR="001614C2">
        <w:t>0</w:t>
      </w:r>
      <w:r w:rsidR="00B66791">
        <w:t xml:space="preserve">20, will be </w:t>
      </w:r>
      <w:r w:rsidR="00643051">
        <w:t xml:space="preserve">able to defer </w:t>
      </w:r>
      <w:r w:rsidR="00B66791">
        <w:t xml:space="preserve">for a period </w:t>
      </w:r>
      <w:r w:rsidR="006733F3">
        <w:t xml:space="preserve">that does </w:t>
      </w:r>
      <w:r w:rsidR="00B66791">
        <w:t xml:space="preserve">not exceed 180 days from </w:t>
      </w:r>
      <w:r w:rsidR="006733F3">
        <w:t xml:space="preserve">the </w:t>
      </w:r>
      <w:r w:rsidR="00B66791">
        <w:t>day the arrears began.</w:t>
      </w:r>
    </w:p>
    <w:p w:rsidR="00800D7B" w:rsidRPr="003327C6" w:rsidRDefault="00800D7B" w:rsidP="00800D7B">
      <w:pPr>
        <w:bidi w:val="0"/>
        <w:jc w:val="both"/>
      </w:pPr>
      <w:r w:rsidRPr="003327C6">
        <w:t>*Not including a borrower who is in a legal proceeding.</w:t>
      </w:r>
    </w:p>
    <w:p w:rsidR="00181A24" w:rsidRPr="003327C6" w:rsidRDefault="00181A24" w:rsidP="00523E1A">
      <w:pPr>
        <w:bidi w:val="0"/>
        <w:jc w:val="both"/>
      </w:pPr>
      <w:r w:rsidRPr="003327C6">
        <w:t>**Not including loa</w:t>
      </w:r>
      <w:r w:rsidR="00B533B8">
        <w:t>n</w:t>
      </w:r>
      <w:r w:rsidRPr="003327C6">
        <w:t xml:space="preserve">s </w:t>
      </w:r>
      <w:r w:rsidR="00523E1A">
        <w:t xml:space="preserve">in </w:t>
      </w:r>
      <w:r w:rsidRPr="003327C6">
        <w:t>commercial collaboration with a third party.</w:t>
      </w:r>
    </w:p>
    <w:p w:rsidR="00181A24" w:rsidRPr="003327C6" w:rsidRDefault="00181A24" w:rsidP="000355A7">
      <w:pPr>
        <w:bidi w:val="0"/>
        <w:jc w:val="both"/>
      </w:pPr>
      <w:r w:rsidRPr="003327C6">
        <w:t xml:space="preserve">***The manner of </w:t>
      </w:r>
      <w:r w:rsidR="006D29AB" w:rsidRPr="003327C6">
        <w:t>spreading out the loan is subject to technical limitations derived from the bank’s computer system.</w:t>
      </w:r>
      <w:r w:rsidR="000355A7" w:rsidRPr="003327C6">
        <w:t xml:space="preserve"> Should it be necessary, alternative solutions for the distribution mechanism will be suggested.</w:t>
      </w:r>
    </w:p>
    <w:p w:rsidR="00D11B7B" w:rsidRDefault="00293A6D" w:rsidP="001614C2">
      <w:pPr>
        <w:bidi w:val="0"/>
        <w:jc w:val="both"/>
      </w:pPr>
      <w:r>
        <w:t xml:space="preserve">****The interest rate—the deferred payments will bear an interest rate that does not exceed </w:t>
      </w:r>
      <w:r w:rsidR="001614C2">
        <w:t xml:space="preserve">the </w:t>
      </w:r>
      <w:r>
        <w:t xml:space="preserve">interest rate </w:t>
      </w:r>
      <w:r w:rsidR="001614C2">
        <w:t xml:space="preserve">in </w:t>
      </w:r>
      <w:r>
        <w:t>the lo</w:t>
      </w:r>
      <w:r w:rsidR="001614C2">
        <w:t>a</w:t>
      </w:r>
      <w:r>
        <w:t>n contract. It is important to emphasize that the deferral of the loan repayments is like taking out a new loan, at the amount of the deferred sum.</w:t>
      </w:r>
    </w:p>
    <w:sectPr w:rsidR="00D11B7B" w:rsidSect="009B68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15B" w:rsidRDefault="00E9415B" w:rsidP="00330568">
      <w:r>
        <w:separator/>
      </w:r>
    </w:p>
  </w:endnote>
  <w:endnote w:type="continuationSeparator" w:id="0">
    <w:p w:rsidR="00E9415B" w:rsidRDefault="00E9415B" w:rsidP="0033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15B" w:rsidRDefault="00E9415B" w:rsidP="00330568">
      <w:r>
        <w:separator/>
      </w:r>
    </w:p>
  </w:footnote>
  <w:footnote w:type="continuationSeparator" w:id="0">
    <w:p w:rsidR="00E9415B" w:rsidRDefault="00E9415B" w:rsidP="00330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742"/>
    <w:multiLevelType w:val="hybridMultilevel"/>
    <w:tmpl w:val="5592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45A8A"/>
    <w:multiLevelType w:val="hybridMultilevel"/>
    <w:tmpl w:val="5B60DC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B344C5"/>
    <w:multiLevelType w:val="hybridMultilevel"/>
    <w:tmpl w:val="DECA7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A83D31"/>
    <w:multiLevelType w:val="hybridMultilevel"/>
    <w:tmpl w:val="5F129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C724C"/>
    <w:multiLevelType w:val="hybridMultilevel"/>
    <w:tmpl w:val="28BAC6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6E58B4"/>
    <w:multiLevelType w:val="hybridMultilevel"/>
    <w:tmpl w:val="701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C69C7"/>
    <w:multiLevelType w:val="hybridMultilevel"/>
    <w:tmpl w:val="8B1ACD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7E"/>
    <w:rsid w:val="00010BFD"/>
    <w:rsid w:val="00012537"/>
    <w:rsid w:val="00012660"/>
    <w:rsid w:val="000143E0"/>
    <w:rsid w:val="00017C78"/>
    <w:rsid w:val="00025453"/>
    <w:rsid w:val="000260F6"/>
    <w:rsid w:val="00026C3E"/>
    <w:rsid w:val="00032CED"/>
    <w:rsid w:val="0003338D"/>
    <w:rsid w:val="00033A1E"/>
    <w:rsid w:val="00034CE7"/>
    <w:rsid w:val="000355A7"/>
    <w:rsid w:val="000376A8"/>
    <w:rsid w:val="00040393"/>
    <w:rsid w:val="0004437C"/>
    <w:rsid w:val="00063C66"/>
    <w:rsid w:val="00071AF4"/>
    <w:rsid w:val="00071DAD"/>
    <w:rsid w:val="00073370"/>
    <w:rsid w:val="000753CE"/>
    <w:rsid w:val="000778B7"/>
    <w:rsid w:val="000820F7"/>
    <w:rsid w:val="000839CA"/>
    <w:rsid w:val="00086627"/>
    <w:rsid w:val="00090B48"/>
    <w:rsid w:val="000A0731"/>
    <w:rsid w:val="000A0C5F"/>
    <w:rsid w:val="000A4062"/>
    <w:rsid w:val="000A4A6F"/>
    <w:rsid w:val="000B07F7"/>
    <w:rsid w:val="000B19B0"/>
    <w:rsid w:val="000B2AA1"/>
    <w:rsid w:val="000B3015"/>
    <w:rsid w:val="000B52B1"/>
    <w:rsid w:val="000B5FD9"/>
    <w:rsid w:val="000B763D"/>
    <w:rsid w:val="000B7AE2"/>
    <w:rsid w:val="000C2393"/>
    <w:rsid w:val="000C6F57"/>
    <w:rsid w:val="000D6077"/>
    <w:rsid w:val="000E079E"/>
    <w:rsid w:val="000F0411"/>
    <w:rsid w:val="000F1F8F"/>
    <w:rsid w:val="000F3F0D"/>
    <w:rsid w:val="001024DE"/>
    <w:rsid w:val="00102803"/>
    <w:rsid w:val="00110E50"/>
    <w:rsid w:val="00114547"/>
    <w:rsid w:val="00114E17"/>
    <w:rsid w:val="00126486"/>
    <w:rsid w:val="001271D0"/>
    <w:rsid w:val="00140393"/>
    <w:rsid w:val="00141C81"/>
    <w:rsid w:val="0014414B"/>
    <w:rsid w:val="0015069B"/>
    <w:rsid w:val="00155E25"/>
    <w:rsid w:val="0015655F"/>
    <w:rsid w:val="00156608"/>
    <w:rsid w:val="00160F3B"/>
    <w:rsid w:val="001614C2"/>
    <w:rsid w:val="00164316"/>
    <w:rsid w:val="00173453"/>
    <w:rsid w:val="00181A24"/>
    <w:rsid w:val="0018521B"/>
    <w:rsid w:val="00186CF3"/>
    <w:rsid w:val="001904A5"/>
    <w:rsid w:val="00192ACA"/>
    <w:rsid w:val="001A244E"/>
    <w:rsid w:val="001A4CBF"/>
    <w:rsid w:val="001B00C7"/>
    <w:rsid w:val="001B5219"/>
    <w:rsid w:val="001B637B"/>
    <w:rsid w:val="001C0B20"/>
    <w:rsid w:val="001C2913"/>
    <w:rsid w:val="001C2CBE"/>
    <w:rsid w:val="001D0FD2"/>
    <w:rsid w:val="001D54D9"/>
    <w:rsid w:val="001D5C8D"/>
    <w:rsid w:val="001E271D"/>
    <w:rsid w:val="001E35F6"/>
    <w:rsid w:val="001E4A1B"/>
    <w:rsid w:val="001F4CF5"/>
    <w:rsid w:val="001F6673"/>
    <w:rsid w:val="001F6C5C"/>
    <w:rsid w:val="0020386B"/>
    <w:rsid w:val="00205449"/>
    <w:rsid w:val="00206A61"/>
    <w:rsid w:val="0021604E"/>
    <w:rsid w:val="00230981"/>
    <w:rsid w:val="00244937"/>
    <w:rsid w:val="00250046"/>
    <w:rsid w:val="00255E7C"/>
    <w:rsid w:val="00265236"/>
    <w:rsid w:val="00266979"/>
    <w:rsid w:val="00273F29"/>
    <w:rsid w:val="00283857"/>
    <w:rsid w:val="0028463A"/>
    <w:rsid w:val="00293A6D"/>
    <w:rsid w:val="0029697B"/>
    <w:rsid w:val="002A095D"/>
    <w:rsid w:val="002A7C12"/>
    <w:rsid w:val="002B2475"/>
    <w:rsid w:val="002B2E70"/>
    <w:rsid w:val="002C0E9B"/>
    <w:rsid w:val="002C3DDC"/>
    <w:rsid w:val="002C5C50"/>
    <w:rsid w:val="002D2A33"/>
    <w:rsid w:val="002D6AF9"/>
    <w:rsid w:val="002D7213"/>
    <w:rsid w:val="002E27F8"/>
    <w:rsid w:val="002E499F"/>
    <w:rsid w:val="002E5F85"/>
    <w:rsid w:val="002F48C7"/>
    <w:rsid w:val="002F4BD4"/>
    <w:rsid w:val="002F4D1E"/>
    <w:rsid w:val="00305846"/>
    <w:rsid w:val="003100DA"/>
    <w:rsid w:val="00314177"/>
    <w:rsid w:val="003226FF"/>
    <w:rsid w:val="00324C50"/>
    <w:rsid w:val="00324FDF"/>
    <w:rsid w:val="00330568"/>
    <w:rsid w:val="003327C6"/>
    <w:rsid w:val="00332BCC"/>
    <w:rsid w:val="00334F62"/>
    <w:rsid w:val="00341C5D"/>
    <w:rsid w:val="003426B9"/>
    <w:rsid w:val="00343475"/>
    <w:rsid w:val="00347AE2"/>
    <w:rsid w:val="00351B2B"/>
    <w:rsid w:val="00354751"/>
    <w:rsid w:val="00362F29"/>
    <w:rsid w:val="00363C26"/>
    <w:rsid w:val="003653DD"/>
    <w:rsid w:val="00374DF6"/>
    <w:rsid w:val="00376EFB"/>
    <w:rsid w:val="003774FB"/>
    <w:rsid w:val="00390DE4"/>
    <w:rsid w:val="0039598A"/>
    <w:rsid w:val="003962FD"/>
    <w:rsid w:val="00397CED"/>
    <w:rsid w:val="003A1EC2"/>
    <w:rsid w:val="003A4291"/>
    <w:rsid w:val="003A468B"/>
    <w:rsid w:val="003B7B3A"/>
    <w:rsid w:val="003C09A1"/>
    <w:rsid w:val="003C519C"/>
    <w:rsid w:val="003C56E2"/>
    <w:rsid w:val="003D0561"/>
    <w:rsid w:val="003D7814"/>
    <w:rsid w:val="003E4C68"/>
    <w:rsid w:val="003F20DB"/>
    <w:rsid w:val="003F21C5"/>
    <w:rsid w:val="003F2CF5"/>
    <w:rsid w:val="003F5983"/>
    <w:rsid w:val="003F6E78"/>
    <w:rsid w:val="004011B4"/>
    <w:rsid w:val="00401F23"/>
    <w:rsid w:val="004113B1"/>
    <w:rsid w:val="0041237A"/>
    <w:rsid w:val="00413962"/>
    <w:rsid w:val="004153BF"/>
    <w:rsid w:val="00415DE3"/>
    <w:rsid w:val="004179B4"/>
    <w:rsid w:val="00424DCC"/>
    <w:rsid w:val="004348C5"/>
    <w:rsid w:val="00435D72"/>
    <w:rsid w:val="00444051"/>
    <w:rsid w:val="00445405"/>
    <w:rsid w:val="00447C33"/>
    <w:rsid w:val="004566D1"/>
    <w:rsid w:val="00460940"/>
    <w:rsid w:val="0046295F"/>
    <w:rsid w:val="00464CA8"/>
    <w:rsid w:val="0048570D"/>
    <w:rsid w:val="00485B55"/>
    <w:rsid w:val="00486772"/>
    <w:rsid w:val="0049656A"/>
    <w:rsid w:val="004A0855"/>
    <w:rsid w:val="004A1427"/>
    <w:rsid w:val="004A228B"/>
    <w:rsid w:val="004A3006"/>
    <w:rsid w:val="004A3A7E"/>
    <w:rsid w:val="004A41DC"/>
    <w:rsid w:val="004B4242"/>
    <w:rsid w:val="004B7D04"/>
    <w:rsid w:val="004C248F"/>
    <w:rsid w:val="004D1AB2"/>
    <w:rsid w:val="004D60FA"/>
    <w:rsid w:val="004D6B03"/>
    <w:rsid w:val="004E0922"/>
    <w:rsid w:val="004F4ED4"/>
    <w:rsid w:val="0050045E"/>
    <w:rsid w:val="00500CD0"/>
    <w:rsid w:val="005034D7"/>
    <w:rsid w:val="005079F3"/>
    <w:rsid w:val="0051082B"/>
    <w:rsid w:val="00511879"/>
    <w:rsid w:val="00516ECF"/>
    <w:rsid w:val="0051765A"/>
    <w:rsid w:val="00523E1A"/>
    <w:rsid w:val="00530E56"/>
    <w:rsid w:val="00530EEC"/>
    <w:rsid w:val="00531F4B"/>
    <w:rsid w:val="00536EBA"/>
    <w:rsid w:val="00540969"/>
    <w:rsid w:val="005436F8"/>
    <w:rsid w:val="0054562D"/>
    <w:rsid w:val="00550202"/>
    <w:rsid w:val="00552A2C"/>
    <w:rsid w:val="00557D33"/>
    <w:rsid w:val="0056003B"/>
    <w:rsid w:val="005760A4"/>
    <w:rsid w:val="00585DD0"/>
    <w:rsid w:val="00592BAB"/>
    <w:rsid w:val="00594CF2"/>
    <w:rsid w:val="00595ABF"/>
    <w:rsid w:val="00597C7B"/>
    <w:rsid w:val="005A10CF"/>
    <w:rsid w:val="005A14CC"/>
    <w:rsid w:val="005B34F6"/>
    <w:rsid w:val="005B5619"/>
    <w:rsid w:val="005B5D63"/>
    <w:rsid w:val="005C5CCD"/>
    <w:rsid w:val="005D0ADE"/>
    <w:rsid w:val="005D34F9"/>
    <w:rsid w:val="005D74A6"/>
    <w:rsid w:val="005F1BE6"/>
    <w:rsid w:val="005F42B3"/>
    <w:rsid w:val="00601AAD"/>
    <w:rsid w:val="006078F7"/>
    <w:rsid w:val="006110FE"/>
    <w:rsid w:val="006136B6"/>
    <w:rsid w:val="00614643"/>
    <w:rsid w:val="0062237E"/>
    <w:rsid w:val="00623EF7"/>
    <w:rsid w:val="00624D1E"/>
    <w:rsid w:val="00624DFD"/>
    <w:rsid w:val="0063402F"/>
    <w:rsid w:val="006357DE"/>
    <w:rsid w:val="00640717"/>
    <w:rsid w:val="00643051"/>
    <w:rsid w:val="0064320B"/>
    <w:rsid w:val="0064450A"/>
    <w:rsid w:val="00654180"/>
    <w:rsid w:val="006548EB"/>
    <w:rsid w:val="00661118"/>
    <w:rsid w:val="00662719"/>
    <w:rsid w:val="006636A6"/>
    <w:rsid w:val="00665E8D"/>
    <w:rsid w:val="00672675"/>
    <w:rsid w:val="006733F3"/>
    <w:rsid w:val="00673DCC"/>
    <w:rsid w:val="00676A8F"/>
    <w:rsid w:val="00681938"/>
    <w:rsid w:val="0069176C"/>
    <w:rsid w:val="006A2DE0"/>
    <w:rsid w:val="006A66C6"/>
    <w:rsid w:val="006B1984"/>
    <w:rsid w:val="006B2B82"/>
    <w:rsid w:val="006B2EC1"/>
    <w:rsid w:val="006B3ABD"/>
    <w:rsid w:val="006B4502"/>
    <w:rsid w:val="006C0798"/>
    <w:rsid w:val="006C0B16"/>
    <w:rsid w:val="006C0B94"/>
    <w:rsid w:val="006C4F49"/>
    <w:rsid w:val="006C73FB"/>
    <w:rsid w:val="006D29AB"/>
    <w:rsid w:val="006D594C"/>
    <w:rsid w:val="006D7184"/>
    <w:rsid w:val="006F46BD"/>
    <w:rsid w:val="0070069F"/>
    <w:rsid w:val="00705806"/>
    <w:rsid w:val="00705B1F"/>
    <w:rsid w:val="0071139B"/>
    <w:rsid w:val="00722B40"/>
    <w:rsid w:val="00723C96"/>
    <w:rsid w:val="00725C38"/>
    <w:rsid w:val="00727D46"/>
    <w:rsid w:val="0073023B"/>
    <w:rsid w:val="0073582B"/>
    <w:rsid w:val="00741F4D"/>
    <w:rsid w:val="007535EC"/>
    <w:rsid w:val="00754769"/>
    <w:rsid w:val="00755519"/>
    <w:rsid w:val="00757974"/>
    <w:rsid w:val="0076400E"/>
    <w:rsid w:val="00764213"/>
    <w:rsid w:val="00772E08"/>
    <w:rsid w:val="00775B12"/>
    <w:rsid w:val="00783947"/>
    <w:rsid w:val="00787BEE"/>
    <w:rsid w:val="00790DD4"/>
    <w:rsid w:val="0079232F"/>
    <w:rsid w:val="0079467F"/>
    <w:rsid w:val="00796842"/>
    <w:rsid w:val="007A7695"/>
    <w:rsid w:val="007B063C"/>
    <w:rsid w:val="007B1270"/>
    <w:rsid w:val="007B196F"/>
    <w:rsid w:val="007B4CA4"/>
    <w:rsid w:val="007B6D40"/>
    <w:rsid w:val="007C38A1"/>
    <w:rsid w:val="007C64BC"/>
    <w:rsid w:val="007C7999"/>
    <w:rsid w:val="007D355F"/>
    <w:rsid w:val="007D36F4"/>
    <w:rsid w:val="007D78D9"/>
    <w:rsid w:val="007E4830"/>
    <w:rsid w:val="007E7DC3"/>
    <w:rsid w:val="007F0691"/>
    <w:rsid w:val="007F1264"/>
    <w:rsid w:val="007F1538"/>
    <w:rsid w:val="007F2FA4"/>
    <w:rsid w:val="007F6507"/>
    <w:rsid w:val="00800D7B"/>
    <w:rsid w:val="00803C21"/>
    <w:rsid w:val="00806B13"/>
    <w:rsid w:val="00806B7B"/>
    <w:rsid w:val="00807334"/>
    <w:rsid w:val="00811518"/>
    <w:rsid w:val="008149FB"/>
    <w:rsid w:val="00815C84"/>
    <w:rsid w:val="00816A80"/>
    <w:rsid w:val="00817198"/>
    <w:rsid w:val="00817BAD"/>
    <w:rsid w:val="008212E7"/>
    <w:rsid w:val="00824259"/>
    <w:rsid w:val="00834AA6"/>
    <w:rsid w:val="00836F18"/>
    <w:rsid w:val="008429B3"/>
    <w:rsid w:val="00842BF1"/>
    <w:rsid w:val="008451F3"/>
    <w:rsid w:val="00847591"/>
    <w:rsid w:val="00850A16"/>
    <w:rsid w:val="00850C3B"/>
    <w:rsid w:val="008529C7"/>
    <w:rsid w:val="00853A1B"/>
    <w:rsid w:val="00867631"/>
    <w:rsid w:val="0087170D"/>
    <w:rsid w:val="008829F1"/>
    <w:rsid w:val="00883632"/>
    <w:rsid w:val="0088620C"/>
    <w:rsid w:val="00887D02"/>
    <w:rsid w:val="00890B7F"/>
    <w:rsid w:val="008A4992"/>
    <w:rsid w:val="008A75F8"/>
    <w:rsid w:val="008B091F"/>
    <w:rsid w:val="008B20AC"/>
    <w:rsid w:val="008C00C5"/>
    <w:rsid w:val="008C02F3"/>
    <w:rsid w:val="008C3542"/>
    <w:rsid w:val="008C5DEA"/>
    <w:rsid w:val="008D30E9"/>
    <w:rsid w:val="008D496C"/>
    <w:rsid w:val="008D6F62"/>
    <w:rsid w:val="008F149C"/>
    <w:rsid w:val="008F2EC5"/>
    <w:rsid w:val="008F3145"/>
    <w:rsid w:val="008F34A7"/>
    <w:rsid w:val="008F35CA"/>
    <w:rsid w:val="00902340"/>
    <w:rsid w:val="00902978"/>
    <w:rsid w:val="0090473E"/>
    <w:rsid w:val="00904AF2"/>
    <w:rsid w:val="0091368C"/>
    <w:rsid w:val="00914619"/>
    <w:rsid w:val="00914D4B"/>
    <w:rsid w:val="00920A97"/>
    <w:rsid w:val="009218E1"/>
    <w:rsid w:val="00922DE1"/>
    <w:rsid w:val="009243B9"/>
    <w:rsid w:val="00936226"/>
    <w:rsid w:val="0093624C"/>
    <w:rsid w:val="00945A01"/>
    <w:rsid w:val="009512BD"/>
    <w:rsid w:val="00955424"/>
    <w:rsid w:val="00955942"/>
    <w:rsid w:val="009615F8"/>
    <w:rsid w:val="00961DE0"/>
    <w:rsid w:val="0096266C"/>
    <w:rsid w:val="00965DAE"/>
    <w:rsid w:val="009664BD"/>
    <w:rsid w:val="009741E1"/>
    <w:rsid w:val="009802BD"/>
    <w:rsid w:val="00981FDA"/>
    <w:rsid w:val="00992F16"/>
    <w:rsid w:val="00996750"/>
    <w:rsid w:val="009A0038"/>
    <w:rsid w:val="009A7E18"/>
    <w:rsid w:val="009B25B4"/>
    <w:rsid w:val="009B2B9A"/>
    <w:rsid w:val="009B2DFB"/>
    <w:rsid w:val="009B311E"/>
    <w:rsid w:val="009B3BD5"/>
    <w:rsid w:val="009B681F"/>
    <w:rsid w:val="009B7407"/>
    <w:rsid w:val="009B76AC"/>
    <w:rsid w:val="009C0274"/>
    <w:rsid w:val="009C3ED8"/>
    <w:rsid w:val="009C5C2E"/>
    <w:rsid w:val="009C672B"/>
    <w:rsid w:val="009C6B4C"/>
    <w:rsid w:val="009C6FD2"/>
    <w:rsid w:val="009D4479"/>
    <w:rsid w:val="009D4EA3"/>
    <w:rsid w:val="009D5F46"/>
    <w:rsid w:val="009D66E1"/>
    <w:rsid w:val="009D7E59"/>
    <w:rsid w:val="009E2C2D"/>
    <w:rsid w:val="009E2D6C"/>
    <w:rsid w:val="009E5D6E"/>
    <w:rsid w:val="009E5F1D"/>
    <w:rsid w:val="009E6A4F"/>
    <w:rsid w:val="009F36E9"/>
    <w:rsid w:val="009F5515"/>
    <w:rsid w:val="009F6C39"/>
    <w:rsid w:val="00A01E39"/>
    <w:rsid w:val="00A06674"/>
    <w:rsid w:val="00A136BF"/>
    <w:rsid w:val="00A21427"/>
    <w:rsid w:val="00A2583B"/>
    <w:rsid w:val="00A32583"/>
    <w:rsid w:val="00A329FF"/>
    <w:rsid w:val="00A33479"/>
    <w:rsid w:val="00A33A16"/>
    <w:rsid w:val="00A37BEF"/>
    <w:rsid w:val="00A45614"/>
    <w:rsid w:val="00A45BE2"/>
    <w:rsid w:val="00A504EF"/>
    <w:rsid w:val="00A51321"/>
    <w:rsid w:val="00A55A35"/>
    <w:rsid w:val="00A5611A"/>
    <w:rsid w:val="00A64794"/>
    <w:rsid w:val="00A65405"/>
    <w:rsid w:val="00A73B81"/>
    <w:rsid w:val="00A74627"/>
    <w:rsid w:val="00A813C3"/>
    <w:rsid w:val="00A829B4"/>
    <w:rsid w:val="00A90EF3"/>
    <w:rsid w:val="00A917B4"/>
    <w:rsid w:val="00A93DD7"/>
    <w:rsid w:val="00A9675F"/>
    <w:rsid w:val="00A97C3E"/>
    <w:rsid w:val="00AA0D56"/>
    <w:rsid w:val="00AA2E0A"/>
    <w:rsid w:val="00AA32A5"/>
    <w:rsid w:val="00AB030C"/>
    <w:rsid w:val="00AB53D5"/>
    <w:rsid w:val="00AC31C0"/>
    <w:rsid w:val="00AC62EB"/>
    <w:rsid w:val="00AD5885"/>
    <w:rsid w:val="00AD76E1"/>
    <w:rsid w:val="00AE10F5"/>
    <w:rsid w:val="00AE183C"/>
    <w:rsid w:val="00AF0872"/>
    <w:rsid w:val="00B072C3"/>
    <w:rsid w:val="00B10BAD"/>
    <w:rsid w:val="00B11C16"/>
    <w:rsid w:val="00B14925"/>
    <w:rsid w:val="00B14E5D"/>
    <w:rsid w:val="00B223D4"/>
    <w:rsid w:val="00B231C6"/>
    <w:rsid w:val="00B24CF6"/>
    <w:rsid w:val="00B26CE3"/>
    <w:rsid w:val="00B27A58"/>
    <w:rsid w:val="00B27BDB"/>
    <w:rsid w:val="00B304FF"/>
    <w:rsid w:val="00B37E58"/>
    <w:rsid w:val="00B428BA"/>
    <w:rsid w:val="00B46750"/>
    <w:rsid w:val="00B4750B"/>
    <w:rsid w:val="00B5080D"/>
    <w:rsid w:val="00B50846"/>
    <w:rsid w:val="00B533B8"/>
    <w:rsid w:val="00B60F26"/>
    <w:rsid w:val="00B66791"/>
    <w:rsid w:val="00B7428E"/>
    <w:rsid w:val="00B7503F"/>
    <w:rsid w:val="00B7740A"/>
    <w:rsid w:val="00B80D90"/>
    <w:rsid w:val="00B81D0A"/>
    <w:rsid w:val="00B82900"/>
    <w:rsid w:val="00B83955"/>
    <w:rsid w:val="00B900CB"/>
    <w:rsid w:val="00B904E9"/>
    <w:rsid w:val="00B9440A"/>
    <w:rsid w:val="00B94459"/>
    <w:rsid w:val="00B95F51"/>
    <w:rsid w:val="00B96E86"/>
    <w:rsid w:val="00BA3E3F"/>
    <w:rsid w:val="00BA3EBF"/>
    <w:rsid w:val="00BA4541"/>
    <w:rsid w:val="00BB1EA7"/>
    <w:rsid w:val="00BB3A49"/>
    <w:rsid w:val="00BB6607"/>
    <w:rsid w:val="00BC0E68"/>
    <w:rsid w:val="00BC551C"/>
    <w:rsid w:val="00BD500C"/>
    <w:rsid w:val="00BD7890"/>
    <w:rsid w:val="00BE0157"/>
    <w:rsid w:val="00BE2B83"/>
    <w:rsid w:val="00BE2DA1"/>
    <w:rsid w:val="00BE669F"/>
    <w:rsid w:val="00BF25CC"/>
    <w:rsid w:val="00BF3318"/>
    <w:rsid w:val="00BF4D03"/>
    <w:rsid w:val="00C061EC"/>
    <w:rsid w:val="00C07CCF"/>
    <w:rsid w:val="00C12B62"/>
    <w:rsid w:val="00C16E78"/>
    <w:rsid w:val="00C20095"/>
    <w:rsid w:val="00C227C9"/>
    <w:rsid w:val="00C22CFE"/>
    <w:rsid w:val="00C447EC"/>
    <w:rsid w:val="00C470B8"/>
    <w:rsid w:val="00C50278"/>
    <w:rsid w:val="00C50BC3"/>
    <w:rsid w:val="00C5320B"/>
    <w:rsid w:val="00C6034A"/>
    <w:rsid w:val="00C630C7"/>
    <w:rsid w:val="00C67461"/>
    <w:rsid w:val="00C87A02"/>
    <w:rsid w:val="00C9253A"/>
    <w:rsid w:val="00C9733D"/>
    <w:rsid w:val="00CA1101"/>
    <w:rsid w:val="00CA258B"/>
    <w:rsid w:val="00CA30FE"/>
    <w:rsid w:val="00CA47A4"/>
    <w:rsid w:val="00CB15A8"/>
    <w:rsid w:val="00CB3695"/>
    <w:rsid w:val="00CB5BBF"/>
    <w:rsid w:val="00CC7156"/>
    <w:rsid w:val="00CD6234"/>
    <w:rsid w:val="00CE0AD9"/>
    <w:rsid w:val="00CE3B7E"/>
    <w:rsid w:val="00CE4CC3"/>
    <w:rsid w:val="00CE6FAB"/>
    <w:rsid w:val="00CF5E30"/>
    <w:rsid w:val="00D07A69"/>
    <w:rsid w:val="00D10528"/>
    <w:rsid w:val="00D11B7B"/>
    <w:rsid w:val="00D12BBF"/>
    <w:rsid w:val="00D1579C"/>
    <w:rsid w:val="00D2538A"/>
    <w:rsid w:val="00D25B69"/>
    <w:rsid w:val="00D270C8"/>
    <w:rsid w:val="00D30B77"/>
    <w:rsid w:val="00D31A99"/>
    <w:rsid w:val="00D32198"/>
    <w:rsid w:val="00D33E01"/>
    <w:rsid w:val="00D342B8"/>
    <w:rsid w:val="00D37BA5"/>
    <w:rsid w:val="00D50CA6"/>
    <w:rsid w:val="00D536A8"/>
    <w:rsid w:val="00D54166"/>
    <w:rsid w:val="00D56258"/>
    <w:rsid w:val="00D56C54"/>
    <w:rsid w:val="00D605C3"/>
    <w:rsid w:val="00D61C0F"/>
    <w:rsid w:val="00D704EB"/>
    <w:rsid w:val="00D741FE"/>
    <w:rsid w:val="00D867C6"/>
    <w:rsid w:val="00D868BC"/>
    <w:rsid w:val="00D91732"/>
    <w:rsid w:val="00D97EB7"/>
    <w:rsid w:val="00DA2871"/>
    <w:rsid w:val="00DA446F"/>
    <w:rsid w:val="00DA6195"/>
    <w:rsid w:val="00DB5154"/>
    <w:rsid w:val="00DC1FA3"/>
    <w:rsid w:val="00DC5F71"/>
    <w:rsid w:val="00DD0689"/>
    <w:rsid w:val="00DD2CB6"/>
    <w:rsid w:val="00DD6D2C"/>
    <w:rsid w:val="00DE0D0C"/>
    <w:rsid w:val="00DE0D87"/>
    <w:rsid w:val="00DE4AF0"/>
    <w:rsid w:val="00DE6FE1"/>
    <w:rsid w:val="00DE75D1"/>
    <w:rsid w:val="00DF2FE5"/>
    <w:rsid w:val="00E01389"/>
    <w:rsid w:val="00E01D36"/>
    <w:rsid w:val="00E02956"/>
    <w:rsid w:val="00E04D76"/>
    <w:rsid w:val="00E10BB8"/>
    <w:rsid w:val="00E14898"/>
    <w:rsid w:val="00E16F07"/>
    <w:rsid w:val="00E23AE4"/>
    <w:rsid w:val="00E244BC"/>
    <w:rsid w:val="00E26EEA"/>
    <w:rsid w:val="00E31DD4"/>
    <w:rsid w:val="00E32563"/>
    <w:rsid w:val="00E35065"/>
    <w:rsid w:val="00E47202"/>
    <w:rsid w:val="00E563D8"/>
    <w:rsid w:val="00E56A8E"/>
    <w:rsid w:val="00E65C77"/>
    <w:rsid w:val="00E70484"/>
    <w:rsid w:val="00E70A78"/>
    <w:rsid w:val="00E7438D"/>
    <w:rsid w:val="00E83216"/>
    <w:rsid w:val="00E84A32"/>
    <w:rsid w:val="00E86EE5"/>
    <w:rsid w:val="00E877F0"/>
    <w:rsid w:val="00E90861"/>
    <w:rsid w:val="00E91167"/>
    <w:rsid w:val="00E9269F"/>
    <w:rsid w:val="00E92A33"/>
    <w:rsid w:val="00E9415B"/>
    <w:rsid w:val="00EB04EF"/>
    <w:rsid w:val="00EC31B4"/>
    <w:rsid w:val="00EC61DE"/>
    <w:rsid w:val="00ED116B"/>
    <w:rsid w:val="00ED3620"/>
    <w:rsid w:val="00ED4C2D"/>
    <w:rsid w:val="00ED6690"/>
    <w:rsid w:val="00EE3223"/>
    <w:rsid w:val="00EE3920"/>
    <w:rsid w:val="00EE58B7"/>
    <w:rsid w:val="00EF4B7C"/>
    <w:rsid w:val="00EF7DB7"/>
    <w:rsid w:val="00F027AB"/>
    <w:rsid w:val="00F05E26"/>
    <w:rsid w:val="00F17427"/>
    <w:rsid w:val="00F17B54"/>
    <w:rsid w:val="00F20410"/>
    <w:rsid w:val="00F309ED"/>
    <w:rsid w:val="00F31B05"/>
    <w:rsid w:val="00F44C02"/>
    <w:rsid w:val="00F44F3B"/>
    <w:rsid w:val="00F46514"/>
    <w:rsid w:val="00F54BFF"/>
    <w:rsid w:val="00F57EFF"/>
    <w:rsid w:val="00F60B30"/>
    <w:rsid w:val="00F6359F"/>
    <w:rsid w:val="00F64050"/>
    <w:rsid w:val="00F71857"/>
    <w:rsid w:val="00F73E3A"/>
    <w:rsid w:val="00F75A94"/>
    <w:rsid w:val="00F76476"/>
    <w:rsid w:val="00F77C22"/>
    <w:rsid w:val="00F82119"/>
    <w:rsid w:val="00F82E38"/>
    <w:rsid w:val="00F90291"/>
    <w:rsid w:val="00F90439"/>
    <w:rsid w:val="00F94308"/>
    <w:rsid w:val="00F95ABC"/>
    <w:rsid w:val="00FA342C"/>
    <w:rsid w:val="00FC22CC"/>
    <w:rsid w:val="00FC26E4"/>
    <w:rsid w:val="00FE346D"/>
    <w:rsid w:val="00FE4371"/>
    <w:rsid w:val="00FF0EF4"/>
    <w:rsid w:val="00FF39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C8C9F-B077-4EEF-8424-52BB32D7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B7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rsid w:val="00CE3B7E"/>
    <w:pPr>
      <w:bidi w:val="0"/>
      <w:spacing w:line="300" w:lineRule="exact"/>
      <w:ind w:firstLine="240"/>
      <w:jc w:val="both"/>
    </w:pPr>
    <w:rPr>
      <w:rFonts w:ascii="Times" w:hAnsi="Times" w:cs="Times"/>
    </w:rPr>
  </w:style>
  <w:style w:type="paragraph" w:styleId="a3">
    <w:name w:val="List Paragraph"/>
    <w:basedOn w:val="a"/>
    <w:uiPriority w:val="34"/>
    <w:qFormat/>
    <w:rsid w:val="00815C84"/>
    <w:pPr>
      <w:ind w:left="720"/>
      <w:contextualSpacing/>
    </w:pPr>
  </w:style>
  <w:style w:type="table" w:styleId="a4">
    <w:name w:val="Table Grid"/>
    <w:basedOn w:val="a1"/>
    <w:uiPriority w:val="59"/>
    <w:rsid w:val="0089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BE2B83"/>
    <w:rPr>
      <w:color w:val="0000FF" w:themeColor="hyperlink"/>
      <w:u w:val="single"/>
    </w:rPr>
  </w:style>
  <w:style w:type="paragraph" w:styleId="a5">
    <w:name w:val="footnote text"/>
    <w:basedOn w:val="a"/>
    <w:link w:val="a6"/>
    <w:uiPriority w:val="99"/>
    <w:unhideWhenUsed/>
    <w:rsid w:val="00BE2B83"/>
    <w:rPr>
      <w:rFonts w:asciiTheme="minorHAnsi" w:eastAsiaTheme="minorHAnsi" w:hAnsiTheme="minorHAnsi" w:cstheme="minorBidi"/>
      <w:sz w:val="20"/>
      <w:szCs w:val="20"/>
    </w:rPr>
  </w:style>
  <w:style w:type="character" w:customStyle="1" w:styleId="a6">
    <w:name w:val="טקסט הערת שוליים תו"/>
    <w:basedOn w:val="a0"/>
    <w:link w:val="a5"/>
    <w:uiPriority w:val="99"/>
    <w:rsid w:val="00BE2B83"/>
    <w:rPr>
      <w:sz w:val="20"/>
      <w:szCs w:val="20"/>
    </w:rPr>
  </w:style>
  <w:style w:type="character" w:styleId="a7">
    <w:name w:val="footnote reference"/>
    <w:basedOn w:val="a0"/>
    <w:uiPriority w:val="99"/>
    <w:semiHidden/>
    <w:unhideWhenUsed/>
    <w:rsid w:val="00BE2B83"/>
    <w:rPr>
      <w:vertAlign w:val="superscript"/>
    </w:rPr>
  </w:style>
  <w:style w:type="paragraph" w:styleId="a8">
    <w:name w:val="Balloon Text"/>
    <w:basedOn w:val="a"/>
    <w:link w:val="a9"/>
    <w:uiPriority w:val="99"/>
    <w:semiHidden/>
    <w:unhideWhenUsed/>
    <w:rsid w:val="00595ABF"/>
    <w:rPr>
      <w:rFonts w:ascii="Tahoma" w:hAnsi="Tahoma" w:cs="Tahoma"/>
      <w:sz w:val="18"/>
      <w:szCs w:val="18"/>
    </w:rPr>
  </w:style>
  <w:style w:type="character" w:customStyle="1" w:styleId="a9">
    <w:name w:val="טקסט בלונים תו"/>
    <w:basedOn w:val="a0"/>
    <w:link w:val="a8"/>
    <w:uiPriority w:val="99"/>
    <w:semiHidden/>
    <w:rsid w:val="00595ABF"/>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dc66967819e61477bbb22baefbd46658">
  <xsd:schema xmlns:xsd="http://www.w3.org/2001/XMLSchema" xmlns:xs="http://www.w3.org/2001/XMLSchema" xmlns:p="http://schemas.microsoft.com/office/2006/metadata/properties" xmlns:ns1="http://schemas.microsoft.com/sharepoint/v3" targetNamespace="http://schemas.microsoft.com/office/2006/metadata/properties" ma:root="true" ma:fieldsID="ea2d015b092b9b034dac7bb82bea7adc"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Props1.xml><?xml version="1.0" encoding="utf-8"?>
<ds:datastoreItem xmlns:ds="http://schemas.openxmlformats.org/officeDocument/2006/customXml" ds:itemID="{58AADD9B-B085-4522-A363-94679AFB8A00}"/>
</file>

<file path=customXml/itemProps2.xml><?xml version="1.0" encoding="utf-8"?>
<ds:datastoreItem xmlns:ds="http://schemas.openxmlformats.org/officeDocument/2006/customXml" ds:itemID="{DDD91061-AFED-4539-AB11-BA0EDB541D5C}"/>
</file>

<file path=customXml/itemProps3.xml><?xml version="1.0" encoding="utf-8"?>
<ds:datastoreItem xmlns:ds="http://schemas.openxmlformats.org/officeDocument/2006/customXml" ds:itemID="{CE120EB5-41B7-4FA7-BBD0-E199A694C375}"/>
</file>

<file path=customXml/itemProps4.xml><?xml version="1.0" encoding="utf-8"?>
<ds:datastoreItem xmlns:ds="http://schemas.openxmlformats.org/officeDocument/2006/customXml" ds:itemID="{6C45737F-5F1D-4AC8-A97F-6CEDD73A107F}"/>
</file>

<file path=docProps/app.xml><?xml version="1.0" encoding="utf-8"?>
<Properties xmlns="http://schemas.openxmlformats.org/officeDocument/2006/extended-properties" xmlns:vt="http://schemas.openxmlformats.org/officeDocument/2006/docPropsVTypes">
  <Template>Normal</Template>
  <TotalTime>0</TotalTime>
  <Pages>6</Pages>
  <Words>1972</Words>
  <Characters>9864</Characters>
  <Application>Microsoft Office Word</Application>
  <DocSecurity>0</DocSecurity>
  <Lines>82</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boiuser</cp:lastModifiedBy>
  <cp:revision>2</cp:revision>
  <dcterms:created xsi:type="dcterms:W3CDTF">2020-07-14T09:01:00Z</dcterms:created>
  <dcterms:modified xsi:type="dcterms:W3CDTF">2020-07-14T09:01:00Z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