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410" w14:textId="77777777" w:rsidR="003D3956" w:rsidRPr="00656F3F" w:rsidRDefault="003D3956">
      <w:pPr>
        <w:rPr>
          <w:rFonts w:ascii="Calibri" w:hAnsi="Calibri" w:cs="Calibri"/>
        </w:rPr>
      </w:pPr>
    </w:p>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FC171A" w:rsidRPr="00656F3F" w14:paraId="1CF1CD75" w14:textId="77777777" w:rsidTr="003D3956">
        <w:trPr>
          <w:cantSplit/>
        </w:trPr>
        <w:tc>
          <w:tcPr>
            <w:tcW w:w="3392" w:type="dxa"/>
            <w:tcBorders>
              <w:top w:val="nil"/>
              <w:left w:val="nil"/>
              <w:bottom w:val="nil"/>
              <w:right w:val="nil"/>
            </w:tcBorders>
            <w:vAlign w:val="center"/>
          </w:tcPr>
          <w:p w14:paraId="656D828C" w14:textId="77777777" w:rsidR="00FC171A" w:rsidRPr="00656F3F" w:rsidRDefault="00FC171A" w:rsidP="00FC171A">
            <w:pPr>
              <w:jc w:val="both"/>
              <w:rPr>
                <w:rFonts w:ascii="Calibri" w:hAnsi="Calibri" w:cs="Calibri"/>
                <w:b/>
                <w:bCs/>
                <w:rtl/>
              </w:rPr>
            </w:pPr>
            <w:r w:rsidRPr="00656F3F">
              <w:rPr>
                <w:rFonts w:ascii="Calibri" w:hAnsi="Calibri" w:cs="Calibri"/>
                <w:b/>
                <w:bCs/>
                <w:rtl/>
              </w:rPr>
              <w:t>בנק ישראל</w:t>
            </w:r>
          </w:p>
          <w:p w14:paraId="35363314" w14:textId="77777777" w:rsidR="00FC171A" w:rsidRPr="00656F3F" w:rsidRDefault="00FC171A" w:rsidP="00FC171A">
            <w:pPr>
              <w:jc w:val="both"/>
              <w:rPr>
                <w:rFonts w:ascii="Calibri" w:hAnsi="Calibri" w:cs="Calibri"/>
              </w:rPr>
            </w:pPr>
            <w:r w:rsidRPr="00656F3F">
              <w:rPr>
                <w:rFonts w:ascii="Calibri" w:hAnsi="Calibri" w:cs="Calibri"/>
                <w:rtl/>
              </w:rPr>
              <w:t>דוברות והסברה כלכלי</w:t>
            </w:r>
            <w:bookmarkStart w:id="0" w:name="_GoBack"/>
            <w:bookmarkEnd w:id="0"/>
            <w:r w:rsidRPr="00656F3F">
              <w:rPr>
                <w:rFonts w:ascii="Calibri" w:hAnsi="Calibri" w:cs="Calibri"/>
                <w:rtl/>
              </w:rPr>
              <w:t>ת</w:t>
            </w:r>
          </w:p>
        </w:tc>
        <w:tc>
          <w:tcPr>
            <w:tcW w:w="2596" w:type="dxa"/>
            <w:tcBorders>
              <w:top w:val="nil"/>
              <w:left w:val="nil"/>
              <w:bottom w:val="nil"/>
              <w:right w:val="nil"/>
            </w:tcBorders>
          </w:tcPr>
          <w:p w14:paraId="7B524BF2" w14:textId="77777777" w:rsidR="00FC171A" w:rsidRPr="00656F3F" w:rsidRDefault="00FC171A" w:rsidP="00FC171A">
            <w:pPr>
              <w:jc w:val="both"/>
              <w:rPr>
                <w:rFonts w:ascii="Calibri" w:hAnsi="Calibri" w:cs="Calibri"/>
              </w:rPr>
            </w:pPr>
            <w:r w:rsidRPr="00656F3F">
              <w:rPr>
                <w:rFonts w:ascii="Calibri" w:hAnsi="Calibri" w:cs="Calibri"/>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6521BC44" w:rsidR="00FC171A" w:rsidRPr="00656F3F" w:rsidRDefault="00FC171A" w:rsidP="007B13AA">
            <w:pPr>
              <w:jc w:val="right"/>
              <w:rPr>
                <w:rFonts w:ascii="Calibri" w:hAnsi="Calibri" w:cs="Calibri"/>
                <w:rtl/>
              </w:rPr>
            </w:pPr>
            <w:r w:rsidRPr="00656F3F">
              <w:rPr>
                <w:rFonts w:ascii="Calibri" w:hAnsi="Calibri" w:cs="Calibri"/>
                <w:rtl/>
              </w:rPr>
              <w:t xml:space="preserve">‏ירושלים, </w:t>
            </w:r>
            <w:r w:rsidR="007B13AA" w:rsidRPr="00656F3F">
              <w:rPr>
                <w:rFonts w:ascii="Calibri" w:hAnsi="Calibri" w:cs="Calibri"/>
                <w:rtl/>
              </w:rPr>
              <w:t>ב' בתמוז</w:t>
            </w:r>
            <w:r w:rsidRPr="00656F3F">
              <w:rPr>
                <w:rFonts w:ascii="Calibri" w:hAnsi="Calibri" w:cs="Calibri"/>
                <w:rtl/>
              </w:rPr>
              <w:t>, תשפ"</w:t>
            </w:r>
            <w:r w:rsidR="00ED0EEB" w:rsidRPr="00656F3F">
              <w:rPr>
                <w:rFonts w:ascii="Calibri" w:hAnsi="Calibri" w:cs="Calibri"/>
                <w:rtl/>
              </w:rPr>
              <w:t>ד</w:t>
            </w:r>
          </w:p>
          <w:p w14:paraId="559DAC8F" w14:textId="30092EB4" w:rsidR="00FC171A" w:rsidRPr="00656F3F" w:rsidRDefault="00FC171A" w:rsidP="007B13AA">
            <w:pPr>
              <w:jc w:val="right"/>
              <w:rPr>
                <w:rFonts w:ascii="Calibri" w:hAnsi="Calibri" w:cs="Calibri"/>
              </w:rPr>
            </w:pPr>
            <w:r w:rsidRPr="00656F3F">
              <w:rPr>
                <w:rFonts w:ascii="Calibri" w:hAnsi="Calibri" w:cs="Calibri"/>
                <w:rtl/>
              </w:rPr>
              <w:t>‏‏‏‏‏‏</w:t>
            </w:r>
            <w:r w:rsidR="00985794" w:rsidRPr="00656F3F">
              <w:rPr>
                <w:rFonts w:ascii="Calibri" w:hAnsi="Calibri" w:cs="Calibri"/>
                <w:rtl/>
              </w:rPr>
              <w:t>8</w:t>
            </w:r>
            <w:r w:rsidR="00B8762E" w:rsidRPr="00656F3F">
              <w:rPr>
                <w:rFonts w:ascii="Calibri" w:hAnsi="Calibri" w:cs="Calibri"/>
                <w:rtl/>
              </w:rPr>
              <w:t xml:space="preserve"> </w:t>
            </w:r>
            <w:r w:rsidR="007A4BA0" w:rsidRPr="00656F3F">
              <w:rPr>
                <w:rFonts w:ascii="Calibri" w:hAnsi="Calibri" w:cs="Calibri"/>
                <w:rtl/>
              </w:rPr>
              <w:t>ב</w:t>
            </w:r>
            <w:r w:rsidR="007B13AA" w:rsidRPr="00656F3F">
              <w:rPr>
                <w:rFonts w:ascii="Calibri" w:hAnsi="Calibri" w:cs="Calibri"/>
                <w:rtl/>
              </w:rPr>
              <w:t>יולי</w:t>
            </w:r>
            <w:r w:rsidRPr="00656F3F">
              <w:rPr>
                <w:rFonts w:ascii="Calibri" w:hAnsi="Calibri" w:cs="Calibri"/>
                <w:rtl/>
              </w:rPr>
              <w:t xml:space="preserve"> 202</w:t>
            </w:r>
            <w:r w:rsidR="00C874E7" w:rsidRPr="00656F3F">
              <w:rPr>
                <w:rFonts w:ascii="Calibri" w:hAnsi="Calibri" w:cs="Calibri"/>
                <w:rtl/>
              </w:rPr>
              <w:t>4</w:t>
            </w:r>
          </w:p>
        </w:tc>
      </w:tr>
    </w:tbl>
    <w:p w14:paraId="0363BD60" w14:textId="77777777" w:rsidR="006A4DC0" w:rsidRPr="00656F3F" w:rsidRDefault="006A4DC0" w:rsidP="006A4DC0">
      <w:pPr>
        <w:jc w:val="both"/>
        <w:rPr>
          <w:rFonts w:ascii="Calibri" w:hAnsi="Calibri" w:cs="Calibri"/>
          <w:rtl/>
        </w:rPr>
      </w:pPr>
      <w:r w:rsidRPr="00656F3F">
        <w:rPr>
          <w:rFonts w:ascii="Calibri" w:hAnsi="Calibri" w:cs="Calibri"/>
          <w:rtl/>
        </w:rPr>
        <w:t>הודעה לעיתונות:</w:t>
      </w:r>
    </w:p>
    <w:p w14:paraId="2464C45F" w14:textId="77777777" w:rsidR="006A4DC0" w:rsidRPr="00656F3F" w:rsidRDefault="006A4DC0" w:rsidP="00A251DD">
      <w:pPr>
        <w:jc w:val="both"/>
        <w:rPr>
          <w:rFonts w:ascii="Calibri" w:hAnsi="Calibri" w:cs="Calibri"/>
          <w:rtl/>
        </w:rPr>
      </w:pPr>
    </w:p>
    <w:p w14:paraId="48CE48B4" w14:textId="79EF8AA2" w:rsidR="00BB518C" w:rsidRPr="00656F3F" w:rsidRDefault="00BB518C" w:rsidP="007B13AA">
      <w:pPr>
        <w:pStyle w:val="af6"/>
        <w:rPr>
          <w:rFonts w:ascii="Calibri" w:hAnsi="Calibri" w:cs="Calibri"/>
          <w:rtl/>
        </w:rPr>
      </w:pPr>
      <w:r w:rsidRPr="00656F3F">
        <w:rPr>
          <w:rFonts w:ascii="Calibri" w:hAnsi="Calibri" w:cs="Calibri"/>
          <w:rtl/>
        </w:rPr>
        <w:t xml:space="preserve">התחזית המקרו-כלכלית של חטיבת המחקר, </w:t>
      </w:r>
      <w:r w:rsidR="007B13AA" w:rsidRPr="00656F3F">
        <w:rPr>
          <w:rFonts w:ascii="Calibri" w:hAnsi="Calibri" w:cs="Calibri"/>
          <w:rtl/>
        </w:rPr>
        <w:t>יולי</w:t>
      </w:r>
      <w:r w:rsidRPr="00656F3F">
        <w:rPr>
          <w:rFonts w:ascii="Calibri" w:hAnsi="Calibri" w:cs="Calibri"/>
          <w:rtl/>
        </w:rPr>
        <w:t xml:space="preserve"> 202</w:t>
      </w:r>
      <w:r w:rsidR="00723B64" w:rsidRPr="00656F3F">
        <w:rPr>
          <w:rFonts w:ascii="Calibri" w:hAnsi="Calibri" w:cs="Calibri"/>
          <w:rtl/>
        </w:rPr>
        <w:t>4</w:t>
      </w:r>
    </w:p>
    <w:p w14:paraId="2CC7F337" w14:textId="77777777" w:rsidR="003B2D4B" w:rsidRPr="00656F3F" w:rsidRDefault="003B2D4B" w:rsidP="00597143">
      <w:pPr>
        <w:pStyle w:val="1"/>
        <w:rPr>
          <w:rFonts w:ascii="Calibri" w:hAnsi="Calibri" w:cs="Calibri"/>
        </w:rPr>
      </w:pPr>
      <w:r w:rsidRPr="00656F3F">
        <w:rPr>
          <w:rFonts w:ascii="Calibri" w:hAnsi="Calibri" w:cs="Calibri"/>
          <w:rtl/>
        </w:rPr>
        <w:t>תמצית</w:t>
      </w:r>
    </w:p>
    <w:p w14:paraId="03F6ED11" w14:textId="6A257556" w:rsidR="00634D54" w:rsidRPr="00656F3F" w:rsidRDefault="00634D54" w:rsidP="00634D54">
      <w:pPr>
        <w:spacing w:after="120"/>
        <w:jc w:val="both"/>
        <w:rPr>
          <w:rFonts w:ascii="Calibri" w:eastAsia="Calibri" w:hAnsi="Calibri" w:cs="Calibri"/>
          <w:rtl/>
        </w:rPr>
      </w:pPr>
      <w:r w:rsidRPr="00656F3F">
        <w:rPr>
          <w:rFonts w:ascii="Calibri" w:eastAsia="Calibri" w:hAnsi="Calibri" w:cs="Calibri"/>
          <w:rtl/>
        </w:rPr>
        <w:t>מסמך זה מציג את התחזית המקרו-כלכלית שחטיבת המחקר בבנק ישראל גיבשה ביולי 2024 בנוגע למשתני המקרו העיקריים – התוצר, האינפלציה והריבית.</w:t>
      </w:r>
      <w:r w:rsidRPr="00656F3F">
        <w:rPr>
          <w:rFonts w:ascii="Calibri" w:eastAsia="Calibri" w:hAnsi="Calibri" w:cs="Calibri"/>
          <w:vertAlign w:val="superscript"/>
          <w:rtl/>
        </w:rPr>
        <w:footnoteReference w:id="1"/>
      </w:r>
      <w:r w:rsidRPr="00656F3F">
        <w:rPr>
          <w:rFonts w:ascii="Calibri" w:eastAsia="Calibri" w:hAnsi="Calibri" w:cs="Calibri"/>
          <w:rtl/>
        </w:rPr>
        <w:t xml:space="preserve"> התחזית גובשה תחת ההנחה שההשפעה הכלכלית הישירה של הלחימה בחזיתות הדרומית והצפונית ת</w:t>
      </w:r>
      <w:r w:rsidR="00677B5B" w:rsidRPr="00656F3F">
        <w:rPr>
          <w:rFonts w:ascii="Calibri" w:eastAsia="Calibri" w:hAnsi="Calibri" w:cs="Calibri"/>
          <w:rtl/>
        </w:rPr>
        <w:t>י</w:t>
      </w:r>
      <w:r w:rsidRPr="00656F3F">
        <w:rPr>
          <w:rFonts w:ascii="Calibri" w:eastAsia="Calibri" w:hAnsi="Calibri" w:cs="Calibri"/>
          <w:rtl/>
        </w:rPr>
        <w:t>משך עד תחילת שנת 2025. הנחה זו משקפת לחימה ממושכת ועצימה יותר בהשוואה להנחה שעמדה בבסיס תחזית אפריל. התחזית מאופיינת ברמה גבוהה במיוחד של אי ודאות, ובפרט, עלתה ההסתברות לתרחישים ביטחוניים חמורים יותר מאלו שמגולמים בתחזית כגון התארכות נוספת של המלחמה והתעצמותה בזירות השונות.</w:t>
      </w:r>
    </w:p>
    <w:p w14:paraId="6D532261" w14:textId="1C5CB832" w:rsidR="00B144DA" w:rsidRPr="00656F3F" w:rsidRDefault="00634D54" w:rsidP="00D429A6">
      <w:pPr>
        <w:spacing w:after="120"/>
        <w:jc w:val="both"/>
        <w:rPr>
          <w:rFonts w:ascii="Calibri" w:eastAsia="Calibri" w:hAnsi="Calibri" w:cs="Calibri"/>
          <w:rtl/>
        </w:rPr>
      </w:pPr>
      <w:r w:rsidRPr="00656F3F">
        <w:rPr>
          <w:rFonts w:ascii="Calibri" w:eastAsia="Calibri" w:hAnsi="Calibri" w:cs="Calibri"/>
          <w:rtl/>
        </w:rPr>
        <w:t>על פי התחזית, התוצר צפוי לצמוח בשיעור של 1.5% בשנת 2024 ושל 4.2% בשנת 2025, נמוך מהערכתנו בתחזית אפריל. שיעור האינפלציה בארבעת הרבעונים הקרובים (המסתיימים ברבעון השני של שנת 2025) צפוי להיות 3.</w:t>
      </w:r>
      <w:r w:rsidR="00D429A6" w:rsidRPr="00656F3F">
        <w:rPr>
          <w:rFonts w:ascii="Calibri" w:eastAsia="Calibri" w:hAnsi="Calibri" w:cs="Calibri"/>
          <w:rtl/>
        </w:rPr>
        <w:t>2</w:t>
      </w:r>
      <w:r w:rsidRPr="00656F3F">
        <w:rPr>
          <w:rFonts w:ascii="Calibri" w:eastAsia="Calibri" w:hAnsi="Calibri" w:cs="Calibri"/>
          <w:rtl/>
        </w:rPr>
        <w:t xml:space="preserve">%, בין השאר בשל השפעות </w:t>
      </w:r>
      <w:r w:rsidR="0002347C" w:rsidRPr="00656F3F">
        <w:rPr>
          <w:rFonts w:ascii="Calibri" w:eastAsia="Calibri" w:hAnsi="Calibri" w:cs="Calibri"/>
          <w:rtl/>
        </w:rPr>
        <w:t xml:space="preserve">צעדי </w:t>
      </w:r>
      <w:r w:rsidRPr="00656F3F">
        <w:rPr>
          <w:rFonts w:ascii="Calibri" w:eastAsia="Calibri" w:hAnsi="Calibri" w:cs="Calibri"/>
          <w:rtl/>
        </w:rPr>
        <w:t>מיסוי</w:t>
      </w:r>
      <w:r w:rsidR="0002347C" w:rsidRPr="00656F3F">
        <w:rPr>
          <w:rFonts w:ascii="Calibri" w:eastAsia="Calibri" w:hAnsi="Calibri" w:cs="Calibri"/>
          <w:rtl/>
        </w:rPr>
        <w:t xml:space="preserve"> שאנו מניחים שיאושרו בשנה הקרובה</w:t>
      </w:r>
      <w:r w:rsidRPr="00656F3F">
        <w:rPr>
          <w:rFonts w:ascii="Calibri" w:eastAsia="Calibri" w:hAnsi="Calibri" w:cs="Calibri"/>
          <w:rtl/>
        </w:rPr>
        <w:t xml:space="preserve">. שיעור האינפלציה במהלך שנת 2024 צפוי להיות </w:t>
      </w:r>
      <w:r w:rsidR="00D429A6" w:rsidRPr="00656F3F">
        <w:rPr>
          <w:rFonts w:ascii="Calibri" w:eastAsia="Calibri" w:hAnsi="Calibri" w:cs="Calibri"/>
          <w:rtl/>
        </w:rPr>
        <w:t>3.0</w:t>
      </w:r>
      <w:r w:rsidRPr="00656F3F">
        <w:rPr>
          <w:rFonts w:ascii="Calibri" w:eastAsia="Calibri" w:hAnsi="Calibri" w:cs="Calibri"/>
          <w:rtl/>
        </w:rPr>
        <w:t>%</w:t>
      </w:r>
      <w:r w:rsidR="00843BD5" w:rsidRPr="00656F3F">
        <w:rPr>
          <w:rFonts w:ascii="Calibri" w:eastAsia="Calibri" w:hAnsi="Calibri" w:cs="Calibri"/>
          <w:rtl/>
        </w:rPr>
        <w:t xml:space="preserve"> (לעומת 2.7% בתחזית אפריל)</w:t>
      </w:r>
      <w:r w:rsidRPr="00656F3F">
        <w:rPr>
          <w:rFonts w:ascii="Calibri" w:eastAsia="Calibri" w:hAnsi="Calibri" w:cs="Calibri"/>
          <w:rtl/>
        </w:rPr>
        <w:t xml:space="preserve">, ובמהלך שנת 2025 הוא צפוי לעמוד על </w:t>
      </w:r>
      <w:r w:rsidR="00D429A6" w:rsidRPr="00656F3F">
        <w:rPr>
          <w:rFonts w:ascii="Calibri" w:eastAsia="Calibri" w:hAnsi="Calibri" w:cs="Calibri"/>
          <w:rtl/>
        </w:rPr>
        <w:t>2.8</w:t>
      </w:r>
      <w:r w:rsidRPr="00656F3F">
        <w:rPr>
          <w:rFonts w:ascii="Calibri" w:eastAsia="Calibri" w:hAnsi="Calibri" w:cs="Calibri"/>
          <w:rtl/>
        </w:rPr>
        <w:t>%</w:t>
      </w:r>
      <w:r w:rsidR="00843BD5" w:rsidRPr="00656F3F">
        <w:rPr>
          <w:rFonts w:ascii="Calibri" w:eastAsia="Calibri" w:hAnsi="Calibri" w:cs="Calibri"/>
          <w:rtl/>
        </w:rPr>
        <w:t xml:space="preserve"> (לעומת 2.3% בתחזית אפריל)</w:t>
      </w:r>
      <w:r w:rsidRPr="00656F3F">
        <w:rPr>
          <w:rFonts w:ascii="Calibri" w:eastAsia="Calibri" w:hAnsi="Calibri" w:cs="Calibri"/>
          <w:rtl/>
        </w:rPr>
        <w:t xml:space="preserve">. ברבעון השני של 2025 הריבית צפויה לעמוד על 4.25%. לנוכח </w:t>
      </w:r>
      <w:r w:rsidR="0002347C" w:rsidRPr="00656F3F">
        <w:rPr>
          <w:rFonts w:ascii="Calibri" w:eastAsia="Calibri" w:hAnsi="Calibri" w:cs="Calibri"/>
          <w:rtl/>
        </w:rPr>
        <w:t>עליית ההסתברות שאנו מייחסים ל</w:t>
      </w:r>
      <w:r w:rsidRPr="00656F3F">
        <w:rPr>
          <w:rFonts w:ascii="Calibri" w:eastAsia="Calibri" w:hAnsi="Calibri" w:cs="Calibri"/>
          <w:rtl/>
        </w:rPr>
        <w:t>תרחישים ביטחוניים חמורים יותר</w:t>
      </w:r>
      <w:r w:rsidR="00843BD5" w:rsidRPr="00656F3F">
        <w:rPr>
          <w:rFonts w:ascii="Calibri" w:eastAsia="Calibri" w:hAnsi="Calibri" w:cs="Calibri"/>
          <w:rtl/>
        </w:rPr>
        <w:t xml:space="preserve"> כגון עלייה בעוצמת ומשך הלחימה</w:t>
      </w:r>
      <w:r w:rsidRPr="00656F3F">
        <w:rPr>
          <w:rFonts w:ascii="Calibri" w:eastAsia="Calibri" w:hAnsi="Calibri" w:cs="Calibri"/>
          <w:rtl/>
        </w:rPr>
        <w:t>, הסיכון לתחזית הצמיחה נוטה כלפי מטה והסיכון לתחזיות האינפלציה והריבית נוטה כלפי מעלה.</w:t>
      </w:r>
    </w:p>
    <w:p w14:paraId="295AE7A3" w14:textId="77777777" w:rsidR="003B2D4B" w:rsidRPr="00656F3F" w:rsidRDefault="003B2D4B" w:rsidP="00597143">
      <w:pPr>
        <w:pStyle w:val="1"/>
        <w:rPr>
          <w:rFonts w:ascii="Calibri" w:hAnsi="Calibri" w:cs="Calibri"/>
          <w:rtl/>
        </w:rPr>
      </w:pPr>
      <w:r w:rsidRPr="00656F3F">
        <w:rPr>
          <w:rFonts w:ascii="Calibri" w:hAnsi="Calibri" w:cs="Calibri"/>
          <w:rtl/>
        </w:rPr>
        <w:t>התחזית</w:t>
      </w:r>
    </w:p>
    <w:p w14:paraId="0E22C297" w14:textId="77777777" w:rsidR="00634D54" w:rsidRPr="00656F3F" w:rsidRDefault="00634D54" w:rsidP="00992987">
      <w:pPr>
        <w:spacing w:after="120"/>
        <w:jc w:val="both"/>
        <w:rPr>
          <w:rFonts w:ascii="Calibri" w:eastAsia="Calibri" w:hAnsi="Calibri" w:cs="Calibri"/>
          <w:rtl/>
        </w:rPr>
      </w:pPr>
      <w:r w:rsidRPr="00656F3F">
        <w:rPr>
          <w:rFonts w:ascii="Calibri" w:eastAsia="Calibri" w:hAnsi="Calibri" w:cs="Calibri"/>
          <w:rtl/>
        </w:rPr>
        <w:t>חטיבת המחקר של בנק ישראל עורכת בכל רבעון תחזית מקרו-כלכלית שמתבססת על מספר מודלים, על מקורות מידע שונים ועל הערכות שיפוטיות. בתהליך זה יש תפקיד מרכזי למודל ה-</w:t>
      </w:r>
      <w:r w:rsidRPr="00656F3F">
        <w:rPr>
          <w:rFonts w:ascii="Calibri" w:eastAsia="Calibri" w:hAnsi="Calibri" w:cs="Calibri"/>
        </w:rPr>
        <w:t>DSGE (Dynamic Stochastic General Equilibrium)</w:t>
      </w:r>
      <w:r w:rsidRPr="00656F3F">
        <w:rPr>
          <w:rFonts w:ascii="Calibri" w:eastAsia="Calibri" w:hAnsi="Calibri" w:cs="Calibri"/>
          <w:rtl/>
        </w:rPr>
        <w:t xml:space="preserve"> שפותח בחטיבת המחקר – מודל מבני שמבוסס על יסודות מיקרו-</w:t>
      </w:r>
      <w:r w:rsidRPr="00656F3F">
        <w:rPr>
          <w:rFonts w:ascii="Calibri" w:eastAsia="Calibri" w:hAnsi="Calibri" w:cs="Calibri"/>
          <w:rtl/>
        </w:rPr>
        <w:lastRenderedPageBreak/>
        <w:t>כלכליים.</w:t>
      </w:r>
      <w:r w:rsidR="003B2D4B" w:rsidRPr="00656F3F">
        <w:rPr>
          <w:rFonts w:ascii="Calibri" w:eastAsia="Calibri" w:hAnsi="Calibri" w:cs="Calibri"/>
          <w:vertAlign w:val="superscript"/>
          <w:rtl/>
        </w:rPr>
        <w:footnoteReference w:id="2"/>
      </w:r>
      <w:r w:rsidR="003B2D4B" w:rsidRPr="00656F3F">
        <w:rPr>
          <w:rFonts w:ascii="Calibri" w:eastAsia="Calibri" w:hAnsi="Calibri" w:cs="Calibri"/>
          <w:rtl/>
        </w:rPr>
        <w:t xml:space="preserve"> </w:t>
      </w:r>
      <w:r w:rsidRPr="00656F3F">
        <w:rPr>
          <w:rFonts w:ascii="Calibri" w:eastAsia="Calibri" w:hAnsi="Calibri" w:cs="Calibri"/>
          <w:rtl/>
        </w:rPr>
        <w:t xml:space="preserve">המודל מספק מסגרת לניתוח הכוחות המשפיעים על הכלכלה והוא מאפשר לגבש את המידע מהמקורות השונים לכדי תחזית מקרו-כלכלית למשתנים ריאליים ונומינליים, המתאפיינת בעקביות פנימית ובסיפור כלכלי. </w:t>
      </w:r>
    </w:p>
    <w:p w14:paraId="6DD49758" w14:textId="668FD2D3" w:rsidR="000D2878" w:rsidRPr="00656F3F" w:rsidRDefault="00634D54" w:rsidP="00992987">
      <w:pPr>
        <w:spacing w:after="120"/>
        <w:jc w:val="both"/>
        <w:rPr>
          <w:rFonts w:ascii="Calibri" w:eastAsia="Calibri" w:hAnsi="Calibri" w:cs="Calibri"/>
          <w:rtl/>
        </w:rPr>
      </w:pPr>
      <w:r w:rsidRPr="00656F3F">
        <w:rPr>
          <w:rFonts w:ascii="Calibri" w:eastAsia="Calibri" w:hAnsi="Calibri" w:cs="Calibri"/>
          <w:rtl/>
        </w:rPr>
        <w:t>לצורך גיבוש אומדנים להשפעות הכלכליות של המלחמה ניתן דגש מיוחד לניתוח נתונים מהירים המעידים על היקפי הפגיעה ועל קצב ההתאוששות של תוצר ענפי המשק והשימושים, וכן על ניתוח של אירועים ביטחוניים מן העבר. הניתוח הסתייע בהערכות לגבי היקף הפגיעה וההתאוששות בצד ההיצע ברמה הענפית, שבין היתר קשור למחסור בעובדים במהלך תקופת הלחימה, וכן למגבלות הביטחוניות על הפעילות. בצד הביקוש נותחו הנתונים שהצטברו עד כה לצורך הערכת הפגיעה בשימושים השונים וכן לצורך הערכה לגבי קצב התאוששותם עד כה. התוצאות שהתקבלו גובשו לכדי תחזית למקורות והשימושים, וזו תרמה לגיבוש התחזית שמוצגת כאן.</w:t>
      </w:r>
    </w:p>
    <w:p w14:paraId="0FBEEA0E" w14:textId="77777777" w:rsidR="003B2D4B" w:rsidRPr="00656F3F" w:rsidRDefault="003B2D4B" w:rsidP="00910C95">
      <w:pPr>
        <w:pStyle w:val="a"/>
        <w:rPr>
          <w:rFonts w:ascii="Calibri" w:hAnsi="Calibri" w:cs="Calibri"/>
          <w:rtl/>
        </w:rPr>
      </w:pPr>
      <w:r w:rsidRPr="00656F3F">
        <w:rPr>
          <w:rFonts w:ascii="Calibri" w:hAnsi="Calibri" w:cs="Calibri"/>
          <w:rtl/>
        </w:rPr>
        <w:t>הסביבה העולמית</w:t>
      </w:r>
    </w:p>
    <w:p w14:paraId="20785F5C" w14:textId="5B832246" w:rsidR="000262FD" w:rsidRPr="00656F3F" w:rsidRDefault="00634D54" w:rsidP="002249CA">
      <w:pPr>
        <w:spacing w:after="120"/>
        <w:jc w:val="both"/>
        <w:rPr>
          <w:rFonts w:ascii="Calibri" w:eastAsia="Calibri" w:hAnsi="Calibri" w:cs="Calibri"/>
          <w:rtl/>
        </w:rPr>
      </w:pPr>
      <w:r w:rsidRPr="00656F3F">
        <w:rPr>
          <w:rFonts w:ascii="Calibri" w:eastAsia="Calibri" w:hAnsi="Calibri" w:cs="Calibri"/>
          <w:rtl/>
        </w:rPr>
        <w:t>הערכותינו לגבי ההתפתחויות בסביבה העולמית מתבססות בעיקרן על התחזיות שמגבשים מוסדות בין-לאומיים ובתי השקעות זרים. תחזיות אלו – לגבי הצמיחה, האינפלציה והריבית במדינות המפותחות – עודכנו כלפי מעלה בהשוואה לאלו ששימשו לתחזית שפורסמה באפריל. בהתאם, אנו מניחים כי התוצר במשקים המפותחים יצמח בשיעורים של 1.4% ו-1.5% בשנים 2024 ו-2025, בהתאמה (לעומת 1</w:t>
      </w:r>
      <w:r w:rsidR="00911C59" w:rsidRPr="00656F3F">
        <w:rPr>
          <w:rFonts w:ascii="Calibri" w:eastAsia="Calibri" w:hAnsi="Calibri" w:cs="Calibri"/>
          <w:rtl/>
        </w:rPr>
        <w:t>.0</w:t>
      </w:r>
      <w:r w:rsidRPr="00656F3F">
        <w:rPr>
          <w:rFonts w:ascii="Calibri" w:eastAsia="Calibri" w:hAnsi="Calibri" w:cs="Calibri"/>
          <w:rtl/>
        </w:rPr>
        <w:t xml:space="preserve">% ו-1.4% בתחזית אפריל). אשר לסחר העולמי, אנו מניחים כי הוא יצמח ב-3.0% ו-3.3% בשנים 2024 ו-2025 (בדומה לתחזית אפריל). התחזיות של בתי ההשקעות לאינפלציה במשקים המפותחים לשנת 2024 עודכנו כלפי מעלה ל-2.6% (לעומת 2.4% בתחזית אפריל), ואילו עבור שנת 2025 התחזית היא 2.1% (לעומת 2.2% בתחזית אפריל). התחזית של בתי ההשקעות לריבית הממוצעת במדינות המפותחות עודכנה גם היא כלפי מעלה, והיא עומדת על 4.1% בסוף 2024 ועל 3.2% בסוף 2025 (לעומת 3.8% ו-3.0% בתחזית אפריל). מחירה של חבית נפט מסוג "ברנט" ירד </w:t>
      </w:r>
      <w:r w:rsidR="002249CA" w:rsidRPr="00656F3F">
        <w:rPr>
          <w:rFonts w:ascii="Calibri" w:eastAsia="Calibri" w:hAnsi="Calibri" w:cs="Calibri"/>
          <w:rtl/>
        </w:rPr>
        <w:t xml:space="preserve">מעט </w:t>
      </w:r>
      <w:r w:rsidRPr="00656F3F">
        <w:rPr>
          <w:rFonts w:ascii="Calibri" w:eastAsia="Calibri" w:hAnsi="Calibri" w:cs="Calibri"/>
          <w:rtl/>
        </w:rPr>
        <w:t>לרמה של כ-</w:t>
      </w:r>
      <w:r w:rsidR="002249CA" w:rsidRPr="00656F3F">
        <w:rPr>
          <w:rFonts w:ascii="Calibri" w:eastAsia="Calibri" w:hAnsi="Calibri" w:cs="Calibri"/>
          <w:rtl/>
        </w:rPr>
        <w:t>87</w:t>
      </w:r>
      <w:r w:rsidRPr="00656F3F">
        <w:rPr>
          <w:rFonts w:ascii="Calibri" w:eastAsia="Calibri" w:hAnsi="Calibri" w:cs="Calibri"/>
          <w:rtl/>
        </w:rPr>
        <w:t>$, לעומת כ-90$ בעת עריכת תחזית אפריל.</w:t>
      </w:r>
    </w:p>
    <w:p w14:paraId="0A57DA9F" w14:textId="77777777" w:rsidR="003B2D4B" w:rsidRPr="00656F3F" w:rsidRDefault="003B2D4B" w:rsidP="00910C95">
      <w:pPr>
        <w:pStyle w:val="a"/>
        <w:rPr>
          <w:rFonts w:ascii="Calibri" w:hAnsi="Calibri" w:cs="Calibri"/>
          <w:rtl/>
        </w:rPr>
      </w:pPr>
      <w:r w:rsidRPr="00656F3F">
        <w:rPr>
          <w:rFonts w:ascii="Calibri" w:hAnsi="Calibri" w:cs="Calibri"/>
          <w:rtl/>
        </w:rPr>
        <w:t>הפעילות הריאלית בישראל</w:t>
      </w:r>
    </w:p>
    <w:p w14:paraId="606F371F" w14:textId="5CFA3DBF" w:rsidR="00992987" w:rsidRPr="00656F3F" w:rsidRDefault="00992987" w:rsidP="00F32FD5">
      <w:pPr>
        <w:ind w:left="8"/>
        <w:jc w:val="both"/>
        <w:rPr>
          <w:rFonts w:ascii="Calibri" w:hAnsi="Calibri" w:cs="Calibri"/>
          <w:rtl/>
        </w:rPr>
      </w:pPr>
      <w:r w:rsidRPr="00656F3F">
        <w:rPr>
          <w:rFonts w:ascii="Calibri" w:hAnsi="Calibri" w:cs="Calibri"/>
          <w:b/>
          <w:bCs/>
          <w:rtl/>
        </w:rPr>
        <w:t>התוצר צפוי לצמוח ב-1.5% בשנ</w:t>
      </w:r>
      <w:r w:rsidR="00F32FD5" w:rsidRPr="00656F3F">
        <w:rPr>
          <w:rFonts w:ascii="Calibri" w:hAnsi="Calibri" w:cs="Calibri"/>
          <w:b/>
          <w:bCs/>
          <w:rtl/>
        </w:rPr>
        <w:t>ת 2024</w:t>
      </w:r>
      <w:r w:rsidRPr="00656F3F">
        <w:rPr>
          <w:rFonts w:ascii="Calibri" w:hAnsi="Calibri" w:cs="Calibri"/>
          <w:b/>
          <w:bCs/>
          <w:rtl/>
        </w:rPr>
        <w:t xml:space="preserve"> וב-4.2% בשנת 2025 </w:t>
      </w:r>
      <w:r w:rsidR="00C86273" w:rsidRPr="00656F3F">
        <w:rPr>
          <w:rFonts w:ascii="Calibri" w:hAnsi="Calibri" w:cs="Calibri"/>
          <w:rtl/>
        </w:rPr>
        <w:t>(לוח 1).</w:t>
      </w:r>
      <w:r w:rsidR="00FE69FD" w:rsidRPr="00656F3F">
        <w:rPr>
          <w:rFonts w:ascii="Calibri" w:hAnsi="Calibri" w:cs="Calibri"/>
          <w:rtl/>
        </w:rPr>
        <w:t xml:space="preserve"> </w:t>
      </w:r>
      <w:r w:rsidRPr="00656F3F">
        <w:rPr>
          <w:rFonts w:ascii="Calibri" w:hAnsi="Calibri" w:cs="Calibri"/>
          <w:rtl/>
        </w:rPr>
        <w:t xml:space="preserve">התחזית מבוססת על ההנחה שההשפעה הכלכלית הישירה של הלחימה, בכל החזיתות, תמשך עד תחילת שנת 2025. בהשוואה לתחזית הקודמת מאפריל, תחזית הצמיחה עודכנה כלפי מטה בעיקר בשל עדכון ההנחה לגבי עוצמת ומשך הלחימה, ולנוכח הפתעה כלפי מטה בחלק מהנתונים שהתקבלו מאז אפריל, בעיקר באשר להתפתחויות בחודשים </w:t>
      </w:r>
      <w:r w:rsidRPr="00656F3F">
        <w:rPr>
          <w:rFonts w:ascii="Calibri" w:hAnsi="Calibri" w:cs="Calibri"/>
          <w:rtl/>
        </w:rPr>
        <w:lastRenderedPageBreak/>
        <w:t xml:space="preserve">אפריל ומאי. בנוסף, על רקע התמשכותה של הלחימה, התאוששות הפעילות במהלך שנת 2025 צפויה להיות הדרגתית יותר. </w:t>
      </w:r>
    </w:p>
    <w:p w14:paraId="25A27B74" w14:textId="50C6B3D1" w:rsidR="00992987" w:rsidRPr="00656F3F" w:rsidRDefault="00992987" w:rsidP="00843BD5">
      <w:pPr>
        <w:ind w:left="8"/>
        <w:jc w:val="both"/>
        <w:rPr>
          <w:rFonts w:ascii="Calibri" w:hAnsi="Calibri" w:cs="Calibri"/>
          <w:rtl/>
        </w:rPr>
      </w:pPr>
      <w:r w:rsidRPr="00656F3F">
        <w:rPr>
          <w:rFonts w:ascii="Calibri" w:hAnsi="Calibri" w:cs="Calibri"/>
          <w:rtl/>
        </w:rPr>
        <w:t xml:space="preserve">כל עוד נמשכת הלחימה, צמיחת התוצר צפויה להיפגע הן מצד ההיצע והן מצד הביקוש. בצד ההיצע, גיוס המילואים אומנם פחת בהשוואה לתחילת המלחמה, אך עודנו פוגע בהיצע העבודה בכל ענפי המשק. בענף הבניה ניכרת במיוחד פגיעה משמעותית בהיצע העבודה – בשל הגבלות משמעותיות על כניסת עובדים פלסטינאים מיהודה ושומרון והפסקה מוחלטת של העסקת עובדים מעזה. בתחזית זו אנו מעריכים שההתאוששות בהיצע העבודה </w:t>
      </w:r>
      <w:r w:rsidR="00843BD5" w:rsidRPr="00656F3F">
        <w:rPr>
          <w:rFonts w:ascii="Calibri" w:hAnsi="Calibri" w:cs="Calibri"/>
          <w:rtl/>
        </w:rPr>
        <w:t xml:space="preserve">תימשך זמן ארוך יותר </w:t>
      </w:r>
      <w:r w:rsidRPr="00656F3F">
        <w:rPr>
          <w:rFonts w:ascii="Calibri" w:hAnsi="Calibri" w:cs="Calibri"/>
          <w:rtl/>
        </w:rPr>
        <w:t>לאור עדכון הנחתנו בדבר עוצמת הלחימה בטווח התחזית, הן בשל הצורך בגיוס מילואים רב וממושך יותר, והן בשל הערכה שמשך הזמן שייקח לפתור את המחסור בעובדים בענף הבנייה יתארך. נוסף על הירידה בהיצע העבודה, באזורי הלחימה ובאזורים מאוימים נפגע כושר הייצור בשל פגיעה בהון הפיזי וביכולת לעבוד, כאשר הפגיעה באזורי הדרום מצטמצמת לאור חזרה הדרגתית של התושבים, בעוד פינוי התושבים בצפון צפוי להימשך זמן רב יותר מכפי שהערכנו בתחזית אפריל.</w:t>
      </w:r>
    </w:p>
    <w:p w14:paraId="6566C6CA" w14:textId="350BBF30" w:rsidR="00992987" w:rsidRPr="00656F3F" w:rsidRDefault="00992987" w:rsidP="00B577B5">
      <w:pPr>
        <w:ind w:left="8"/>
        <w:jc w:val="both"/>
        <w:rPr>
          <w:rFonts w:ascii="Calibri" w:hAnsi="Calibri" w:cs="Calibri"/>
          <w:rtl/>
        </w:rPr>
      </w:pPr>
      <w:r w:rsidRPr="00656F3F">
        <w:rPr>
          <w:rFonts w:ascii="Calibri" w:hAnsi="Calibri" w:cs="Calibri"/>
          <w:rtl/>
        </w:rPr>
        <w:t xml:space="preserve">בצד הביקוש, אנו מניחים שבשנת 2025 הממשלה תבצע התאמות משמעותיות בתקציבה, הן בצד ההוצאות והן בצד ההכנסות, על מנת לרסן את העלייה ביחס החוב לתוצר (פירוט בהמשך). ההתאמות </w:t>
      </w:r>
      <w:r w:rsidR="00B577B5" w:rsidRPr="00656F3F">
        <w:rPr>
          <w:rFonts w:ascii="Calibri" w:hAnsi="Calibri" w:cs="Calibri"/>
          <w:rtl/>
        </w:rPr>
        <w:t xml:space="preserve">של </w:t>
      </w:r>
      <w:r w:rsidRPr="00656F3F">
        <w:rPr>
          <w:rFonts w:ascii="Calibri" w:hAnsi="Calibri" w:cs="Calibri"/>
          <w:rtl/>
        </w:rPr>
        <w:t xml:space="preserve">הוצאות הממשלה </w:t>
      </w:r>
      <w:r w:rsidR="003A7CB6" w:rsidRPr="00656F3F">
        <w:rPr>
          <w:rFonts w:ascii="Calibri" w:hAnsi="Calibri" w:cs="Calibri"/>
          <w:rtl/>
        </w:rPr>
        <w:t xml:space="preserve">וירידת הוצאות הלחימה </w:t>
      </w:r>
      <w:r w:rsidRPr="00656F3F">
        <w:rPr>
          <w:rFonts w:ascii="Calibri" w:hAnsi="Calibri" w:cs="Calibri"/>
          <w:rtl/>
        </w:rPr>
        <w:t xml:space="preserve">צפויות להתבטא בהאטה משמעותית של הצריכה הציבורית ב-2025, ואילו העלאות מסים צפויות לרסן את הביקוש לצריכה פרטית. בנוסף, הביקוש ליצוא שירותי התיירות (תיירות נכנסת) נפגע באופן משמעותי והניסיון מאירועים ביטחוניים קודמים מלמד שפגיעה זו צפויה להיות ממושכת, בעיקר ככל שתמשך הלחימה בחזיתות השונות. מנגד, בענף הבניה צפויה בטווח התחזית עלייה בביקוש, בין היתר בעקבות הצורך בשיקום מבנים. </w:t>
      </w:r>
    </w:p>
    <w:p w14:paraId="5E10120B" w14:textId="40D2759A" w:rsidR="00054A7E" w:rsidRPr="00656F3F" w:rsidRDefault="00992987" w:rsidP="000A7A8E">
      <w:pPr>
        <w:spacing w:before="0" w:after="240"/>
        <w:ind w:left="6"/>
        <w:contextualSpacing w:val="0"/>
        <w:jc w:val="both"/>
        <w:rPr>
          <w:rFonts w:ascii="Calibri" w:hAnsi="Calibri" w:cs="Calibri"/>
          <w:rtl/>
        </w:rPr>
      </w:pPr>
      <w:r w:rsidRPr="00656F3F">
        <w:rPr>
          <w:rFonts w:ascii="Calibri" w:hAnsi="Calibri" w:cs="Calibri"/>
          <w:rtl/>
        </w:rPr>
        <w:t xml:space="preserve">לאור התפתחויות אלו, אנו מעריכים כי שיעור האבטלה הרחב בגילי העבודה העיקריים יתמתן בהדרגה בלבד ויעמוד על 4.0% ו-3.8% </w:t>
      </w:r>
      <w:r w:rsidR="00B577B5" w:rsidRPr="00656F3F">
        <w:rPr>
          <w:rFonts w:ascii="Calibri" w:hAnsi="Calibri" w:cs="Calibri"/>
          <w:rtl/>
        </w:rPr>
        <w:t xml:space="preserve">בממוצע </w:t>
      </w:r>
      <w:r w:rsidRPr="00656F3F">
        <w:rPr>
          <w:rFonts w:ascii="Calibri" w:hAnsi="Calibri" w:cs="Calibri"/>
          <w:rtl/>
        </w:rPr>
        <w:t>בשנים 2024 ו-2025, בהתאמה.</w:t>
      </w:r>
      <w:r w:rsidR="00815F31" w:rsidRPr="00656F3F">
        <w:rPr>
          <w:rStyle w:val="a6"/>
          <w:rFonts w:ascii="Calibri" w:eastAsia="Calibri" w:hAnsi="Calibri" w:cs="Calibri"/>
          <w:rtl/>
        </w:rPr>
        <w:footnoteReference w:id="3"/>
      </w:r>
    </w:p>
    <w:p w14:paraId="3D5BC5B4" w14:textId="754EBB9C" w:rsidR="00A83A47" w:rsidRPr="00656F3F" w:rsidRDefault="00992987" w:rsidP="009617EA">
      <w:pPr>
        <w:ind w:left="8"/>
        <w:jc w:val="both"/>
        <w:rPr>
          <w:rFonts w:ascii="Calibri" w:hAnsi="Calibri" w:cs="Calibri"/>
        </w:rPr>
      </w:pPr>
      <w:r w:rsidRPr="00656F3F">
        <w:rPr>
          <w:rFonts w:ascii="Calibri" w:hAnsi="Calibri" w:cs="Calibri"/>
          <w:b/>
          <w:bCs/>
          <w:rtl/>
        </w:rPr>
        <w:t>הגירעונות בתקציב הממשלה בשנים 2024 ו-2025 צפויים להסתכם ב-6.</w:t>
      </w:r>
      <w:r w:rsidR="009617EA" w:rsidRPr="00656F3F">
        <w:rPr>
          <w:rFonts w:ascii="Calibri" w:hAnsi="Calibri" w:cs="Calibri"/>
          <w:b/>
          <w:bCs/>
          <w:rtl/>
        </w:rPr>
        <w:t>6</w:t>
      </w:r>
      <w:r w:rsidRPr="00656F3F">
        <w:rPr>
          <w:rFonts w:ascii="Calibri" w:hAnsi="Calibri" w:cs="Calibri"/>
          <w:b/>
          <w:bCs/>
          <w:rtl/>
        </w:rPr>
        <w:t>% וב-4.0% תוצר, בהתאמה. החוב הציבורי צפוי לעלות לרמה של 67.</w:t>
      </w:r>
      <w:r w:rsidR="009617EA" w:rsidRPr="00656F3F">
        <w:rPr>
          <w:rFonts w:ascii="Calibri" w:hAnsi="Calibri" w:cs="Calibri"/>
          <w:b/>
          <w:bCs/>
          <w:rtl/>
        </w:rPr>
        <w:t>5</w:t>
      </w:r>
      <w:r w:rsidRPr="00656F3F">
        <w:rPr>
          <w:rFonts w:ascii="Calibri" w:hAnsi="Calibri" w:cs="Calibri"/>
          <w:b/>
          <w:bCs/>
          <w:rtl/>
        </w:rPr>
        <w:t>% תוצר ב-2024 ול-68.5% תוצר ב-2025.</w:t>
      </w:r>
      <w:r w:rsidRPr="00656F3F">
        <w:rPr>
          <w:rFonts w:ascii="Calibri" w:hAnsi="Calibri" w:cs="Calibri"/>
          <w:rtl/>
        </w:rPr>
        <w:t xml:space="preserve"> בהשוואה לתחזית הקודמת מאפריל, התחזית הנוכחית מגלמת עדכון כלפי מעלה של כחצי אחוז תוצר בתחזית להוצאות הביטחון בגין לחימה, לאור עדכון הנחת העבודה לגבי עצימות ומשך הלחימה. בנוסף, התחזית נבנתה תחת הנחת עבודה כי הממשלה תבצע התאמות להפחתת הגרעון בשנת 2025 שיסתכמו ב-30 מיליארדי ש"ח פרמננטיים, וכי כל הוצאה נוספת עליה תחליט הממשלה, לרבות הגדלה פרמננטית של תקציב הביטחון, תאוזן על ידי צעדים נוספים. </w:t>
      </w:r>
      <w:r w:rsidR="00B577B5" w:rsidRPr="00656F3F">
        <w:rPr>
          <w:rFonts w:ascii="Calibri" w:hAnsi="Calibri" w:cs="Calibri"/>
          <w:rtl/>
        </w:rPr>
        <w:t xml:space="preserve">כהנחת עבודה </w:t>
      </w:r>
      <w:r w:rsidRPr="00656F3F">
        <w:rPr>
          <w:rFonts w:ascii="Calibri" w:hAnsi="Calibri" w:cs="Calibri"/>
          <w:rtl/>
        </w:rPr>
        <w:t>אנו מ</w:t>
      </w:r>
      <w:r w:rsidR="00B577B5" w:rsidRPr="00656F3F">
        <w:rPr>
          <w:rFonts w:ascii="Calibri" w:hAnsi="Calibri" w:cs="Calibri"/>
          <w:rtl/>
        </w:rPr>
        <w:t>עריכ</w:t>
      </w:r>
      <w:r w:rsidRPr="00656F3F">
        <w:rPr>
          <w:rFonts w:ascii="Calibri" w:hAnsi="Calibri" w:cs="Calibri"/>
          <w:rtl/>
        </w:rPr>
        <w:t xml:space="preserve">ים כי 60% מההתאמות (18 מיליארד ₪) יהיו בצד </w:t>
      </w:r>
      <w:r w:rsidRPr="00656F3F">
        <w:rPr>
          <w:rFonts w:ascii="Calibri" w:hAnsi="Calibri" w:cs="Calibri"/>
          <w:rtl/>
        </w:rPr>
        <w:lastRenderedPageBreak/>
        <w:t xml:space="preserve">ההכנסות ו-40% (12 מיליארד ש"ח) בצד ההוצאות. התאמות אלו ימתנו את העלייה של יחס החוב לתוצר בשנת 2025 וצפויות להוביל לצמצומו החל משנת 2026. ללא ביצוע התאמות אלה, אנו מעריכים כי החוב הציבורי ימשיך לגדול בהדרגה בטווח הבינוני. בנוסף, בתרחיש סיכון שנבחן בחטיבה, ובו הלחימה מתארכת אף יותר ממה שמגולם בתחזית הבסיס, </w:t>
      </w:r>
      <w:r w:rsidR="009617EA" w:rsidRPr="00656F3F">
        <w:rPr>
          <w:rFonts w:ascii="Calibri" w:hAnsi="Calibri" w:cs="Calibri"/>
          <w:rtl/>
        </w:rPr>
        <w:t>החוב הציבורי</w:t>
      </w:r>
      <w:r w:rsidRPr="00656F3F">
        <w:rPr>
          <w:rFonts w:ascii="Calibri" w:hAnsi="Calibri" w:cs="Calibri"/>
          <w:rtl/>
        </w:rPr>
        <w:t xml:space="preserve"> בשנת 2025 עלול להגיע לרמה של כ-72% תוצר. החמרה משמעותית בחזית הצפונית עלולה להוביל לרמות חוב גבוהות </w:t>
      </w:r>
      <w:r w:rsidR="00B577B5" w:rsidRPr="00656F3F">
        <w:rPr>
          <w:rFonts w:ascii="Calibri" w:hAnsi="Calibri" w:cs="Calibri"/>
          <w:rtl/>
        </w:rPr>
        <w:t>עוד יותר</w:t>
      </w:r>
      <w:r w:rsidRPr="00656F3F">
        <w:rPr>
          <w:rFonts w:ascii="Calibri" w:hAnsi="Calibri" w:cs="Calibri"/>
          <w:rtl/>
        </w:rPr>
        <w:t>.</w:t>
      </w:r>
    </w:p>
    <w:p w14:paraId="12FD5E2F" w14:textId="16648D82" w:rsidR="00C93A33" w:rsidRPr="00656F3F" w:rsidRDefault="00C93A33" w:rsidP="00C93A33">
      <w:pPr>
        <w:keepNext/>
        <w:keepLines/>
        <w:spacing w:line="240" w:lineRule="auto"/>
        <w:ind w:firstLine="40"/>
        <w:jc w:val="center"/>
        <w:outlineLvl w:val="1"/>
        <w:rPr>
          <w:rFonts w:ascii="Calibri" w:eastAsia="Calibri" w:hAnsi="Calibri" w:cs="Calibri"/>
          <w:b/>
          <w:bCs/>
          <w:color w:val="4F81BD"/>
          <w:rtl/>
        </w:rPr>
      </w:pPr>
      <w:r w:rsidRPr="00656F3F">
        <w:rPr>
          <w:rFonts w:ascii="Calibri" w:eastAsia="Calibri" w:hAnsi="Calibri" w:cs="Calibri"/>
          <w:b/>
          <w:bCs/>
          <w:color w:val="4F81BD"/>
          <w:rtl/>
        </w:rPr>
        <w:t>לוח 1</w:t>
      </w:r>
      <w:r w:rsidRPr="00656F3F">
        <w:rPr>
          <w:rFonts w:ascii="Calibri" w:eastAsia="Calibri" w:hAnsi="Calibri" w:cs="Calibri"/>
          <w:b/>
          <w:bCs/>
          <w:color w:val="4F81BD"/>
          <w:rtl/>
        </w:rPr>
        <w:br/>
        <w:t xml:space="preserve"> תחזית חטיבת המחקר ל-202</w:t>
      </w:r>
      <w:r w:rsidR="007F620D" w:rsidRPr="00656F3F">
        <w:rPr>
          <w:rFonts w:ascii="Calibri" w:eastAsia="Calibri" w:hAnsi="Calibri" w:cs="Calibri"/>
          <w:b/>
          <w:bCs/>
          <w:color w:val="4F81BD"/>
          <w:rtl/>
        </w:rPr>
        <w:t>4</w:t>
      </w:r>
      <w:r w:rsidRPr="00656F3F">
        <w:rPr>
          <w:rFonts w:ascii="Calibri" w:eastAsia="Calibri" w:hAnsi="Calibri" w:cs="Calibri"/>
          <w:b/>
          <w:bCs/>
          <w:color w:val="4F81BD"/>
          <w:rtl/>
        </w:rPr>
        <w:t>—202</w:t>
      </w:r>
      <w:r w:rsidR="00E036EF" w:rsidRPr="00656F3F">
        <w:rPr>
          <w:rFonts w:ascii="Calibri" w:eastAsia="Calibri" w:hAnsi="Calibri" w:cs="Calibri"/>
          <w:b/>
          <w:bCs/>
          <w:color w:val="4F81BD"/>
          <w:rtl/>
        </w:rPr>
        <w:t>5</w:t>
      </w:r>
    </w:p>
    <w:p w14:paraId="1D12DC29" w14:textId="77777777" w:rsidR="00C93A33" w:rsidRPr="00656F3F" w:rsidRDefault="00C93A33" w:rsidP="00C93A33">
      <w:pPr>
        <w:keepNext/>
        <w:keepLines/>
        <w:spacing w:line="240" w:lineRule="auto"/>
        <w:ind w:firstLine="40"/>
        <w:jc w:val="center"/>
        <w:rPr>
          <w:rFonts w:ascii="Calibri" w:eastAsia="Calibri" w:hAnsi="Calibri" w:cs="Calibri"/>
          <w:color w:val="4F81BD"/>
          <w:rtl/>
        </w:rPr>
      </w:pPr>
      <w:r w:rsidRPr="00656F3F">
        <w:rPr>
          <w:rFonts w:ascii="Calibri" w:eastAsia="Calibri" w:hAnsi="Calibri" w:cs="Calibri"/>
          <w:color w:val="4F81BD"/>
          <w:rtl/>
        </w:rPr>
        <w:t xml:space="preserve"> (שיעורי השינוי באחוזים</w:t>
      </w:r>
      <w:r w:rsidRPr="00656F3F">
        <w:rPr>
          <w:rFonts w:ascii="Calibri" w:eastAsia="Calibri" w:hAnsi="Calibri" w:cs="Calibri"/>
          <w:b/>
          <w:bCs/>
          <w:color w:val="4F81BD"/>
          <w:sz w:val="20"/>
          <w:szCs w:val="20"/>
          <w:vertAlign w:val="superscript"/>
          <w:rtl/>
        </w:rPr>
        <w:t>1</w:t>
      </w:r>
      <w:r w:rsidRPr="00656F3F">
        <w:rPr>
          <w:rFonts w:ascii="Calibri" w:eastAsia="Calibri" w:hAnsi="Calibri" w:cs="Calibri"/>
          <w:color w:val="4F81BD"/>
          <w:rtl/>
        </w:rPr>
        <w:t>, אלא אם צוין אחרת)</w:t>
      </w:r>
    </w:p>
    <w:tbl>
      <w:tblPr>
        <w:bidiVisual/>
        <w:tblW w:w="4791" w:type="pct"/>
        <w:tblInd w:w="385" w:type="dxa"/>
        <w:tblCellMar>
          <w:left w:w="0" w:type="dxa"/>
          <w:right w:w="0" w:type="dxa"/>
        </w:tblCellMar>
        <w:tblLook w:val="04A0" w:firstRow="1" w:lastRow="0" w:firstColumn="1" w:lastColumn="0" w:noHBand="0" w:noVBand="1"/>
      </w:tblPr>
      <w:tblGrid>
        <w:gridCol w:w="4554"/>
        <w:gridCol w:w="630"/>
        <w:gridCol w:w="119"/>
        <w:gridCol w:w="759"/>
        <w:gridCol w:w="889"/>
        <w:gridCol w:w="112"/>
        <w:gridCol w:w="733"/>
        <w:gridCol w:w="853"/>
      </w:tblGrid>
      <w:tr w:rsidR="007F620D" w:rsidRPr="00656F3F" w14:paraId="1C499FF5" w14:textId="48FD2E6F"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7F620D" w:rsidRPr="00656F3F" w:rsidRDefault="007F620D" w:rsidP="00712048">
            <w:pPr>
              <w:bidi w:val="0"/>
              <w:spacing w:beforeLines="20" w:before="48" w:afterLines="20" w:after="48" w:line="240" w:lineRule="auto"/>
              <w:contextualSpacing w:val="0"/>
              <w:rPr>
                <w:rFonts w:ascii="Calibri" w:eastAsia="Times New Roman" w:hAnsi="Calibri" w:cs="Calibri"/>
              </w:rPr>
            </w:pPr>
          </w:p>
        </w:tc>
        <w:tc>
          <w:tcPr>
            <w:tcW w:w="36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1129AA0" w:rsidR="007F620D" w:rsidRPr="00656F3F" w:rsidRDefault="007F620D" w:rsidP="00712048">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b/>
                <w:bCs/>
                <w:color w:val="000000"/>
                <w:kern w:val="24"/>
                <w:sz w:val="22"/>
                <w:szCs w:val="22"/>
                <w:rtl/>
              </w:rPr>
              <w:t>2023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7F620D" w:rsidRPr="00656F3F" w:rsidRDefault="007F620D" w:rsidP="00712048">
            <w:pPr>
              <w:bidi w:val="0"/>
              <w:spacing w:beforeLines="20" w:before="48" w:afterLines="20" w:after="48" w:line="240" w:lineRule="auto"/>
              <w:contextualSpacing w:val="0"/>
              <w:jc w:val="center"/>
              <w:rPr>
                <w:rFonts w:ascii="Calibri" w:eastAsia="Times New Roman" w:hAnsi="Calibri" w:cs="Calibri"/>
                <w:rtl/>
              </w:rPr>
            </w:pPr>
          </w:p>
        </w:tc>
        <w:tc>
          <w:tcPr>
            <w:tcW w:w="953"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2659D9E6" w:rsidR="007F620D" w:rsidRPr="00656F3F" w:rsidRDefault="007F620D" w:rsidP="00712048">
            <w:pPr>
              <w:bidi w:val="0"/>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b/>
                <w:bCs/>
                <w:color w:val="000000"/>
                <w:kern w:val="24"/>
                <w:sz w:val="22"/>
                <w:szCs w:val="22"/>
              </w:rPr>
              <w:t>2024</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7F620D" w:rsidRPr="00656F3F" w:rsidRDefault="007F620D" w:rsidP="00712048">
            <w:pPr>
              <w:bidi w:val="0"/>
              <w:spacing w:beforeLines="20" w:before="48" w:afterLines="20" w:after="48" w:line="240" w:lineRule="auto"/>
              <w:contextualSpacing w:val="0"/>
              <w:jc w:val="center"/>
              <w:rPr>
                <w:rFonts w:ascii="Calibri" w:eastAsia="Times New Roman" w:hAnsi="Calibri" w:cs="Calibri"/>
                <w:rtl/>
              </w:rPr>
            </w:pPr>
          </w:p>
        </w:tc>
        <w:tc>
          <w:tcPr>
            <w:tcW w:w="918"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8AAAE70" w:rsidR="007F620D" w:rsidRPr="00656F3F" w:rsidRDefault="007F620D" w:rsidP="00712048">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b/>
                <w:bCs/>
                <w:color w:val="000000"/>
                <w:kern w:val="24"/>
                <w:sz w:val="22"/>
                <w:szCs w:val="22"/>
                <w:rtl/>
              </w:rPr>
              <w:t>2025</w:t>
            </w:r>
          </w:p>
        </w:tc>
      </w:tr>
      <w:tr w:rsidR="007F620D" w:rsidRPr="00656F3F" w14:paraId="501E16D4" w14:textId="61B69E01"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7F620D" w:rsidRPr="00656F3F" w:rsidRDefault="007F620D" w:rsidP="007F620D">
            <w:pPr>
              <w:bidi w:val="0"/>
              <w:spacing w:beforeLines="20" w:before="48" w:afterLines="20" w:after="48" w:line="240" w:lineRule="auto"/>
              <w:contextualSpacing w:val="0"/>
              <w:jc w:val="both"/>
              <w:rPr>
                <w:rFonts w:ascii="Calibri" w:eastAsia="Times New Roman" w:hAnsi="Calibri" w:cs="Calibri"/>
              </w:rPr>
            </w:pPr>
            <w:r w:rsidRPr="00656F3F">
              <w:rPr>
                <w:rFonts w:ascii="Calibri" w:eastAsia="Calibri" w:hAnsi="Calibri" w:cs="Calibri"/>
                <w:color w:val="000000"/>
                <w:kern w:val="24"/>
                <w:sz w:val="22"/>
                <w:szCs w:val="22"/>
              </w:rPr>
              <w:t> </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rtl/>
              </w:rPr>
            </w:pPr>
            <w:r w:rsidRPr="00656F3F">
              <w:rPr>
                <w:rFonts w:ascii="Calibri" w:eastAsia="Calibri" w:hAnsi="Calibri" w:cs="Calibri"/>
                <w:color w:val="000000"/>
                <w:kern w:val="24"/>
                <w:sz w:val="22"/>
                <w:szCs w:val="22"/>
                <w:rtl/>
              </w:rPr>
              <w:t>בפועל</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256B86F7" w:rsidR="007F620D" w:rsidRPr="00656F3F" w:rsidRDefault="007F620D" w:rsidP="007F620D">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color w:val="000000"/>
                <w:kern w:val="24"/>
                <w:sz w:val="22"/>
                <w:szCs w:val="22"/>
                <w:rtl/>
              </w:rPr>
              <w:t xml:space="preserve">התחזית </w:t>
            </w:r>
            <w:r w:rsidRPr="00656F3F">
              <w:rPr>
                <w:rFonts w:ascii="Calibri" w:eastAsia="Calibri" w:hAnsi="Calibri" w:cs="Calibri"/>
                <w:color w:val="000000"/>
                <w:kern w:val="24"/>
                <w:sz w:val="22"/>
                <w:szCs w:val="22"/>
              </w:rPr>
              <w:br/>
            </w:r>
            <w:r w:rsidRPr="00656F3F">
              <w:rPr>
                <w:rFonts w:ascii="Calibri" w:eastAsia="Calibri" w:hAnsi="Calibri" w:cs="Calibri"/>
                <w:color w:val="000000"/>
                <w:kern w:val="24"/>
                <w:sz w:val="22"/>
                <w:szCs w:val="22"/>
                <w:rtl/>
              </w:rPr>
              <w:t>ל-2024</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5A5D1813" w:rsidR="007F620D" w:rsidRPr="00656F3F" w:rsidRDefault="007F620D" w:rsidP="00992987">
            <w:pPr>
              <w:spacing w:beforeLines="20" w:before="48" w:afterLines="20" w:after="48" w:line="240" w:lineRule="auto"/>
              <w:contextualSpacing w:val="0"/>
              <w:jc w:val="center"/>
              <w:rPr>
                <w:rFonts w:ascii="Calibri" w:eastAsia="Times New Roman" w:hAnsi="Calibri" w:cs="Calibri"/>
                <w:rtl/>
              </w:rPr>
            </w:pPr>
            <w:r w:rsidRPr="00656F3F">
              <w:rPr>
                <w:rFonts w:ascii="Calibri" w:eastAsia="Calibri" w:hAnsi="Calibri" w:cs="Calibri"/>
                <w:color w:val="4F81BD"/>
                <w:kern w:val="24"/>
                <w:sz w:val="22"/>
                <w:szCs w:val="22"/>
                <w:rtl/>
              </w:rPr>
              <w:t xml:space="preserve">השינוי מתחזית </w:t>
            </w:r>
            <w:r w:rsidR="00992987" w:rsidRPr="00656F3F">
              <w:rPr>
                <w:rFonts w:ascii="Calibri" w:eastAsia="Calibri" w:hAnsi="Calibri" w:cs="Calibri"/>
                <w:color w:val="4F81BD"/>
                <w:kern w:val="24"/>
                <w:sz w:val="22"/>
                <w:szCs w:val="22"/>
                <w:rtl/>
              </w:rPr>
              <w:t>אפריל</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1CED19CE" w:rsidR="007F620D" w:rsidRPr="00656F3F" w:rsidRDefault="007F620D" w:rsidP="007F620D">
            <w:pPr>
              <w:spacing w:beforeLines="20" w:before="48" w:afterLines="20" w:after="48" w:line="240" w:lineRule="auto"/>
              <w:contextualSpacing w:val="0"/>
              <w:jc w:val="center"/>
              <w:rPr>
                <w:rFonts w:ascii="Calibri" w:eastAsia="Times New Roman" w:hAnsi="Calibri" w:cs="Calibri"/>
              </w:rPr>
            </w:pPr>
            <w:r w:rsidRPr="00656F3F">
              <w:rPr>
                <w:rFonts w:ascii="Calibri" w:eastAsia="Calibri" w:hAnsi="Calibri" w:cs="Calibri"/>
                <w:color w:val="000000"/>
                <w:kern w:val="24"/>
                <w:sz w:val="22"/>
                <w:szCs w:val="22"/>
                <w:rtl/>
              </w:rPr>
              <w:t xml:space="preserve">התחזית </w:t>
            </w:r>
            <w:r w:rsidRPr="00656F3F">
              <w:rPr>
                <w:rFonts w:ascii="Calibri" w:eastAsia="Calibri" w:hAnsi="Calibri" w:cs="Calibri"/>
                <w:color w:val="000000"/>
                <w:kern w:val="24"/>
                <w:sz w:val="22"/>
                <w:szCs w:val="22"/>
              </w:rPr>
              <w:br/>
            </w:r>
            <w:r w:rsidRPr="00656F3F">
              <w:rPr>
                <w:rFonts w:ascii="Calibri" w:eastAsia="Calibri" w:hAnsi="Calibri" w:cs="Calibri"/>
                <w:color w:val="000000"/>
                <w:kern w:val="24"/>
                <w:sz w:val="22"/>
                <w:szCs w:val="22"/>
                <w:rtl/>
              </w:rPr>
              <w:t>ל-2025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6026DAAB" w:rsidR="007F620D" w:rsidRPr="00656F3F" w:rsidRDefault="007F620D" w:rsidP="00992987">
            <w:pPr>
              <w:spacing w:beforeLines="20" w:before="48" w:afterLines="20" w:after="48" w:line="240" w:lineRule="auto"/>
              <w:contextualSpacing w:val="0"/>
              <w:jc w:val="center"/>
              <w:rPr>
                <w:rFonts w:ascii="Calibri" w:eastAsia="Times New Roman" w:hAnsi="Calibri" w:cs="Calibri"/>
                <w:rtl/>
              </w:rPr>
            </w:pPr>
            <w:r w:rsidRPr="00656F3F">
              <w:rPr>
                <w:rFonts w:ascii="Calibri" w:eastAsia="Calibri" w:hAnsi="Calibri" w:cs="Calibri"/>
                <w:color w:val="4F81BD"/>
                <w:kern w:val="24"/>
                <w:sz w:val="22"/>
                <w:szCs w:val="22"/>
                <w:rtl/>
              </w:rPr>
              <w:t xml:space="preserve">השינוי מתחזית </w:t>
            </w:r>
            <w:r w:rsidR="00992987" w:rsidRPr="00656F3F">
              <w:rPr>
                <w:rFonts w:ascii="Calibri" w:eastAsia="Calibri" w:hAnsi="Calibri" w:cs="Calibri"/>
                <w:color w:val="4F81BD"/>
                <w:kern w:val="24"/>
                <w:sz w:val="22"/>
                <w:szCs w:val="22"/>
                <w:rtl/>
              </w:rPr>
              <w:t>אפריל</w:t>
            </w:r>
          </w:p>
        </w:tc>
      </w:tr>
      <w:tr w:rsidR="007F620D" w:rsidRPr="00656F3F" w14:paraId="4DAB0A71" w14:textId="4D25A469" w:rsidTr="0057071C">
        <w:trPr>
          <w:trHeight w:val="20"/>
        </w:trPr>
        <w:tc>
          <w:tcPr>
            <w:tcW w:w="263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תוצר מקומי גולמי</w:t>
            </w:r>
          </w:p>
        </w:tc>
        <w:tc>
          <w:tcPr>
            <w:tcW w:w="364"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0C9AB1C"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tl/>
              </w:rPr>
              <w:t>2.0</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24C5CFAD" w:rsidR="007F620D" w:rsidRPr="00656F3F" w:rsidRDefault="007249B3" w:rsidP="00992987">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tl/>
              </w:rPr>
              <w:t>1.</w:t>
            </w:r>
            <w:r w:rsidR="00992987" w:rsidRPr="00656F3F">
              <w:rPr>
                <w:rFonts w:ascii="Calibri" w:eastAsia="Times New Roman" w:hAnsi="Calibri" w:cs="Calibri"/>
                <w:b/>
                <w:bCs/>
                <w:color w:val="000000"/>
                <w:kern w:val="24"/>
                <w:sz w:val="22"/>
                <w:szCs w:val="22"/>
                <w:rtl/>
              </w:rPr>
              <w:t>5</w:t>
            </w:r>
          </w:p>
        </w:tc>
        <w:tc>
          <w:tcPr>
            <w:tcW w:w="51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36418782" w:rsidR="007F620D" w:rsidRPr="00656F3F" w:rsidRDefault="007249B3" w:rsidP="00992987">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tl/>
              </w:rPr>
              <w:t>0.</w:t>
            </w:r>
            <w:r w:rsidR="00992987" w:rsidRPr="00656F3F">
              <w:rPr>
                <w:rFonts w:ascii="Calibri" w:eastAsia="Times New Roman" w:hAnsi="Calibri" w:cs="Calibri"/>
                <w:color w:val="4F81BD"/>
                <w:kern w:val="24"/>
                <w:sz w:val="22"/>
                <w:szCs w:val="22"/>
                <w:rtl/>
              </w:rPr>
              <w:t>5</w:t>
            </w:r>
            <w:r w:rsidR="007F620D" w:rsidRPr="00656F3F">
              <w:rPr>
                <w:rFonts w:ascii="Calibri" w:eastAsia="Times New Roman" w:hAnsi="Calibri" w:cs="Calibri"/>
                <w:color w:val="4F81BD"/>
                <w:kern w:val="24"/>
                <w:sz w:val="22"/>
                <w:szCs w:val="22"/>
                <w:rtl/>
              </w:rPr>
              <w:t>-</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7949656F" w:rsidR="007F620D" w:rsidRPr="00656F3F" w:rsidRDefault="007249B3"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tl/>
              </w:rPr>
              <w:t>4.2</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39E200D0" w:rsidR="007F620D" w:rsidRPr="00656F3F" w:rsidRDefault="006D4195"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7249B3" w:rsidRPr="00656F3F">
              <w:rPr>
                <w:rFonts w:ascii="Calibri" w:eastAsia="Times New Roman" w:hAnsi="Calibri" w:cs="Calibri"/>
                <w:color w:val="4F81BD"/>
                <w:kern w:val="24"/>
                <w:sz w:val="22"/>
                <w:szCs w:val="22"/>
              </w:rPr>
              <w:t>0.8</w:t>
            </w:r>
          </w:p>
        </w:tc>
      </w:tr>
      <w:tr w:rsidR="007F620D" w:rsidRPr="00656F3F" w14:paraId="67DC2592" w14:textId="6D0C466E"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צריכה פרטית</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65FC4201" w:rsidR="007F620D" w:rsidRPr="00656F3F" w:rsidRDefault="007F620D" w:rsidP="007249B3">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sz w:val="22"/>
                <w:szCs w:val="22"/>
              </w:rPr>
              <w:t>-0.</w:t>
            </w:r>
            <w:r w:rsidR="007249B3" w:rsidRPr="00656F3F">
              <w:rPr>
                <w:rFonts w:ascii="Calibri" w:eastAsia="Times New Roman" w:hAnsi="Calibri" w:cs="Calibri"/>
                <w:sz w:val="22"/>
                <w:szCs w:val="22"/>
              </w:rPr>
              <w:t>7</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3B786B89" w:rsidR="007F620D" w:rsidRPr="00656F3F" w:rsidRDefault="00992987"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Pr>
              <w:t>2</w:t>
            </w:r>
            <w:r w:rsidR="00321751" w:rsidRPr="00656F3F">
              <w:rPr>
                <w:rFonts w:ascii="Calibri" w:eastAsia="Times New Roman" w:hAnsi="Calibri" w:cs="Calibri"/>
                <w:b/>
                <w:bCs/>
                <w:color w:val="000000"/>
                <w:kern w:val="24"/>
                <w:sz w:val="22"/>
                <w:szCs w:val="22"/>
              </w:rPr>
              <w:t>.0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0A45E926" w:rsidR="007F620D" w:rsidRPr="00656F3F" w:rsidRDefault="00321751" w:rsidP="00992987">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992987" w:rsidRPr="00656F3F">
              <w:rPr>
                <w:rFonts w:ascii="Calibri" w:eastAsia="Times New Roman" w:hAnsi="Calibri" w:cs="Calibri"/>
                <w:color w:val="4F81BD"/>
                <w:kern w:val="24"/>
                <w:sz w:val="22"/>
                <w:szCs w:val="22"/>
              </w:rPr>
              <w:t>2</w:t>
            </w:r>
            <w:r w:rsidR="00A35354" w:rsidRPr="00656F3F">
              <w:rPr>
                <w:rFonts w:ascii="Calibri" w:eastAsia="Times New Roman" w:hAnsi="Calibri" w:cs="Calibri"/>
                <w:color w:val="4F81BD"/>
                <w:kern w:val="24"/>
                <w:sz w:val="22"/>
                <w:szCs w:val="22"/>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0D2C2C98" w:rsidR="007F620D" w:rsidRPr="00656F3F" w:rsidRDefault="00E571A3"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5.</w:t>
            </w:r>
            <w:r w:rsidR="00321751" w:rsidRPr="00656F3F">
              <w:rPr>
                <w:rFonts w:ascii="Calibri" w:eastAsia="Times New Roman" w:hAnsi="Calibri" w:cs="Calibri"/>
                <w:b/>
                <w:bCs/>
                <w:color w:val="000000"/>
                <w:kern w:val="24"/>
                <w:sz w:val="22"/>
                <w:szCs w:val="22"/>
              </w:rPr>
              <w:t>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603B166" w:rsidR="007F620D" w:rsidRPr="00656F3F" w:rsidRDefault="00A35354"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E571A3" w:rsidRPr="00656F3F">
              <w:rPr>
                <w:rFonts w:ascii="Calibri" w:eastAsia="Times New Roman" w:hAnsi="Calibri" w:cs="Calibri"/>
                <w:color w:val="4F81BD"/>
                <w:kern w:val="24"/>
                <w:sz w:val="22"/>
                <w:szCs w:val="22"/>
              </w:rPr>
              <w:t>0</w:t>
            </w:r>
            <w:r w:rsidRPr="00656F3F">
              <w:rPr>
                <w:rFonts w:ascii="Calibri" w:eastAsia="Times New Roman" w:hAnsi="Calibri" w:cs="Calibri"/>
                <w:color w:val="4F81BD"/>
                <w:kern w:val="24"/>
                <w:sz w:val="22"/>
                <w:szCs w:val="22"/>
              </w:rPr>
              <w:t>.5</w:t>
            </w:r>
          </w:p>
        </w:tc>
      </w:tr>
      <w:tr w:rsidR="007F620D" w:rsidRPr="00656F3F" w14:paraId="39D9DB40" w14:textId="3AEFDCB2"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 xml:space="preserve">השקעה בנכסים קבועים (ללא </w:t>
            </w:r>
            <w:proofErr w:type="spellStart"/>
            <w:r w:rsidRPr="00656F3F">
              <w:rPr>
                <w:rFonts w:ascii="Calibri" w:eastAsia="Calibri" w:hAnsi="Calibri" w:cs="Calibri"/>
                <w:color w:val="000000"/>
                <w:kern w:val="24"/>
                <w:sz w:val="22"/>
                <w:szCs w:val="22"/>
                <w:rtl/>
              </w:rPr>
              <w:t>אוניות</w:t>
            </w:r>
            <w:proofErr w:type="spellEnd"/>
            <w:r w:rsidRPr="00656F3F">
              <w:rPr>
                <w:rFonts w:ascii="Calibri" w:eastAsia="Calibri" w:hAnsi="Calibri" w:cs="Calibri"/>
                <w:color w:val="000000"/>
                <w:kern w:val="24"/>
                <w:sz w:val="22"/>
                <w:szCs w:val="22"/>
                <w:rtl/>
              </w:rPr>
              <w:t xml:space="preserve"> ומטוסים)</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5A89A56E" w:rsidR="007F620D" w:rsidRPr="00656F3F" w:rsidRDefault="007F620D"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w:t>
            </w:r>
            <w:r w:rsidR="00321751" w:rsidRPr="00656F3F">
              <w:rPr>
                <w:rFonts w:ascii="Calibri" w:eastAsia="Times New Roman" w:hAnsi="Calibri" w:cs="Calibri"/>
                <w:color w:val="000000"/>
                <w:kern w:val="24"/>
                <w:sz w:val="22"/>
                <w:szCs w:val="22"/>
              </w:rPr>
              <w:t>2.9</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7945DEC7"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w:t>
            </w:r>
            <w:r w:rsidR="00321751" w:rsidRPr="00656F3F">
              <w:rPr>
                <w:rFonts w:ascii="Calibri" w:eastAsia="Times New Roman" w:hAnsi="Calibri" w:cs="Calibri"/>
                <w:b/>
                <w:bCs/>
                <w:color w:val="000000"/>
                <w:kern w:val="24"/>
                <w:sz w:val="22"/>
                <w:szCs w:val="22"/>
              </w:rPr>
              <w:t>9.0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3686E8AE"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5</w:t>
            </w:r>
            <w:r w:rsidRPr="00656F3F">
              <w:rPr>
                <w:rFonts w:ascii="Calibri" w:eastAsia="Times New Roman" w:hAnsi="Calibri" w:cs="Calibri"/>
                <w:color w:val="4F81BD"/>
                <w:kern w:val="24"/>
                <w:sz w:val="22"/>
                <w:szCs w:val="22"/>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4DCC2D27"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8.0</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6A1866DE"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-2.5</w:t>
            </w:r>
          </w:p>
        </w:tc>
      </w:tr>
      <w:tr w:rsidR="007F620D" w:rsidRPr="00656F3F" w14:paraId="1C90FE05" w14:textId="55D7B3C4"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צריכה ציבורית (ללא יבוא ביטחוני)</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622F361F"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3038D9E0" w:rsidR="007F620D" w:rsidRPr="00656F3F" w:rsidRDefault="00321751" w:rsidP="007C124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8</w:t>
            </w:r>
            <w:r w:rsidR="00A35354" w:rsidRPr="00656F3F">
              <w:rPr>
                <w:rFonts w:ascii="Calibri" w:eastAsia="Times New Roman" w:hAnsi="Calibri" w:cs="Calibri"/>
                <w:b/>
                <w:bCs/>
                <w:color w:val="000000"/>
                <w:kern w:val="24"/>
                <w:sz w:val="22"/>
                <w:szCs w:val="22"/>
              </w:rPr>
              <w:t>.</w:t>
            </w:r>
            <w:r w:rsidR="007C1241" w:rsidRPr="00656F3F">
              <w:rPr>
                <w:rFonts w:ascii="Calibri" w:eastAsia="Times New Roman" w:hAnsi="Calibri" w:cs="Calibri"/>
                <w:b/>
                <w:bCs/>
                <w:color w:val="000000"/>
                <w:kern w:val="24"/>
                <w:sz w:val="22"/>
                <w:szCs w:val="22"/>
              </w:rPr>
              <w:t>0</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7282CBE8" w:rsidR="007F620D" w:rsidRPr="00656F3F" w:rsidRDefault="007C1241"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color w:val="4F81BD"/>
                <w:kern w:val="24"/>
                <w:sz w:val="22"/>
                <w:szCs w:val="22"/>
              </w:rPr>
              <w:t>3.5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7C7D44AF" w:rsidR="007F620D" w:rsidRPr="00656F3F" w:rsidRDefault="0041677C" w:rsidP="007C124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w:t>
            </w:r>
            <w:r w:rsidR="007C1241" w:rsidRPr="00656F3F">
              <w:rPr>
                <w:rFonts w:ascii="Calibri" w:eastAsia="Times New Roman" w:hAnsi="Calibri" w:cs="Calibri"/>
                <w:b/>
                <w:bCs/>
                <w:color w:val="000000"/>
                <w:kern w:val="24"/>
                <w:sz w:val="22"/>
                <w:szCs w:val="22"/>
              </w:rPr>
              <w:t>5</w:t>
            </w:r>
            <w:r w:rsidR="00321751" w:rsidRPr="00656F3F">
              <w:rPr>
                <w:rFonts w:ascii="Calibri" w:eastAsia="Times New Roman" w:hAnsi="Calibri" w:cs="Calibri"/>
                <w:b/>
                <w:bCs/>
                <w:color w:val="000000"/>
                <w:kern w:val="24"/>
                <w:sz w:val="22"/>
                <w:szCs w:val="22"/>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28E15DB9" w:rsidR="007F620D" w:rsidRPr="00656F3F" w:rsidRDefault="0041677C" w:rsidP="007C124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7C1241" w:rsidRPr="00656F3F">
              <w:rPr>
                <w:rFonts w:ascii="Calibri" w:eastAsia="Times New Roman" w:hAnsi="Calibri" w:cs="Calibri"/>
                <w:color w:val="4F81BD"/>
                <w:kern w:val="24"/>
                <w:sz w:val="22"/>
                <w:szCs w:val="22"/>
              </w:rPr>
              <w:t>3</w:t>
            </w:r>
            <w:r w:rsidRPr="00656F3F">
              <w:rPr>
                <w:rFonts w:ascii="Calibri" w:eastAsia="Times New Roman" w:hAnsi="Calibri" w:cs="Calibri"/>
                <w:color w:val="4F81BD"/>
                <w:kern w:val="24"/>
                <w:sz w:val="22"/>
                <w:szCs w:val="22"/>
              </w:rPr>
              <w:t>.5</w:t>
            </w:r>
          </w:p>
        </w:tc>
      </w:tr>
      <w:tr w:rsidR="007F620D" w:rsidRPr="00656F3F" w14:paraId="7CDAC5AE" w14:textId="743D6B0C" w:rsidTr="0057071C">
        <w:trPr>
          <w:trHeight w:val="20"/>
        </w:trPr>
        <w:tc>
          <w:tcPr>
            <w:tcW w:w="2632"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יצוא (ללא יהלומים והזנק)</w:t>
            </w:r>
          </w:p>
        </w:tc>
        <w:tc>
          <w:tcPr>
            <w:tcW w:w="364"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1D5E9B52" w:rsidR="007F620D" w:rsidRPr="00656F3F" w:rsidRDefault="007F620D"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sz w:val="22"/>
                <w:szCs w:val="22"/>
              </w:rPr>
              <w:t>0.</w:t>
            </w:r>
            <w:r w:rsidR="00321751" w:rsidRPr="00656F3F">
              <w:rPr>
                <w:rFonts w:ascii="Calibri" w:eastAsia="Times New Roman" w:hAnsi="Calibri" w:cs="Calibri"/>
                <w:sz w:val="22"/>
                <w:szCs w:val="22"/>
              </w:rPr>
              <w:t>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24FFE4D8"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Pr>
              <w:t>-1.</w:t>
            </w:r>
            <w:r w:rsidR="00321751" w:rsidRPr="00656F3F">
              <w:rPr>
                <w:rFonts w:ascii="Calibri" w:eastAsia="Times New Roman" w:hAnsi="Calibri" w:cs="Calibri"/>
                <w:b/>
                <w:bCs/>
                <w:color w:val="000000"/>
                <w:kern w:val="24"/>
                <w:sz w:val="22"/>
                <w:szCs w:val="22"/>
              </w:rPr>
              <w:t>5</w:t>
            </w:r>
          </w:p>
        </w:tc>
        <w:tc>
          <w:tcPr>
            <w:tcW w:w="514"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6E78BF22"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0</w:t>
            </w:r>
            <w:r w:rsidRPr="00656F3F">
              <w:rPr>
                <w:rFonts w:ascii="Calibri" w:eastAsia="Times New Roman" w:hAnsi="Calibri" w:cs="Calibri"/>
                <w:color w:val="4F81BD"/>
                <w:kern w:val="24"/>
                <w:sz w:val="22"/>
                <w:szCs w:val="22"/>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4872690F" w:rsidR="007F620D" w:rsidRPr="00656F3F" w:rsidRDefault="00E571A3"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4.</w:t>
            </w:r>
            <w:r w:rsidR="00321751" w:rsidRPr="00656F3F">
              <w:rPr>
                <w:rFonts w:ascii="Calibri" w:eastAsia="Times New Roman" w:hAnsi="Calibri" w:cs="Calibri"/>
                <w:b/>
                <w:bCs/>
                <w:color w:val="000000"/>
                <w:kern w:val="24"/>
                <w:sz w:val="22"/>
                <w:szCs w:val="22"/>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7113E35C"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0.5</w:t>
            </w:r>
          </w:p>
        </w:tc>
      </w:tr>
      <w:tr w:rsidR="007F620D" w:rsidRPr="00656F3F" w14:paraId="35DDD08B" w14:textId="129829EC" w:rsidTr="0057071C">
        <w:trPr>
          <w:trHeight w:val="20"/>
        </w:trPr>
        <w:tc>
          <w:tcPr>
            <w:tcW w:w="263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 xml:space="preserve">יבוא אזרחי (ללא יהלומים, </w:t>
            </w:r>
            <w:proofErr w:type="spellStart"/>
            <w:r w:rsidRPr="00656F3F">
              <w:rPr>
                <w:rFonts w:ascii="Calibri" w:eastAsia="Calibri" w:hAnsi="Calibri" w:cs="Calibri"/>
                <w:color w:val="000000"/>
                <w:kern w:val="24"/>
                <w:sz w:val="22"/>
                <w:szCs w:val="22"/>
                <w:rtl/>
              </w:rPr>
              <w:t>אוניות</w:t>
            </w:r>
            <w:proofErr w:type="spellEnd"/>
            <w:r w:rsidRPr="00656F3F">
              <w:rPr>
                <w:rFonts w:ascii="Calibri" w:eastAsia="Calibri" w:hAnsi="Calibri" w:cs="Calibri"/>
                <w:color w:val="000000"/>
                <w:kern w:val="24"/>
                <w:sz w:val="22"/>
                <w:szCs w:val="22"/>
                <w:rtl/>
              </w:rPr>
              <w:t xml:space="preserve"> ומטוסים)</w:t>
            </w:r>
          </w:p>
        </w:tc>
        <w:tc>
          <w:tcPr>
            <w:tcW w:w="364"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089B9F61"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-7.2</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70151ED7" w:rsidR="007F620D" w:rsidRPr="00656F3F" w:rsidRDefault="00A35354"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b/>
                <w:bCs/>
                <w:color w:val="000000"/>
                <w:kern w:val="24"/>
                <w:sz w:val="22"/>
                <w:szCs w:val="22"/>
              </w:rPr>
              <w:t>-</w:t>
            </w:r>
            <w:r w:rsidR="00321751" w:rsidRPr="00656F3F">
              <w:rPr>
                <w:rFonts w:ascii="Calibri" w:eastAsia="Times New Roman" w:hAnsi="Calibri" w:cs="Calibri"/>
                <w:b/>
                <w:bCs/>
                <w:color w:val="000000"/>
                <w:kern w:val="24"/>
                <w:sz w:val="22"/>
                <w:szCs w:val="22"/>
              </w:rPr>
              <w:t>5</w:t>
            </w:r>
            <w:r w:rsidRPr="00656F3F">
              <w:rPr>
                <w:rFonts w:ascii="Calibri" w:eastAsia="Times New Roman" w:hAnsi="Calibri" w:cs="Calibri"/>
                <w:b/>
                <w:bCs/>
                <w:color w:val="000000"/>
                <w:kern w:val="24"/>
                <w:sz w:val="22"/>
                <w:szCs w:val="22"/>
              </w:rPr>
              <w:t>.0</w:t>
            </w:r>
          </w:p>
        </w:tc>
        <w:tc>
          <w:tcPr>
            <w:tcW w:w="51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52B80DBF" w:rsidR="007F620D" w:rsidRPr="00656F3F" w:rsidRDefault="00A35354"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1.0</w:t>
            </w:r>
          </w:p>
        </w:tc>
        <w:tc>
          <w:tcPr>
            <w:tcW w:w="65"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2353CE9E" w:rsidR="007F620D" w:rsidRPr="00656F3F" w:rsidRDefault="00321751"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3.5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195E0380" w:rsidR="007F620D" w:rsidRPr="00656F3F" w:rsidRDefault="0041677C" w:rsidP="00321751">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4F81BD"/>
                <w:kern w:val="24"/>
                <w:sz w:val="22"/>
                <w:szCs w:val="22"/>
              </w:rPr>
              <w:t>-</w:t>
            </w:r>
            <w:r w:rsidR="00321751" w:rsidRPr="00656F3F">
              <w:rPr>
                <w:rFonts w:ascii="Calibri" w:eastAsia="Times New Roman" w:hAnsi="Calibri" w:cs="Calibri"/>
                <w:color w:val="4F81BD"/>
                <w:kern w:val="24"/>
                <w:sz w:val="22"/>
                <w:szCs w:val="22"/>
              </w:rPr>
              <w:t>4</w:t>
            </w:r>
            <w:r w:rsidRPr="00656F3F">
              <w:rPr>
                <w:rFonts w:ascii="Calibri" w:eastAsia="Times New Roman" w:hAnsi="Calibri" w:cs="Calibri"/>
                <w:color w:val="4F81BD"/>
                <w:kern w:val="24"/>
                <w:sz w:val="22"/>
                <w:szCs w:val="22"/>
              </w:rPr>
              <w:t>.5</w:t>
            </w:r>
          </w:p>
        </w:tc>
      </w:tr>
      <w:tr w:rsidR="007F620D" w:rsidRPr="00656F3F" w14:paraId="2BD7F785" w14:textId="26B13190" w:rsidTr="0057071C">
        <w:trPr>
          <w:trHeight w:val="20"/>
        </w:trPr>
        <w:tc>
          <w:tcPr>
            <w:tcW w:w="2632" w:type="pct"/>
            <w:tcBorders>
              <w:left w:val="nil"/>
              <w:bottom w:val="nil"/>
              <w:right w:val="nil"/>
            </w:tcBorders>
            <w:shd w:val="clear" w:color="auto" w:fill="auto"/>
            <w:tcMar>
              <w:top w:w="15" w:type="dxa"/>
              <w:left w:w="15" w:type="dxa"/>
              <w:bottom w:w="0" w:type="dxa"/>
              <w:right w:w="15" w:type="dxa"/>
            </w:tcMar>
            <w:vAlign w:val="center"/>
          </w:tcPr>
          <w:p w14:paraId="19963592" w14:textId="2FE7BC59" w:rsidR="007F620D" w:rsidRPr="00656F3F" w:rsidRDefault="007F620D" w:rsidP="0060236D">
            <w:pPr>
              <w:spacing w:beforeLines="20" w:before="48" w:afterLines="20" w:after="48" w:line="240" w:lineRule="auto"/>
              <w:contextualSpacing w:val="0"/>
              <w:rPr>
                <w:rFonts w:ascii="Calibri" w:eastAsia="Times New Roman" w:hAnsi="Calibri" w:cs="Calibri"/>
                <w:color w:val="000000"/>
                <w:kern w:val="24"/>
                <w:rtl/>
              </w:rPr>
            </w:pPr>
            <w:r w:rsidRPr="00656F3F">
              <w:rPr>
                <w:rFonts w:ascii="Calibri" w:eastAsia="Times New Roman" w:hAnsi="Calibri" w:cs="Calibri"/>
                <w:color w:val="000000"/>
                <w:kern w:val="24"/>
                <w:sz w:val="22"/>
                <w:szCs w:val="22"/>
                <w:rtl/>
              </w:rPr>
              <w:t>שיעור האבטלה הרחב – ממוצע שנתי (גילאי 25</w:t>
            </w:r>
            <w:r w:rsidR="0060236D" w:rsidRPr="00656F3F">
              <w:rPr>
                <w:rFonts w:ascii="Calibri" w:eastAsia="Times New Roman" w:hAnsi="Calibri" w:cs="Calibri"/>
                <w:color w:val="000000"/>
                <w:kern w:val="24"/>
                <w:sz w:val="22"/>
                <w:szCs w:val="22"/>
                <w:rtl/>
              </w:rPr>
              <w:t>–</w:t>
            </w:r>
            <w:r w:rsidRPr="00656F3F">
              <w:rPr>
                <w:rFonts w:ascii="Calibri" w:eastAsia="Times New Roman" w:hAnsi="Calibri" w:cs="Calibri"/>
                <w:color w:val="000000"/>
                <w:kern w:val="24"/>
                <w:sz w:val="22"/>
                <w:szCs w:val="22"/>
                <w:rtl/>
              </w:rPr>
              <w:t>64)</w:t>
            </w:r>
            <w:r w:rsidRPr="00656F3F">
              <w:rPr>
                <w:rFonts w:ascii="Calibri" w:eastAsia="Calibri" w:hAnsi="Calibri" w:cs="Calibri"/>
                <w:color w:val="000000"/>
                <w:kern w:val="24"/>
                <w:position w:val="8"/>
                <w:sz w:val="22"/>
                <w:szCs w:val="22"/>
                <w:vertAlign w:val="superscript"/>
                <w:rtl/>
              </w:rPr>
              <w:t xml:space="preserve"> 2</w:t>
            </w:r>
          </w:p>
        </w:tc>
        <w:tc>
          <w:tcPr>
            <w:tcW w:w="364" w:type="pct"/>
            <w:tcBorders>
              <w:left w:val="nil"/>
              <w:bottom w:val="nil"/>
              <w:right w:val="nil"/>
            </w:tcBorders>
            <w:shd w:val="clear" w:color="auto" w:fill="D9D9D9"/>
            <w:tcMar>
              <w:top w:w="15" w:type="dxa"/>
              <w:left w:w="15" w:type="dxa"/>
              <w:bottom w:w="0" w:type="dxa"/>
              <w:right w:w="15" w:type="dxa"/>
            </w:tcMar>
            <w:vAlign w:val="center"/>
          </w:tcPr>
          <w:p w14:paraId="3291EA0C" w14:textId="035CD5D4" w:rsidR="007F620D" w:rsidRPr="00656F3F" w:rsidRDefault="007F620D" w:rsidP="007F620D">
            <w:pPr>
              <w:spacing w:beforeLines="20" w:before="48" w:afterLines="20" w:after="48" w:line="240" w:lineRule="auto"/>
              <w:contextualSpacing w:val="0"/>
              <w:jc w:val="center"/>
              <w:rPr>
                <w:rFonts w:ascii="Calibri" w:eastAsia="Times New Roman" w:hAnsi="Calibri" w:cs="Calibri"/>
                <w:color w:val="000000"/>
                <w:kern w:val="24"/>
                <w:sz w:val="22"/>
                <w:szCs w:val="22"/>
                <w:rtl/>
              </w:rPr>
            </w:pPr>
            <w:r w:rsidRPr="00656F3F">
              <w:rPr>
                <w:rFonts w:ascii="Calibri" w:eastAsia="Times New Roman" w:hAnsi="Calibri" w:cs="Calibri"/>
                <w:color w:val="000000"/>
                <w:kern w:val="24"/>
                <w:sz w:val="22"/>
                <w:szCs w:val="22"/>
              </w:rPr>
              <w:t>4.4</w:t>
            </w:r>
          </w:p>
        </w:tc>
        <w:tc>
          <w:tcPr>
            <w:tcW w:w="69"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left w:val="nil"/>
              <w:bottom w:val="nil"/>
              <w:right w:val="nil"/>
            </w:tcBorders>
            <w:shd w:val="clear" w:color="auto" w:fill="auto"/>
            <w:tcMar>
              <w:top w:w="15" w:type="dxa"/>
              <w:left w:w="15" w:type="dxa"/>
              <w:bottom w:w="0" w:type="dxa"/>
              <w:right w:w="15" w:type="dxa"/>
            </w:tcMar>
            <w:vAlign w:val="center"/>
          </w:tcPr>
          <w:p w14:paraId="1DD0FB8F" w14:textId="29B7C377" w:rsidR="007F620D" w:rsidRPr="00656F3F" w:rsidRDefault="00321751" w:rsidP="00992987">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Pr>
              <w:t>4.</w:t>
            </w:r>
            <w:r w:rsidR="00992987" w:rsidRPr="00656F3F">
              <w:rPr>
                <w:rFonts w:ascii="Calibri" w:eastAsia="Times New Roman" w:hAnsi="Calibri" w:cs="Calibri"/>
                <w:b/>
                <w:bCs/>
                <w:color w:val="000000"/>
                <w:kern w:val="24"/>
                <w:sz w:val="22"/>
                <w:szCs w:val="22"/>
              </w:rPr>
              <w:t>0</w:t>
            </w:r>
          </w:p>
        </w:tc>
        <w:tc>
          <w:tcPr>
            <w:tcW w:w="514" w:type="pct"/>
            <w:tcBorders>
              <w:left w:val="nil"/>
              <w:bottom w:val="nil"/>
              <w:right w:val="nil"/>
            </w:tcBorders>
            <w:shd w:val="clear" w:color="auto" w:fill="auto"/>
            <w:tcMar>
              <w:top w:w="15" w:type="dxa"/>
              <w:left w:w="15" w:type="dxa"/>
              <w:bottom w:w="0" w:type="dxa"/>
              <w:right w:w="15" w:type="dxa"/>
            </w:tcMar>
            <w:vAlign w:val="center"/>
          </w:tcPr>
          <w:p w14:paraId="754F5EBC" w14:textId="44C6B530" w:rsidR="007F620D" w:rsidRPr="00656F3F" w:rsidRDefault="00321751" w:rsidP="00992987">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Pr>
              <w:t>0</w:t>
            </w:r>
            <w:r w:rsidR="00A35354" w:rsidRPr="00656F3F">
              <w:rPr>
                <w:rFonts w:ascii="Calibri" w:eastAsia="Times New Roman" w:hAnsi="Calibri" w:cs="Calibri"/>
                <w:color w:val="4F81BD"/>
                <w:kern w:val="24"/>
                <w:sz w:val="22"/>
                <w:szCs w:val="22"/>
              </w:rPr>
              <w:t>.</w:t>
            </w:r>
            <w:r w:rsidR="00992987" w:rsidRPr="00656F3F">
              <w:rPr>
                <w:rFonts w:ascii="Calibri" w:eastAsia="Times New Roman" w:hAnsi="Calibri" w:cs="Calibri"/>
                <w:color w:val="4F81BD"/>
                <w:kern w:val="24"/>
                <w:sz w:val="22"/>
                <w:szCs w:val="22"/>
              </w:rPr>
              <w:t>3</w:t>
            </w:r>
          </w:p>
        </w:tc>
        <w:tc>
          <w:tcPr>
            <w:tcW w:w="65"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left w:val="nil"/>
              <w:bottom w:val="nil"/>
              <w:right w:val="nil"/>
            </w:tcBorders>
            <w:shd w:val="clear" w:color="auto" w:fill="auto"/>
            <w:tcMar>
              <w:top w:w="15" w:type="dxa"/>
              <w:left w:w="15" w:type="dxa"/>
              <w:bottom w:w="0" w:type="dxa"/>
              <w:right w:w="15" w:type="dxa"/>
            </w:tcMar>
            <w:vAlign w:val="center"/>
          </w:tcPr>
          <w:p w14:paraId="68572CA5" w14:textId="1DC89E30" w:rsidR="007F620D" w:rsidRPr="00656F3F" w:rsidRDefault="00992987" w:rsidP="007F620D">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Pr>
              <w:t>3.8</w:t>
            </w:r>
          </w:p>
        </w:tc>
        <w:tc>
          <w:tcPr>
            <w:tcW w:w="494" w:type="pct"/>
            <w:tcBorders>
              <w:left w:val="nil"/>
              <w:bottom w:val="nil"/>
              <w:right w:val="nil"/>
            </w:tcBorders>
            <w:shd w:val="clear" w:color="auto" w:fill="auto"/>
            <w:tcMar>
              <w:top w:w="15" w:type="dxa"/>
              <w:left w:w="15" w:type="dxa"/>
              <w:bottom w:w="0" w:type="dxa"/>
              <w:right w:w="15" w:type="dxa"/>
            </w:tcMar>
            <w:vAlign w:val="center"/>
          </w:tcPr>
          <w:p w14:paraId="7358AC54" w14:textId="4CBE02C5" w:rsidR="007F620D" w:rsidRPr="00656F3F" w:rsidRDefault="0057071C" w:rsidP="00992987">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Pr>
              <w:t>0.</w:t>
            </w:r>
            <w:r w:rsidR="00992987" w:rsidRPr="00656F3F">
              <w:rPr>
                <w:rFonts w:ascii="Calibri" w:eastAsia="Times New Roman" w:hAnsi="Calibri" w:cs="Calibri"/>
                <w:color w:val="4F81BD"/>
                <w:kern w:val="24"/>
                <w:sz w:val="22"/>
                <w:szCs w:val="22"/>
              </w:rPr>
              <w:t>5</w:t>
            </w:r>
          </w:p>
        </w:tc>
      </w:tr>
      <w:tr w:rsidR="007F620D" w:rsidRPr="00656F3F" w14:paraId="21600ADB" w14:textId="53E49C76"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1A7742F1" w:rsidR="007F620D" w:rsidRPr="00656F3F" w:rsidRDefault="007F620D" w:rsidP="0060236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שיעור התעסוקה המותאם – ממוצע שנתי</w:t>
            </w:r>
            <w:r w:rsidRPr="00656F3F">
              <w:rPr>
                <w:rFonts w:ascii="Calibri" w:eastAsia="Times New Roman" w:hAnsi="Calibri" w:cs="Calibri"/>
                <w:b/>
                <w:bCs/>
                <w:color w:val="000000"/>
                <w:kern w:val="24"/>
                <w:sz w:val="22"/>
                <w:szCs w:val="22"/>
                <w:rtl/>
              </w:rPr>
              <w:t xml:space="preserve"> </w:t>
            </w:r>
            <w:r w:rsidRPr="00656F3F">
              <w:rPr>
                <w:rFonts w:ascii="Calibri" w:eastAsia="Times New Roman" w:hAnsi="Calibri" w:cs="Calibri"/>
                <w:color w:val="000000"/>
                <w:kern w:val="24"/>
                <w:sz w:val="22"/>
                <w:szCs w:val="22"/>
                <w:rtl/>
              </w:rPr>
              <w:t>(גילאי 25</w:t>
            </w:r>
            <w:r w:rsidR="0060236D" w:rsidRPr="00656F3F">
              <w:rPr>
                <w:rFonts w:ascii="Calibri" w:eastAsia="Times New Roman" w:hAnsi="Calibri" w:cs="Calibri"/>
                <w:color w:val="000000"/>
                <w:kern w:val="24"/>
                <w:sz w:val="22"/>
                <w:szCs w:val="22"/>
                <w:rtl/>
              </w:rPr>
              <w:t>–</w:t>
            </w:r>
            <w:r w:rsidRPr="00656F3F">
              <w:rPr>
                <w:rFonts w:ascii="Calibri" w:eastAsia="Times New Roman" w:hAnsi="Calibri" w:cs="Calibri"/>
                <w:color w:val="000000"/>
                <w:kern w:val="24"/>
                <w:sz w:val="22"/>
                <w:szCs w:val="22"/>
                <w:rtl/>
              </w:rPr>
              <w:t>64)</w:t>
            </w:r>
            <w:r w:rsidRPr="00656F3F">
              <w:rPr>
                <w:rFonts w:ascii="Calibri" w:eastAsia="Calibri" w:hAnsi="Calibri" w:cs="Calibri"/>
                <w:color w:val="000000"/>
                <w:kern w:val="24"/>
                <w:position w:val="8"/>
                <w:sz w:val="22"/>
                <w:szCs w:val="22"/>
                <w:vertAlign w:val="superscript"/>
                <w:rtl/>
              </w:rPr>
              <w:t xml:space="preserve"> 2</w:t>
            </w:r>
          </w:p>
        </w:tc>
        <w:tc>
          <w:tcPr>
            <w:tcW w:w="364"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1FF226E1"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77.8</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197C868D" w:rsidR="007F620D" w:rsidRPr="00656F3F" w:rsidRDefault="00A35354" w:rsidP="00992987">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Pr>
              <w:t>77.</w:t>
            </w:r>
            <w:r w:rsidR="00992987" w:rsidRPr="00656F3F">
              <w:rPr>
                <w:rFonts w:ascii="Calibri" w:eastAsia="Times New Roman" w:hAnsi="Calibri" w:cs="Calibri"/>
                <w:b/>
                <w:bCs/>
                <w:color w:val="000000"/>
                <w:kern w:val="24"/>
                <w:sz w:val="22"/>
                <w:szCs w:val="22"/>
              </w:rPr>
              <w:t>6</w:t>
            </w:r>
          </w:p>
        </w:tc>
        <w:tc>
          <w:tcPr>
            <w:tcW w:w="51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4FF7994D" w:rsidR="007F620D" w:rsidRPr="00656F3F" w:rsidRDefault="00992987" w:rsidP="007F620D">
            <w:pPr>
              <w:spacing w:beforeLines="20" w:before="48" w:afterLines="20" w:after="48" w:line="240" w:lineRule="auto"/>
              <w:contextualSpacing w:val="0"/>
              <w:jc w:val="center"/>
              <w:rPr>
                <w:rFonts w:ascii="Calibri" w:eastAsia="Times New Roman" w:hAnsi="Calibri" w:cs="Calibri"/>
                <w:color w:val="4F81BD"/>
                <w:kern w:val="24"/>
                <w:sz w:val="22"/>
                <w:szCs w:val="22"/>
              </w:rPr>
            </w:pPr>
            <w:r w:rsidRPr="00656F3F">
              <w:rPr>
                <w:rFonts w:ascii="Calibri" w:eastAsia="Times New Roman" w:hAnsi="Calibri" w:cs="Calibri"/>
                <w:color w:val="4F81BD"/>
                <w:kern w:val="24"/>
                <w:sz w:val="22"/>
                <w:szCs w:val="22"/>
              </w:rPr>
              <w:t>0.3</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1DA0843C" w:rsidR="007F620D" w:rsidRPr="00656F3F" w:rsidRDefault="00321751" w:rsidP="00992987">
            <w:pPr>
              <w:spacing w:beforeLines="20" w:before="48" w:afterLines="20" w:after="48" w:line="240" w:lineRule="auto"/>
              <w:contextualSpacing w:val="0"/>
              <w:jc w:val="center"/>
              <w:rPr>
                <w:rFonts w:ascii="Calibri" w:eastAsia="Times New Roman" w:hAnsi="Calibri" w:cs="Calibri"/>
                <w:b/>
                <w:bCs/>
                <w:color w:val="000000"/>
                <w:kern w:val="24"/>
                <w:sz w:val="22"/>
                <w:szCs w:val="22"/>
                <w:rtl/>
              </w:rPr>
            </w:pPr>
            <w:r w:rsidRPr="00656F3F">
              <w:rPr>
                <w:rFonts w:ascii="Calibri" w:eastAsia="Times New Roman" w:hAnsi="Calibri" w:cs="Calibri"/>
                <w:b/>
                <w:bCs/>
                <w:color w:val="000000"/>
                <w:kern w:val="24"/>
                <w:sz w:val="22"/>
                <w:szCs w:val="22"/>
                <w:rtl/>
              </w:rPr>
              <w:t>77.</w:t>
            </w:r>
            <w:r w:rsidR="00992987" w:rsidRPr="00656F3F">
              <w:rPr>
                <w:rFonts w:ascii="Calibri" w:eastAsia="Times New Roman" w:hAnsi="Calibri" w:cs="Calibri"/>
                <w:b/>
                <w:bCs/>
                <w:color w:val="000000"/>
                <w:kern w:val="24"/>
                <w:sz w:val="22"/>
                <w:szCs w:val="22"/>
                <w:rtl/>
              </w:rPr>
              <w:t>7</w:t>
            </w:r>
          </w:p>
        </w:tc>
        <w:tc>
          <w:tcPr>
            <w:tcW w:w="49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58E865DB" w:rsidR="007F620D" w:rsidRPr="00656F3F" w:rsidRDefault="00992987" w:rsidP="00321751">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tl/>
              </w:rPr>
              <w:t>0.5</w:t>
            </w:r>
            <w:r w:rsidR="00321751" w:rsidRPr="00656F3F">
              <w:rPr>
                <w:rFonts w:ascii="Calibri" w:eastAsia="Times New Roman" w:hAnsi="Calibri" w:cs="Calibri"/>
                <w:color w:val="4F81BD"/>
                <w:kern w:val="24"/>
                <w:sz w:val="22"/>
                <w:szCs w:val="22"/>
                <w:rtl/>
              </w:rPr>
              <w:t>-</w:t>
            </w:r>
          </w:p>
        </w:tc>
      </w:tr>
      <w:tr w:rsidR="007F620D" w:rsidRPr="00656F3F" w14:paraId="4F5CC526" w14:textId="0719D56E" w:rsidTr="0057071C">
        <w:trPr>
          <w:trHeight w:val="20"/>
        </w:trPr>
        <w:tc>
          <w:tcPr>
            <w:tcW w:w="2632"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גירעון הממשלה (אחוזי תוצר)</w:t>
            </w:r>
          </w:p>
        </w:tc>
        <w:tc>
          <w:tcPr>
            <w:tcW w:w="364"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32BAB4CC" w:rsidR="00A35354" w:rsidRPr="00656F3F" w:rsidRDefault="00A45B8F" w:rsidP="00A35354">
            <w:pPr>
              <w:spacing w:beforeLines="20" w:before="48" w:afterLines="20" w:after="48" w:line="240" w:lineRule="auto"/>
              <w:contextualSpacing w:val="0"/>
              <w:jc w:val="center"/>
              <w:rPr>
                <w:rFonts w:ascii="Calibri" w:eastAsia="Times New Roman" w:hAnsi="Calibri" w:cs="Calibri"/>
                <w:color w:val="000000"/>
                <w:kern w:val="24"/>
                <w:sz w:val="22"/>
                <w:szCs w:val="22"/>
                <w:rtl/>
              </w:rPr>
            </w:pPr>
            <w:r w:rsidRPr="00656F3F">
              <w:rPr>
                <w:rFonts w:ascii="Calibri" w:eastAsia="Times New Roman" w:hAnsi="Calibri" w:cs="Calibri"/>
                <w:color w:val="000000"/>
                <w:kern w:val="24"/>
                <w:sz w:val="22"/>
                <w:szCs w:val="22"/>
              </w:rPr>
              <w:t>4.1</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705F8AAA" w:rsidR="007F620D" w:rsidRPr="00656F3F" w:rsidRDefault="00A35354" w:rsidP="009617EA">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Pr>
            </w:pPr>
            <w:r w:rsidRPr="00656F3F">
              <w:rPr>
                <w:rFonts w:ascii="Calibri" w:eastAsia="Times New Roman" w:hAnsi="Calibri" w:cs="Calibri"/>
                <w:b/>
                <w:bCs/>
                <w:color w:val="000000" w:themeColor="text1"/>
                <w:kern w:val="24"/>
                <w:sz w:val="22"/>
                <w:szCs w:val="22"/>
              </w:rPr>
              <w:t>6.</w:t>
            </w:r>
            <w:r w:rsidR="009617EA" w:rsidRPr="00656F3F">
              <w:rPr>
                <w:rFonts w:ascii="Calibri" w:eastAsia="Times New Roman" w:hAnsi="Calibri" w:cs="Calibri"/>
                <w:b/>
                <w:bCs/>
                <w:color w:val="000000" w:themeColor="text1"/>
                <w:kern w:val="24"/>
                <w:sz w:val="22"/>
                <w:szCs w:val="22"/>
              </w:rPr>
              <w:t>6</w:t>
            </w:r>
          </w:p>
        </w:tc>
        <w:tc>
          <w:tcPr>
            <w:tcW w:w="514"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10A153AA" w:rsidR="007F620D" w:rsidRPr="00656F3F" w:rsidRDefault="009617EA" w:rsidP="007F620D">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Pr>
              <w:t>0.0</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48B0E727" w:rsidR="007F620D" w:rsidRPr="00656F3F" w:rsidRDefault="00992987" w:rsidP="00583CBB">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tl/>
              </w:rPr>
            </w:pPr>
            <w:r w:rsidRPr="00656F3F">
              <w:rPr>
                <w:rFonts w:ascii="Calibri" w:eastAsia="Times New Roman" w:hAnsi="Calibri" w:cs="Calibri"/>
                <w:b/>
                <w:bCs/>
                <w:color w:val="000000" w:themeColor="text1"/>
                <w:kern w:val="24"/>
                <w:sz w:val="22"/>
                <w:szCs w:val="22"/>
                <w:rtl/>
              </w:rPr>
              <w:t>4.</w:t>
            </w:r>
            <w:r w:rsidR="00583CBB" w:rsidRPr="00656F3F">
              <w:rPr>
                <w:rFonts w:ascii="Calibri" w:eastAsia="Times New Roman" w:hAnsi="Calibri" w:cs="Calibri"/>
                <w:b/>
                <w:bCs/>
                <w:color w:val="000000" w:themeColor="text1"/>
                <w:kern w:val="24"/>
                <w:sz w:val="22"/>
                <w:szCs w:val="22"/>
                <w:rtl/>
              </w:rPr>
              <w:t>0</w:t>
            </w:r>
          </w:p>
        </w:tc>
        <w:tc>
          <w:tcPr>
            <w:tcW w:w="494"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6A3A918F" w:rsidR="007F620D" w:rsidRPr="00656F3F" w:rsidRDefault="00992987" w:rsidP="00D875C8">
            <w:pPr>
              <w:spacing w:beforeLines="20" w:before="48" w:afterLines="20" w:after="48" w:line="240" w:lineRule="auto"/>
              <w:contextualSpacing w:val="0"/>
              <w:jc w:val="center"/>
              <w:rPr>
                <w:rFonts w:ascii="Calibri" w:eastAsia="Times New Roman" w:hAnsi="Calibri" w:cs="Calibri"/>
                <w:color w:val="4F81BD"/>
                <w:kern w:val="24"/>
                <w:sz w:val="22"/>
                <w:szCs w:val="22"/>
              </w:rPr>
            </w:pPr>
            <w:r w:rsidRPr="00656F3F">
              <w:rPr>
                <w:rFonts w:ascii="Calibri" w:eastAsia="Times New Roman" w:hAnsi="Calibri" w:cs="Calibri"/>
                <w:color w:val="4F81BD"/>
                <w:kern w:val="24"/>
                <w:sz w:val="22"/>
                <w:szCs w:val="22"/>
                <w:rtl/>
              </w:rPr>
              <w:t>0.</w:t>
            </w:r>
            <w:r w:rsidR="00D875C8" w:rsidRPr="00656F3F">
              <w:rPr>
                <w:rFonts w:ascii="Calibri" w:eastAsia="Times New Roman" w:hAnsi="Calibri" w:cs="Calibri"/>
                <w:color w:val="4F81BD"/>
                <w:kern w:val="24"/>
                <w:sz w:val="22"/>
                <w:szCs w:val="22"/>
                <w:rtl/>
              </w:rPr>
              <w:t>6</w:t>
            </w:r>
            <w:r w:rsidRPr="00656F3F">
              <w:rPr>
                <w:rFonts w:ascii="Calibri" w:eastAsia="Times New Roman" w:hAnsi="Calibri" w:cs="Calibri"/>
                <w:color w:val="4F81BD"/>
                <w:kern w:val="24"/>
                <w:sz w:val="22"/>
                <w:szCs w:val="22"/>
                <w:rtl/>
              </w:rPr>
              <w:t>-</w:t>
            </w:r>
          </w:p>
        </w:tc>
      </w:tr>
      <w:tr w:rsidR="007F620D" w:rsidRPr="00656F3F" w14:paraId="373CD0FB" w14:textId="5A29AB22" w:rsidTr="0057071C">
        <w:trPr>
          <w:trHeight w:val="20"/>
        </w:trPr>
        <w:tc>
          <w:tcPr>
            <w:tcW w:w="2632"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0A0526C3"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 xml:space="preserve">יחס </w:t>
            </w:r>
            <w:r w:rsidR="0060236D" w:rsidRPr="00656F3F">
              <w:rPr>
                <w:rFonts w:ascii="Calibri" w:eastAsia="Calibri" w:hAnsi="Calibri" w:cs="Calibri"/>
                <w:color w:val="000000"/>
                <w:kern w:val="24"/>
                <w:sz w:val="22"/>
                <w:szCs w:val="22"/>
                <w:rtl/>
              </w:rPr>
              <w:t>ה</w:t>
            </w:r>
            <w:r w:rsidRPr="00656F3F">
              <w:rPr>
                <w:rFonts w:ascii="Calibri" w:eastAsia="Calibri" w:hAnsi="Calibri" w:cs="Calibri"/>
                <w:color w:val="000000"/>
                <w:kern w:val="24"/>
                <w:sz w:val="22"/>
                <w:szCs w:val="22"/>
                <w:rtl/>
              </w:rPr>
              <w:t>חוב לתוצר</w:t>
            </w:r>
          </w:p>
        </w:tc>
        <w:tc>
          <w:tcPr>
            <w:tcW w:w="364"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47A39E8B" w:rsidR="007F620D" w:rsidRPr="00656F3F" w:rsidRDefault="00A35354" w:rsidP="007F620D">
            <w:pPr>
              <w:spacing w:beforeLines="20" w:before="48" w:afterLines="20" w:after="48" w:line="240" w:lineRule="auto"/>
              <w:contextualSpacing w:val="0"/>
              <w:jc w:val="center"/>
              <w:rPr>
                <w:rFonts w:ascii="Calibri" w:eastAsia="Times New Roman" w:hAnsi="Calibri" w:cs="Calibri"/>
                <w:color w:val="000000"/>
                <w:kern w:val="24"/>
                <w:sz w:val="22"/>
                <w:szCs w:val="22"/>
                <w:rtl/>
              </w:rPr>
            </w:pPr>
            <w:r w:rsidRPr="00656F3F">
              <w:rPr>
                <w:rFonts w:ascii="Calibri" w:eastAsia="Times New Roman" w:hAnsi="Calibri" w:cs="Calibri"/>
                <w:color w:val="000000"/>
                <w:kern w:val="24"/>
                <w:sz w:val="22"/>
                <w:szCs w:val="22"/>
              </w:rPr>
              <w:t>62</w:t>
            </w:r>
            <w:r w:rsidR="00843BD5" w:rsidRPr="00656F3F">
              <w:rPr>
                <w:rFonts w:ascii="Calibri" w:eastAsia="Times New Roman" w:hAnsi="Calibri" w:cs="Calibri"/>
                <w:color w:val="000000"/>
                <w:kern w:val="24"/>
                <w:sz w:val="22"/>
                <w:szCs w:val="22"/>
              </w:rPr>
              <w:t>.0</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46459BEE" w:rsidR="007F620D" w:rsidRPr="00656F3F" w:rsidRDefault="00A35354" w:rsidP="009617EA">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Pr>
            </w:pPr>
            <w:r w:rsidRPr="00656F3F">
              <w:rPr>
                <w:rFonts w:ascii="Calibri" w:eastAsia="Times New Roman" w:hAnsi="Calibri" w:cs="Calibri"/>
                <w:b/>
                <w:bCs/>
                <w:color w:val="000000" w:themeColor="text1"/>
                <w:kern w:val="24"/>
                <w:sz w:val="22"/>
                <w:szCs w:val="22"/>
              </w:rPr>
              <w:t>67</w:t>
            </w:r>
            <w:r w:rsidR="00992987" w:rsidRPr="00656F3F">
              <w:rPr>
                <w:rFonts w:ascii="Calibri" w:eastAsia="Times New Roman" w:hAnsi="Calibri" w:cs="Calibri"/>
                <w:b/>
                <w:bCs/>
                <w:color w:val="000000" w:themeColor="text1"/>
                <w:kern w:val="24"/>
                <w:sz w:val="22"/>
                <w:szCs w:val="22"/>
              </w:rPr>
              <w:t>.</w:t>
            </w:r>
            <w:r w:rsidR="009617EA" w:rsidRPr="00656F3F">
              <w:rPr>
                <w:rFonts w:ascii="Calibri" w:eastAsia="Times New Roman" w:hAnsi="Calibri" w:cs="Calibri"/>
                <w:b/>
                <w:bCs/>
                <w:color w:val="000000" w:themeColor="text1"/>
                <w:kern w:val="24"/>
                <w:sz w:val="22"/>
                <w:szCs w:val="22"/>
              </w:rPr>
              <w:t>5</w:t>
            </w:r>
          </w:p>
        </w:tc>
        <w:tc>
          <w:tcPr>
            <w:tcW w:w="51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66F8D3DB" w:rsidR="007F620D" w:rsidRPr="00656F3F" w:rsidRDefault="00321751" w:rsidP="009617EA">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tl/>
              </w:rPr>
              <w:t>0</w:t>
            </w:r>
            <w:r w:rsidR="00992987" w:rsidRPr="00656F3F">
              <w:rPr>
                <w:rFonts w:ascii="Calibri" w:eastAsia="Times New Roman" w:hAnsi="Calibri" w:cs="Calibri"/>
                <w:color w:val="4F81BD"/>
                <w:kern w:val="24"/>
                <w:sz w:val="22"/>
                <w:szCs w:val="22"/>
                <w:rtl/>
              </w:rPr>
              <w:t>.</w:t>
            </w:r>
            <w:r w:rsidR="009617EA" w:rsidRPr="00656F3F">
              <w:rPr>
                <w:rFonts w:ascii="Calibri" w:eastAsia="Times New Roman" w:hAnsi="Calibri" w:cs="Calibri"/>
                <w:color w:val="4F81BD"/>
                <w:kern w:val="24"/>
                <w:sz w:val="22"/>
                <w:szCs w:val="22"/>
                <w:rtl/>
              </w:rPr>
              <w:t>5</w:t>
            </w:r>
          </w:p>
        </w:tc>
        <w:tc>
          <w:tcPr>
            <w:tcW w:w="65"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1376BAD0" w:rsidR="007F620D" w:rsidRPr="00656F3F" w:rsidRDefault="00992987" w:rsidP="007F620D">
            <w:pPr>
              <w:spacing w:beforeLines="20" w:before="48" w:afterLines="20" w:after="48" w:line="240" w:lineRule="auto"/>
              <w:contextualSpacing w:val="0"/>
              <w:jc w:val="center"/>
              <w:rPr>
                <w:rFonts w:ascii="Calibri" w:eastAsia="Times New Roman" w:hAnsi="Calibri" w:cs="Calibri"/>
                <w:b/>
                <w:bCs/>
                <w:color w:val="000000" w:themeColor="text1"/>
                <w:kern w:val="24"/>
                <w:sz w:val="22"/>
                <w:szCs w:val="22"/>
                <w:rtl/>
              </w:rPr>
            </w:pPr>
            <w:r w:rsidRPr="00656F3F">
              <w:rPr>
                <w:rFonts w:ascii="Calibri" w:eastAsia="Times New Roman" w:hAnsi="Calibri" w:cs="Calibri"/>
                <w:b/>
                <w:bCs/>
                <w:color w:val="000000" w:themeColor="text1"/>
                <w:kern w:val="24"/>
                <w:sz w:val="22"/>
                <w:szCs w:val="22"/>
                <w:rtl/>
              </w:rPr>
              <w:t>68.5</w:t>
            </w:r>
          </w:p>
        </w:tc>
        <w:tc>
          <w:tcPr>
            <w:tcW w:w="49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69819B76" w:rsidR="007F620D" w:rsidRPr="00656F3F" w:rsidRDefault="00992987" w:rsidP="007F620D">
            <w:pPr>
              <w:spacing w:beforeLines="20" w:before="48" w:afterLines="20" w:after="48" w:line="240" w:lineRule="auto"/>
              <w:contextualSpacing w:val="0"/>
              <w:jc w:val="center"/>
              <w:rPr>
                <w:rFonts w:ascii="Calibri" w:eastAsia="Times New Roman" w:hAnsi="Calibri" w:cs="Calibri"/>
                <w:color w:val="4F81BD"/>
                <w:kern w:val="24"/>
                <w:sz w:val="22"/>
                <w:szCs w:val="22"/>
                <w:rtl/>
              </w:rPr>
            </w:pPr>
            <w:r w:rsidRPr="00656F3F">
              <w:rPr>
                <w:rFonts w:ascii="Calibri" w:eastAsia="Times New Roman" w:hAnsi="Calibri" w:cs="Calibri"/>
                <w:color w:val="4F81BD"/>
                <w:kern w:val="24"/>
                <w:sz w:val="22"/>
                <w:szCs w:val="22"/>
                <w:rtl/>
              </w:rPr>
              <w:t>1.5</w:t>
            </w:r>
          </w:p>
        </w:tc>
      </w:tr>
      <w:tr w:rsidR="007F620D" w:rsidRPr="00656F3F" w14:paraId="3AEC6524" w14:textId="411EAC92" w:rsidTr="0057071C">
        <w:trPr>
          <w:trHeight w:val="20"/>
        </w:trPr>
        <w:tc>
          <w:tcPr>
            <w:tcW w:w="263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7F620D" w:rsidRPr="00656F3F" w:rsidRDefault="007F620D" w:rsidP="007F620D">
            <w:pPr>
              <w:spacing w:beforeLines="20" w:before="48" w:afterLines="20" w:after="48" w:line="240" w:lineRule="auto"/>
              <w:contextualSpacing w:val="0"/>
              <w:rPr>
                <w:rFonts w:ascii="Calibri" w:eastAsia="Times New Roman" w:hAnsi="Calibri" w:cs="Calibri"/>
                <w:rtl/>
              </w:rPr>
            </w:pPr>
            <w:r w:rsidRPr="00656F3F">
              <w:rPr>
                <w:rFonts w:ascii="Calibri" w:eastAsia="Calibri" w:hAnsi="Calibri" w:cs="Calibri"/>
                <w:color w:val="000000"/>
                <w:kern w:val="24"/>
                <w:sz w:val="22"/>
                <w:szCs w:val="22"/>
                <w:rtl/>
              </w:rPr>
              <w:t>אינפלציה</w:t>
            </w:r>
            <w:r w:rsidRPr="00656F3F">
              <w:rPr>
                <w:rFonts w:ascii="Calibri" w:eastAsia="Calibri" w:hAnsi="Calibri" w:cs="Calibri"/>
                <w:color w:val="000000"/>
                <w:kern w:val="24"/>
                <w:position w:val="8"/>
                <w:sz w:val="22"/>
                <w:szCs w:val="22"/>
                <w:vertAlign w:val="superscript"/>
                <w:rtl/>
              </w:rPr>
              <w:t>3</w:t>
            </w:r>
          </w:p>
        </w:tc>
        <w:tc>
          <w:tcPr>
            <w:tcW w:w="364"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6F077132" w:rsidR="007F620D" w:rsidRPr="00656F3F" w:rsidRDefault="00A35354" w:rsidP="007F620D">
            <w:pPr>
              <w:spacing w:beforeLines="20" w:before="48" w:afterLines="20" w:after="48" w:line="240" w:lineRule="auto"/>
              <w:contextualSpacing w:val="0"/>
              <w:jc w:val="center"/>
              <w:rPr>
                <w:rFonts w:ascii="Calibri" w:eastAsia="Times New Roman" w:hAnsi="Calibri" w:cs="Calibri"/>
                <w:sz w:val="22"/>
                <w:szCs w:val="22"/>
                <w:rtl/>
              </w:rPr>
            </w:pPr>
            <w:r w:rsidRPr="00656F3F">
              <w:rPr>
                <w:rFonts w:ascii="Calibri" w:eastAsia="Times New Roman" w:hAnsi="Calibri" w:cs="Calibri"/>
                <w:color w:val="000000"/>
                <w:kern w:val="24"/>
                <w:sz w:val="22"/>
                <w:szCs w:val="22"/>
              </w:rPr>
              <w:t>3.</w:t>
            </w:r>
            <w:r w:rsidR="006D4195" w:rsidRPr="00656F3F">
              <w:rPr>
                <w:rFonts w:ascii="Calibri" w:eastAsia="Times New Roman" w:hAnsi="Calibri" w:cs="Calibri"/>
                <w:color w:val="000000"/>
                <w:kern w:val="24"/>
                <w:sz w:val="22"/>
                <w:szCs w:val="22"/>
              </w:rPr>
              <w:t>3</w:t>
            </w:r>
          </w:p>
        </w:tc>
        <w:tc>
          <w:tcPr>
            <w:tcW w:w="69"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7F620D" w:rsidRPr="00656F3F" w:rsidRDefault="007F620D" w:rsidP="007F620D">
            <w:pPr>
              <w:bidi w:val="0"/>
              <w:spacing w:beforeLines="20" w:before="48" w:afterLines="20" w:after="48" w:line="240" w:lineRule="auto"/>
              <w:contextualSpacing w:val="0"/>
              <w:jc w:val="center"/>
              <w:rPr>
                <w:rFonts w:ascii="Calibri" w:eastAsia="Times New Roman" w:hAnsi="Calibri" w:cs="Calibri"/>
                <w:sz w:val="22"/>
                <w:szCs w:val="22"/>
                <w:rtl/>
              </w:rPr>
            </w:pPr>
          </w:p>
        </w:tc>
        <w:tc>
          <w:tcPr>
            <w:tcW w:w="439"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703ADFCD" w:rsidR="007F620D" w:rsidRPr="00656F3F" w:rsidRDefault="00E62605" w:rsidP="007F620D">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tl/>
              </w:rPr>
              <w:t>3.0</w:t>
            </w:r>
          </w:p>
        </w:tc>
        <w:tc>
          <w:tcPr>
            <w:tcW w:w="514"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51BCE4D2" w:rsidR="007F620D" w:rsidRPr="00656F3F" w:rsidRDefault="0057071C" w:rsidP="00E62605">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color w:val="4F81BD"/>
                <w:kern w:val="24"/>
                <w:sz w:val="22"/>
                <w:szCs w:val="22"/>
              </w:rPr>
              <w:t>0.</w:t>
            </w:r>
            <w:r w:rsidR="00E62605" w:rsidRPr="00656F3F">
              <w:rPr>
                <w:rFonts w:ascii="Calibri" w:eastAsia="Times New Roman" w:hAnsi="Calibri" w:cs="Calibri"/>
                <w:color w:val="4F81BD"/>
                <w:kern w:val="24"/>
                <w:sz w:val="22"/>
                <w:szCs w:val="22"/>
              </w:rPr>
              <w:t>3</w:t>
            </w:r>
          </w:p>
        </w:tc>
        <w:tc>
          <w:tcPr>
            <w:tcW w:w="65"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7F620D" w:rsidRPr="00656F3F" w:rsidRDefault="007F620D" w:rsidP="007F620D">
            <w:pPr>
              <w:spacing w:beforeLines="20" w:before="48" w:afterLines="20" w:after="48" w:line="240" w:lineRule="auto"/>
              <w:contextualSpacing w:val="0"/>
              <w:jc w:val="center"/>
              <w:rPr>
                <w:rFonts w:ascii="Calibri" w:eastAsia="Times New Roman" w:hAnsi="Calibri" w:cs="Calibri"/>
                <w:sz w:val="22"/>
                <w:szCs w:val="22"/>
                <w:rtl/>
              </w:rPr>
            </w:pPr>
          </w:p>
        </w:tc>
        <w:tc>
          <w:tcPr>
            <w:tcW w:w="424"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0769CDCE" w:rsidR="007F620D" w:rsidRPr="00656F3F" w:rsidRDefault="00E62605" w:rsidP="00321751">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b/>
                <w:bCs/>
                <w:color w:val="000000"/>
                <w:kern w:val="24"/>
                <w:sz w:val="22"/>
                <w:szCs w:val="22"/>
              </w:rPr>
              <w:t>2.8</w:t>
            </w:r>
          </w:p>
        </w:tc>
        <w:tc>
          <w:tcPr>
            <w:tcW w:w="494"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3FC62C90" w:rsidR="007F620D" w:rsidRPr="00656F3F" w:rsidRDefault="00CC24D4" w:rsidP="00E62605">
            <w:pPr>
              <w:spacing w:beforeLines="20" w:before="48" w:afterLines="20" w:after="48" w:line="240" w:lineRule="auto"/>
              <w:contextualSpacing w:val="0"/>
              <w:jc w:val="center"/>
              <w:rPr>
                <w:rFonts w:ascii="Calibri" w:eastAsia="Times New Roman" w:hAnsi="Calibri" w:cs="Calibri"/>
                <w:sz w:val="22"/>
                <w:szCs w:val="22"/>
              </w:rPr>
            </w:pPr>
            <w:r w:rsidRPr="00656F3F">
              <w:rPr>
                <w:rFonts w:ascii="Calibri" w:eastAsia="Times New Roman" w:hAnsi="Calibri" w:cs="Calibri"/>
                <w:color w:val="4F81BD"/>
                <w:kern w:val="24"/>
                <w:sz w:val="22"/>
                <w:szCs w:val="22"/>
              </w:rPr>
              <w:t>0.</w:t>
            </w:r>
            <w:r w:rsidR="00E62605" w:rsidRPr="00656F3F">
              <w:rPr>
                <w:rFonts w:ascii="Calibri" w:eastAsia="Times New Roman" w:hAnsi="Calibri" w:cs="Calibri"/>
                <w:color w:val="4F81BD"/>
                <w:kern w:val="24"/>
                <w:sz w:val="22"/>
                <w:szCs w:val="22"/>
              </w:rPr>
              <w:t>5</w:t>
            </w:r>
          </w:p>
        </w:tc>
      </w:tr>
    </w:tbl>
    <w:p w14:paraId="19F0D7F1" w14:textId="338ABD55" w:rsidR="00C93A33" w:rsidRPr="00656F3F" w:rsidRDefault="00D4005A" w:rsidP="00D4005A">
      <w:pPr>
        <w:numPr>
          <w:ilvl w:val="0"/>
          <w:numId w:val="2"/>
        </w:numPr>
        <w:spacing w:before="0" w:after="60" w:line="240" w:lineRule="auto"/>
        <w:ind w:left="357" w:hanging="357"/>
        <w:contextualSpacing w:val="0"/>
        <w:jc w:val="both"/>
        <w:rPr>
          <w:rFonts w:ascii="Calibri" w:eastAsia="Calibri" w:hAnsi="Calibri" w:cs="Calibri"/>
          <w:sz w:val="20"/>
          <w:szCs w:val="20"/>
        </w:rPr>
      </w:pPr>
      <w:r w:rsidRPr="00656F3F">
        <w:rPr>
          <w:rFonts w:ascii="Calibri" w:eastAsia="Calibri" w:hAnsi="Calibri" w:cs="Calibri"/>
          <w:sz w:val="20"/>
          <w:szCs w:val="20"/>
          <w:rtl/>
        </w:rPr>
        <w:t>ה</w:t>
      </w:r>
      <w:r w:rsidR="00C93A33" w:rsidRPr="00656F3F">
        <w:rPr>
          <w:rFonts w:ascii="Calibri" w:eastAsia="Calibri" w:hAnsi="Calibri" w:cs="Calibri"/>
          <w:sz w:val="20"/>
          <w:szCs w:val="20"/>
          <w:rtl/>
        </w:rPr>
        <w:t>תחזית לרכיבי החשבונאות הלאומית</w:t>
      </w:r>
      <w:r w:rsidR="00992987" w:rsidRPr="00656F3F">
        <w:rPr>
          <w:rFonts w:ascii="Calibri" w:eastAsia="Calibri" w:hAnsi="Calibri" w:cs="Calibri"/>
          <w:sz w:val="20"/>
          <w:szCs w:val="20"/>
          <w:rtl/>
        </w:rPr>
        <w:t xml:space="preserve"> ולחוב הציבורי</w:t>
      </w:r>
      <w:r w:rsidR="00C93A33" w:rsidRPr="00656F3F">
        <w:rPr>
          <w:rFonts w:ascii="Calibri" w:eastAsia="Calibri" w:hAnsi="Calibri" w:cs="Calibri"/>
          <w:sz w:val="20"/>
          <w:szCs w:val="20"/>
          <w:rtl/>
        </w:rPr>
        <w:t xml:space="preserve"> מעוגל</w:t>
      </w:r>
      <w:r w:rsidRPr="00656F3F">
        <w:rPr>
          <w:rFonts w:ascii="Calibri" w:eastAsia="Calibri" w:hAnsi="Calibri" w:cs="Calibri"/>
          <w:sz w:val="20"/>
          <w:szCs w:val="20"/>
          <w:rtl/>
        </w:rPr>
        <w:t>ת</w:t>
      </w:r>
      <w:r w:rsidR="00C93A33" w:rsidRPr="00656F3F">
        <w:rPr>
          <w:rFonts w:ascii="Calibri" w:eastAsia="Calibri" w:hAnsi="Calibri" w:cs="Calibri"/>
          <w:sz w:val="20"/>
          <w:szCs w:val="20"/>
          <w:rtl/>
        </w:rPr>
        <w:t xml:space="preserve"> לחצי נקודת אחוז.</w:t>
      </w:r>
    </w:p>
    <w:p w14:paraId="4799056D" w14:textId="77777777" w:rsidR="00FC71EB" w:rsidRPr="00656F3F" w:rsidRDefault="00FC71EB" w:rsidP="003543AE">
      <w:pPr>
        <w:pStyle w:val="af2"/>
        <w:numPr>
          <w:ilvl w:val="0"/>
          <w:numId w:val="2"/>
        </w:numPr>
        <w:spacing w:before="0" w:after="60" w:line="240" w:lineRule="auto"/>
        <w:ind w:left="357" w:hanging="357"/>
        <w:contextualSpacing w:val="0"/>
        <w:jc w:val="both"/>
        <w:rPr>
          <w:rFonts w:ascii="Calibri" w:eastAsia="Calibri" w:hAnsi="Calibri" w:cs="Calibri"/>
          <w:sz w:val="20"/>
          <w:szCs w:val="20"/>
          <w:rtl/>
        </w:rPr>
      </w:pPr>
      <w:r w:rsidRPr="00656F3F">
        <w:rPr>
          <w:rFonts w:ascii="Calibri" w:eastAsia="Calibri" w:hAnsi="Calibri" w:cs="Calibri"/>
          <w:sz w:val="20"/>
          <w:szCs w:val="20"/>
          <w:rtl/>
        </w:rPr>
        <w:t>בהתאם להגדרה של הלמ"ס, שיעור האבטלה הרחב כולל את המובטלים בהגדרתם הרגילה (מי שלא עבדו, רצו לעבוד, ה</w:t>
      </w:r>
      <w:r w:rsidR="002B7B3A" w:rsidRPr="00656F3F">
        <w:rPr>
          <w:rFonts w:ascii="Calibri" w:eastAsia="Calibri" w:hAnsi="Calibri" w:cs="Calibri"/>
          <w:sz w:val="20"/>
          <w:szCs w:val="20"/>
          <w:rtl/>
        </w:rPr>
        <w:t>יו פנויים לעבודה, וחיפשו עבודה) ואת</w:t>
      </w:r>
      <w:r w:rsidRPr="00656F3F">
        <w:rPr>
          <w:rFonts w:ascii="Calibri" w:eastAsia="Calibri" w:hAnsi="Calibri" w:cs="Calibri"/>
          <w:sz w:val="20"/>
          <w:szCs w:val="20"/>
          <w:rtl/>
        </w:rPr>
        <w:t xml:space="preserve"> המועסקים שנעדרים זמנית </w:t>
      </w:r>
      <w:r w:rsidR="002B7B3A" w:rsidRPr="00656F3F">
        <w:rPr>
          <w:rFonts w:ascii="Calibri" w:eastAsia="Calibri" w:hAnsi="Calibri" w:cs="Calibri"/>
          <w:sz w:val="20"/>
          <w:szCs w:val="20"/>
          <w:rtl/>
        </w:rPr>
        <w:t>מעבודתם מסיבות כלכליות (כולל עובדים בחל"ת)</w:t>
      </w:r>
      <w:r w:rsidRPr="00656F3F">
        <w:rPr>
          <w:rFonts w:ascii="Calibri" w:eastAsia="Calibri" w:hAnsi="Calibri" w:cs="Calibri"/>
          <w:sz w:val="20"/>
          <w:szCs w:val="20"/>
          <w:rtl/>
        </w:rPr>
        <w:t>.</w:t>
      </w:r>
      <w:r w:rsidR="002B7B3A" w:rsidRPr="00656F3F">
        <w:rPr>
          <w:rFonts w:ascii="Calibri" w:eastAsia="Calibri" w:hAnsi="Calibri" w:cs="Calibri"/>
          <w:sz w:val="20"/>
          <w:szCs w:val="20"/>
          <w:rtl/>
        </w:rPr>
        <w:t xml:space="preserve"> בהתאם, שיעור התעסוקה המותאם אינו כולל את הנעדרים זמנית מסיבות כלכליות.</w:t>
      </w:r>
    </w:p>
    <w:p w14:paraId="54720E5F" w14:textId="77777777" w:rsidR="00C93A33" w:rsidRPr="00656F3F" w:rsidRDefault="00C93A33" w:rsidP="003543AE">
      <w:pPr>
        <w:numPr>
          <w:ilvl w:val="0"/>
          <w:numId w:val="2"/>
        </w:numPr>
        <w:spacing w:before="0" w:after="60" w:line="240" w:lineRule="auto"/>
        <w:ind w:left="357" w:hanging="357"/>
        <w:contextualSpacing w:val="0"/>
        <w:jc w:val="both"/>
        <w:rPr>
          <w:rFonts w:ascii="Calibri" w:eastAsia="Calibri" w:hAnsi="Calibri" w:cs="Calibri"/>
          <w:sz w:val="20"/>
          <w:szCs w:val="20"/>
          <w:rtl/>
        </w:rPr>
      </w:pPr>
      <w:r w:rsidRPr="00656F3F">
        <w:rPr>
          <w:rFonts w:ascii="Calibri" w:eastAsia="Calibri" w:hAnsi="Calibri" w:cs="Calibri"/>
          <w:sz w:val="20"/>
          <w:szCs w:val="20"/>
          <w:rtl/>
        </w:rPr>
        <w:t>הממוצע של מדד המחירים לצרכן ברבעון האחרון בשנה לעומת הממוצע ברבעון האחרון בשנה הקודמת.</w:t>
      </w:r>
    </w:p>
    <w:p w14:paraId="66988BB6" w14:textId="77777777" w:rsidR="00A83A47" w:rsidRPr="00656F3F" w:rsidRDefault="00A83A47">
      <w:pPr>
        <w:bidi w:val="0"/>
        <w:spacing w:before="0" w:after="160" w:line="259" w:lineRule="auto"/>
        <w:contextualSpacing w:val="0"/>
        <w:rPr>
          <w:rFonts w:ascii="Calibri" w:eastAsia="Calibri" w:hAnsi="Calibri" w:cs="Calibri"/>
          <w:rtl/>
        </w:rPr>
      </w:pPr>
    </w:p>
    <w:p w14:paraId="5228AD1C" w14:textId="77777777" w:rsidR="003B2D4B" w:rsidRPr="00656F3F" w:rsidRDefault="003B2D4B" w:rsidP="00910C95">
      <w:pPr>
        <w:pStyle w:val="a"/>
        <w:rPr>
          <w:rFonts w:ascii="Calibri" w:hAnsi="Calibri" w:cs="Calibri"/>
          <w:rtl/>
        </w:rPr>
      </w:pPr>
      <w:r w:rsidRPr="00656F3F">
        <w:rPr>
          <w:rFonts w:ascii="Calibri" w:hAnsi="Calibri" w:cs="Calibri"/>
          <w:rtl/>
        </w:rPr>
        <w:t>האינפלציה והריבית</w:t>
      </w:r>
    </w:p>
    <w:p w14:paraId="26051FA5" w14:textId="63FB31E0" w:rsidR="007B4732" w:rsidRPr="00656F3F" w:rsidRDefault="007B4732" w:rsidP="000546E9">
      <w:pPr>
        <w:jc w:val="both"/>
        <w:rPr>
          <w:rFonts w:ascii="Calibri" w:hAnsi="Calibri" w:cs="Calibri"/>
          <w:b/>
          <w:rtl/>
        </w:rPr>
      </w:pPr>
      <w:r w:rsidRPr="00656F3F">
        <w:rPr>
          <w:rFonts w:ascii="Calibri" w:hAnsi="Calibri" w:cs="Calibri"/>
          <w:bCs/>
          <w:rtl/>
        </w:rPr>
        <w:t>שיעור האינפלציה בארבעת הרבעונים הקרובים (המסתיימים ברבעון השני של שנת 2025) צפוי להיות 3.</w:t>
      </w:r>
      <w:r w:rsidR="00A55E13" w:rsidRPr="00656F3F">
        <w:rPr>
          <w:rFonts w:ascii="Calibri" w:hAnsi="Calibri" w:cs="Calibri"/>
          <w:bCs/>
          <w:rtl/>
        </w:rPr>
        <w:t>2</w:t>
      </w:r>
      <w:r w:rsidRPr="00656F3F">
        <w:rPr>
          <w:rFonts w:ascii="Calibri" w:hAnsi="Calibri" w:cs="Calibri"/>
          <w:bCs/>
          <w:rtl/>
        </w:rPr>
        <w:t>%</w:t>
      </w:r>
      <w:r w:rsidRPr="00656F3F">
        <w:rPr>
          <w:rFonts w:ascii="Calibri" w:hAnsi="Calibri" w:cs="Calibri"/>
          <w:b/>
          <w:rtl/>
        </w:rPr>
        <w:t xml:space="preserve"> (לוח 2)</w:t>
      </w:r>
      <w:r w:rsidR="004F1F25" w:rsidRPr="00656F3F">
        <w:rPr>
          <w:rFonts w:ascii="Calibri" w:hAnsi="Calibri" w:cs="Calibri"/>
          <w:b/>
          <w:rtl/>
        </w:rPr>
        <w:t>.</w:t>
      </w:r>
      <w:r w:rsidR="004F1F25" w:rsidRPr="00656F3F">
        <w:rPr>
          <w:rFonts w:ascii="Calibri" w:hAnsi="Calibri" w:cs="Calibri"/>
          <w:bCs/>
          <w:rtl/>
        </w:rPr>
        <w:t xml:space="preserve"> </w:t>
      </w:r>
      <w:r w:rsidRPr="00656F3F">
        <w:rPr>
          <w:rFonts w:ascii="Calibri" w:hAnsi="Calibri" w:cs="Calibri"/>
          <w:b/>
          <w:rtl/>
        </w:rPr>
        <w:t xml:space="preserve">שיעור האינפלציה במהלך שנת 2024 צפוי לעמוד על </w:t>
      </w:r>
      <w:r w:rsidR="00A55E13" w:rsidRPr="00656F3F">
        <w:rPr>
          <w:rFonts w:ascii="Calibri" w:hAnsi="Calibri" w:cs="Calibri"/>
          <w:b/>
          <w:rtl/>
        </w:rPr>
        <w:t>3.0</w:t>
      </w:r>
      <w:r w:rsidRPr="00656F3F">
        <w:rPr>
          <w:rFonts w:ascii="Calibri" w:hAnsi="Calibri" w:cs="Calibri"/>
          <w:b/>
          <w:rtl/>
        </w:rPr>
        <w:t>%</w:t>
      </w:r>
      <w:r w:rsidR="00843BD5" w:rsidRPr="00656F3F">
        <w:rPr>
          <w:rFonts w:ascii="Calibri" w:hAnsi="Calibri" w:cs="Calibri"/>
          <w:b/>
          <w:rtl/>
        </w:rPr>
        <w:t>, לעומת 2.7% בתחזית אפריל,</w:t>
      </w:r>
      <w:r w:rsidRPr="00656F3F">
        <w:rPr>
          <w:rFonts w:ascii="Calibri" w:hAnsi="Calibri" w:cs="Calibri"/>
          <w:b/>
          <w:rtl/>
        </w:rPr>
        <w:t xml:space="preserve"> ואילו בשנת 2025 האינפלציה צפויה לעמוד על </w:t>
      </w:r>
      <w:r w:rsidR="00A55E13" w:rsidRPr="00656F3F">
        <w:rPr>
          <w:rFonts w:ascii="Calibri" w:hAnsi="Calibri" w:cs="Calibri"/>
          <w:b/>
          <w:rtl/>
        </w:rPr>
        <w:t>2.8</w:t>
      </w:r>
      <w:r w:rsidRPr="00656F3F">
        <w:rPr>
          <w:rFonts w:ascii="Calibri" w:hAnsi="Calibri" w:cs="Calibri"/>
          <w:b/>
          <w:rtl/>
        </w:rPr>
        <w:t>%</w:t>
      </w:r>
      <w:r w:rsidR="00843BD5" w:rsidRPr="00656F3F">
        <w:rPr>
          <w:rFonts w:ascii="Calibri" w:hAnsi="Calibri" w:cs="Calibri"/>
          <w:b/>
          <w:rtl/>
        </w:rPr>
        <w:t>, לעומת 2.3% בתחזית אפריל</w:t>
      </w:r>
      <w:r w:rsidR="000546E9" w:rsidRPr="00656F3F">
        <w:rPr>
          <w:rFonts w:ascii="Calibri" w:hAnsi="Calibri" w:cs="Calibri"/>
          <w:b/>
          <w:rtl/>
        </w:rPr>
        <w:t xml:space="preserve"> (לוח 1)</w:t>
      </w:r>
      <w:r w:rsidRPr="00656F3F">
        <w:rPr>
          <w:rFonts w:ascii="Calibri" w:hAnsi="Calibri" w:cs="Calibri"/>
          <w:b/>
          <w:rtl/>
        </w:rPr>
        <w:t xml:space="preserve">. מספר כוחות </w:t>
      </w:r>
      <w:r w:rsidR="00C77626" w:rsidRPr="00656F3F">
        <w:rPr>
          <w:rFonts w:ascii="Calibri" w:hAnsi="Calibri" w:cs="Calibri"/>
          <w:b/>
          <w:rtl/>
        </w:rPr>
        <w:t xml:space="preserve">משפיעים על </w:t>
      </w:r>
      <w:r w:rsidRPr="00656F3F">
        <w:rPr>
          <w:rFonts w:ascii="Calibri" w:hAnsi="Calibri" w:cs="Calibri"/>
          <w:b/>
          <w:rtl/>
        </w:rPr>
        <w:t xml:space="preserve">האינפלציה בטווח התחזית. ראשית, העלאות מסים עקיפים על מוצרי צריכה צפויות לתרום </w:t>
      </w:r>
      <w:r w:rsidR="00C77626" w:rsidRPr="00656F3F">
        <w:rPr>
          <w:rFonts w:ascii="Calibri" w:hAnsi="Calibri" w:cs="Calibri"/>
          <w:b/>
          <w:rtl/>
        </w:rPr>
        <w:lastRenderedPageBreak/>
        <w:t>לעלייה זמנית ב</w:t>
      </w:r>
      <w:r w:rsidRPr="00656F3F">
        <w:rPr>
          <w:rFonts w:ascii="Calibri" w:hAnsi="Calibri" w:cs="Calibri"/>
          <w:b/>
          <w:rtl/>
        </w:rPr>
        <w:t>אינפלציה הנמדדת. העלאות מסים אלו כוללות את העלייה הצפויה במע"מ (מרמה של 17% לרמה של 18%) שכבר נחקקה בכנסת, אך גם העלאות נוספות של מיסים עקיפים במסגרת ההתאמות בתקציב שאנו מניחים כי הממשלה תבצע. בניכוי השפעות המיסים העקיפים, אנו מעריכים כי האינפלציה</w:t>
      </w:r>
      <w:r w:rsidR="001F71F9" w:rsidRPr="00656F3F">
        <w:rPr>
          <w:rFonts w:ascii="Calibri" w:hAnsi="Calibri" w:cs="Calibri"/>
          <w:b/>
          <w:rtl/>
        </w:rPr>
        <w:t xml:space="preserve"> </w:t>
      </w:r>
      <w:r w:rsidR="00F1112F" w:rsidRPr="00656F3F">
        <w:rPr>
          <w:rFonts w:ascii="Calibri" w:hAnsi="Calibri" w:cs="Calibri"/>
          <w:b/>
          <w:rtl/>
        </w:rPr>
        <w:t xml:space="preserve">בשנת 2025 </w:t>
      </w:r>
      <w:r w:rsidR="001F71F9" w:rsidRPr="00656F3F">
        <w:rPr>
          <w:rFonts w:ascii="Calibri" w:hAnsi="Calibri" w:cs="Calibri"/>
          <w:b/>
          <w:rtl/>
        </w:rPr>
        <w:t xml:space="preserve">תהיה </w:t>
      </w:r>
      <w:r w:rsidR="00C77626" w:rsidRPr="00656F3F">
        <w:rPr>
          <w:rFonts w:ascii="Calibri" w:hAnsi="Calibri" w:cs="Calibri"/>
          <w:b/>
          <w:rtl/>
        </w:rPr>
        <w:t>קרובה ל</w:t>
      </w:r>
      <w:r w:rsidR="001F71F9" w:rsidRPr="00656F3F">
        <w:rPr>
          <w:rFonts w:ascii="Calibri" w:hAnsi="Calibri" w:cs="Calibri"/>
          <w:b/>
          <w:rtl/>
        </w:rPr>
        <w:t>מרכז טווח היעד.</w:t>
      </w:r>
      <w:r w:rsidRPr="00656F3F">
        <w:rPr>
          <w:rFonts w:ascii="Calibri" w:hAnsi="Calibri" w:cs="Calibri"/>
          <w:b/>
          <w:rtl/>
        </w:rPr>
        <w:t xml:space="preserve"> </w:t>
      </w:r>
      <w:r w:rsidR="009D2A5B" w:rsidRPr="00656F3F">
        <w:rPr>
          <w:rFonts w:ascii="Calibri" w:hAnsi="Calibri" w:cs="Calibri"/>
          <w:b/>
          <w:rtl/>
        </w:rPr>
        <w:t>שנית</w:t>
      </w:r>
      <w:r w:rsidRPr="00656F3F">
        <w:rPr>
          <w:rFonts w:ascii="Calibri" w:hAnsi="Calibri" w:cs="Calibri"/>
          <w:b/>
          <w:rtl/>
        </w:rPr>
        <w:t>, מגבלות על היצע העבודה, בעיקר בשל גיוס המילואים, צפוי</w:t>
      </w:r>
      <w:r w:rsidR="001F71F9" w:rsidRPr="00656F3F">
        <w:rPr>
          <w:rFonts w:ascii="Calibri" w:hAnsi="Calibri" w:cs="Calibri"/>
          <w:b/>
          <w:rtl/>
        </w:rPr>
        <w:t>ות</w:t>
      </w:r>
      <w:r w:rsidRPr="00656F3F">
        <w:rPr>
          <w:rFonts w:ascii="Calibri" w:hAnsi="Calibri" w:cs="Calibri"/>
          <w:b/>
          <w:rtl/>
        </w:rPr>
        <w:t xml:space="preserve"> לייקר את העלויות של היצרנים המקומיים ולתרום לעלייה במחירים מקומיים. ביחס לתחזית אפריל, תחזית האינפלציה עודכנה כלפי מעלה בשל עדכון הנחות העבודה לגבי עוצמת ומשך הלחימה ולגבי העלאות המסים</w:t>
      </w:r>
      <w:r w:rsidR="001F71F9" w:rsidRPr="00656F3F">
        <w:rPr>
          <w:rFonts w:ascii="Calibri" w:hAnsi="Calibri" w:cs="Calibri"/>
          <w:b/>
          <w:rtl/>
        </w:rPr>
        <w:t xml:space="preserve"> העקיפים</w:t>
      </w:r>
      <w:r w:rsidRPr="00656F3F">
        <w:rPr>
          <w:rFonts w:ascii="Calibri" w:hAnsi="Calibri" w:cs="Calibri"/>
          <w:b/>
          <w:rtl/>
        </w:rPr>
        <w:t xml:space="preserve"> שתבצע הממשלה כחלק מצעדיה לייצוב החוב הציבורי.</w:t>
      </w:r>
    </w:p>
    <w:p w14:paraId="7DBB0D38" w14:textId="2FC08985" w:rsidR="008B6C2F" w:rsidRPr="00656F3F" w:rsidRDefault="007B4732" w:rsidP="007B4732">
      <w:pPr>
        <w:contextualSpacing w:val="0"/>
        <w:jc w:val="both"/>
        <w:rPr>
          <w:rFonts w:ascii="Calibri" w:hAnsi="Calibri" w:cs="Calibri"/>
          <w:b/>
          <w:rtl/>
        </w:rPr>
      </w:pPr>
      <w:r w:rsidRPr="00656F3F">
        <w:rPr>
          <w:rFonts w:ascii="Calibri" w:hAnsi="Calibri" w:cs="Calibri"/>
          <w:bCs/>
          <w:rtl/>
        </w:rPr>
        <w:t>הריבית צפויה לעמוד על 4.25% ברבעון השני של 2025</w:t>
      </w:r>
      <w:r w:rsidRPr="00656F3F">
        <w:rPr>
          <w:rFonts w:ascii="Calibri" w:hAnsi="Calibri" w:cs="Calibri"/>
          <w:b/>
          <w:rtl/>
        </w:rPr>
        <w:t xml:space="preserve"> (לוח 2). בעקבות עדכון ההנחה על משך הלחימה, אנו מעריכים כי פרמיית הסיכון של המשק</w:t>
      </w:r>
      <w:r w:rsidR="009D2A5B" w:rsidRPr="00656F3F">
        <w:rPr>
          <w:rFonts w:ascii="Calibri" w:hAnsi="Calibri" w:cs="Calibri"/>
          <w:b/>
          <w:rtl/>
        </w:rPr>
        <w:t>,</w:t>
      </w:r>
      <w:r w:rsidRPr="00656F3F">
        <w:rPr>
          <w:rFonts w:ascii="Calibri" w:hAnsi="Calibri" w:cs="Calibri"/>
          <w:b/>
          <w:rtl/>
        </w:rPr>
        <w:t xml:space="preserve"> </w:t>
      </w:r>
      <w:r w:rsidR="009D2A5B" w:rsidRPr="00656F3F">
        <w:rPr>
          <w:rFonts w:ascii="Calibri" w:hAnsi="Calibri" w:cs="Calibri"/>
          <w:b/>
          <w:rtl/>
        </w:rPr>
        <w:t xml:space="preserve">שעלתה בעקבות המלחמה, </w:t>
      </w:r>
      <w:r w:rsidRPr="00656F3F">
        <w:rPr>
          <w:rFonts w:ascii="Calibri" w:hAnsi="Calibri" w:cs="Calibri"/>
          <w:b/>
          <w:rtl/>
        </w:rPr>
        <w:t>תרד באופן הדרגתי יותר בהשוואה להערכתנו באפריל, כך שתידרש ריבית גבוהה יותר על מנת לייצב את האינפלציה.</w:t>
      </w:r>
    </w:p>
    <w:p w14:paraId="7F17F7CA" w14:textId="5D7617F7" w:rsidR="003B2D4B" w:rsidRPr="00656F3F" w:rsidRDefault="003B2D4B" w:rsidP="0058279A">
      <w:pPr>
        <w:bidi w:val="0"/>
        <w:spacing w:before="0" w:after="160" w:line="259" w:lineRule="auto"/>
        <w:contextualSpacing w:val="0"/>
        <w:rPr>
          <w:rFonts w:ascii="Calibri" w:hAnsi="Calibri" w:cs="Calibri"/>
          <w:b/>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2316"/>
        <w:gridCol w:w="2316"/>
        <w:gridCol w:w="2316"/>
      </w:tblGrid>
      <w:tr w:rsidR="006E15ED" w:rsidRPr="00656F3F" w14:paraId="3069D879" w14:textId="77777777" w:rsidTr="00716916">
        <w:trPr>
          <w:cantSplit/>
          <w:trHeight w:val="283"/>
          <w:tblHeader/>
        </w:trPr>
        <w:tc>
          <w:tcPr>
            <w:tcW w:w="8304" w:type="dxa"/>
            <w:gridSpan w:val="4"/>
            <w:shd w:val="clear" w:color="auto" w:fill="auto"/>
            <w:vAlign w:val="center"/>
          </w:tcPr>
          <w:p w14:paraId="52E7D334" w14:textId="685C3FB8" w:rsidR="006E15ED" w:rsidRPr="00656F3F" w:rsidRDefault="006E15ED" w:rsidP="00350FB8">
            <w:pPr>
              <w:keepNext/>
              <w:keepLines/>
              <w:spacing w:after="200"/>
              <w:ind w:left="113"/>
              <w:jc w:val="center"/>
              <w:rPr>
                <w:rFonts w:ascii="Calibri" w:eastAsia="Calibri" w:hAnsi="Calibri" w:cs="Calibri"/>
                <w:b/>
                <w:bCs/>
                <w:color w:val="4F81BD"/>
                <w:rtl/>
              </w:rPr>
            </w:pPr>
            <w:r w:rsidRPr="00656F3F">
              <w:rPr>
                <w:rFonts w:ascii="Calibri" w:eastAsia="Calibri" w:hAnsi="Calibri" w:cs="Calibri"/>
                <w:b/>
                <w:bCs/>
              </w:rPr>
              <w:br w:type="page"/>
            </w:r>
            <w:r w:rsidRPr="00656F3F">
              <w:rPr>
                <w:rFonts w:ascii="Calibri" w:eastAsia="Calibri" w:hAnsi="Calibri" w:cs="Calibri"/>
                <w:b/>
                <w:bCs/>
                <w:color w:val="4F81BD"/>
                <w:rtl/>
              </w:rPr>
              <w:t xml:space="preserve">לוח </w:t>
            </w:r>
            <w:r w:rsidR="00350FB8" w:rsidRPr="00656F3F">
              <w:rPr>
                <w:rFonts w:ascii="Calibri" w:eastAsia="Calibri" w:hAnsi="Calibri" w:cs="Calibri"/>
                <w:b/>
                <w:bCs/>
                <w:color w:val="4F81BD"/>
                <w:rtl/>
              </w:rPr>
              <w:t>2</w:t>
            </w:r>
          </w:p>
          <w:p w14:paraId="229E5D31" w14:textId="77777777" w:rsidR="006E15ED" w:rsidRPr="00656F3F" w:rsidRDefault="006E15ED" w:rsidP="00712048">
            <w:pPr>
              <w:keepNext/>
              <w:keepLines/>
              <w:spacing w:after="200"/>
              <w:ind w:left="113"/>
              <w:jc w:val="center"/>
              <w:rPr>
                <w:rFonts w:ascii="Calibri" w:eastAsia="Calibri" w:hAnsi="Calibri" w:cs="Calibri"/>
                <w:color w:val="4F81BD"/>
                <w:rtl/>
              </w:rPr>
            </w:pPr>
            <w:r w:rsidRPr="00656F3F">
              <w:rPr>
                <w:rFonts w:ascii="Calibri" w:eastAsia="Calibri" w:hAnsi="Calibri" w:cs="Calibri"/>
                <w:b/>
                <w:bCs/>
                <w:color w:val="4F81BD"/>
                <w:rtl/>
              </w:rPr>
              <w:t>התחזיות לגבי האינפלציה במהלך השנה הקרובה ולגבי הריבית בעוד שנה</w:t>
            </w:r>
            <w:r w:rsidRPr="00656F3F">
              <w:rPr>
                <w:rFonts w:ascii="Calibri" w:eastAsia="Calibri" w:hAnsi="Calibri" w:cs="Calibri"/>
                <w:b/>
                <w:bCs/>
                <w:color w:val="4F81BD"/>
              </w:rPr>
              <w:t xml:space="preserve"> </w:t>
            </w:r>
            <w:r w:rsidRPr="00656F3F">
              <w:rPr>
                <w:rFonts w:ascii="Calibri" w:eastAsia="Calibri" w:hAnsi="Calibri" w:cs="Calibri"/>
                <w:color w:val="4F81BD"/>
                <w:rtl/>
              </w:rPr>
              <w:t>(אחוזים)</w:t>
            </w:r>
          </w:p>
        </w:tc>
      </w:tr>
      <w:tr w:rsidR="006E15ED" w:rsidRPr="00656F3F"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656F3F" w:rsidRDefault="006E15ED" w:rsidP="00712048">
            <w:pPr>
              <w:keepNext/>
              <w:keepLines/>
              <w:spacing w:after="120"/>
              <w:ind w:left="113"/>
              <w:jc w:val="center"/>
              <w:rPr>
                <w:rFonts w:ascii="Calibri" w:eastAsia="Calibri" w:hAnsi="Calibri" w:cs="Calibri"/>
                <w:highlight w:val="yellow"/>
                <w:rtl/>
              </w:rPr>
            </w:pPr>
          </w:p>
        </w:tc>
        <w:tc>
          <w:tcPr>
            <w:tcW w:w="2316" w:type="dxa"/>
            <w:tcBorders>
              <w:bottom w:val="single" w:sz="4" w:space="0" w:color="auto"/>
            </w:tcBorders>
            <w:shd w:val="clear" w:color="auto" w:fill="auto"/>
            <w:vAlign w:val="center"/>
          </w:tcPr>
          <w:p w14:paraId="5E04CD7F" w14:textId="77777777" w:rsidR="006E15ED" w:rsidRPr="00656F3F" w:rsidRDefault="006E15ED" w:rsidP="00712048">
            <w:pPr>
              <w:keepNext/>
              <w:keepLines/>
              <w:spacing w:after="120"/>
              <w:ind w:left="113"/>
              <w:jc w:val="center"/>
              <w:rPr>
                <w:rFonts w:ascii="Calibri" w:eastAsia="Calibri" w:hAnsi="Calibri" w:cs="Calibri"/>
                <w:rtl/>
              </w:rPr>
            </w:pPr>
            <w:r w:rsidRPr="00656F3F">
              <w:rPr>
                <w:rFonts w:ascii="Calibri" w:eastAsia="Calibri" w:hAnsi="Calibri" w:cs="Calibr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656F3F" w:rsidRDefault="006E15ED" w:rsidP="00712048">
            <w:pPr>
              <w:keepNext/>
              <w:keepLines/>
              <w:spacing w:after="120"/>
              <w:ind w:left="113"/>
              <w:jc w:val="center"/>
              <w:rPr>
                <w:rFonts w:ascii="Calibri" w:eastAsia="Calibri" w:hAnsi="Calibri" w:cs="Calibri"/>
                <w:rtl/>
              </w:rPr>
            </w:pPr>
            <w:r w:rsidRPr="00656F3F">
              <w:rPr>
                <w:rFonts w:ascii="Calibri" w:eastAsia="Calibri" w:hAnsi="Calibri" w:cs="Calibri"/>
                <w:rtl/>
              </w:rPr>
              <w:t>שוק ההון</w:t>
            </w:r>
            <w:r w:rsidRPr="00656F3F">
              <w:rPr>
                <w:rFonts w:ascii="Calibri" w:eastAsia="Calibri" w:hAnsi="Calibri" w:cs="Calibri"/>
                <w:vertAlign w:val="superscript"/>
                <w:rtl/>
              </w:rPr>
              <w:t>1</w:t>
            </w:r>
          </w:p>
        </w:tc>
        <w:tc>
          <w:tcPr>
            <w:tcW w:w="2316" w:type="dxa"/>
            <w:tcBorders>
              <w:bottom w:val="single" w:sz="4" w:space="0" w:color="auto"/>
            </w:tcBorders>
            <w:shd w:val="clear" w:color="auto" w:fill="auto"/>
            <w:vAlign w:val="center"/>
          </w:tcPr>
          <w:p w14:paraId="02B24A55" w14:textId="77777777" w:rsidR="006E15ED" w:rsidRPr="00656F3F" w:rsidRDefault="006E15ED" w:rsidP="00712048">
            <w:pPr>
              <w:keepNext/>
              <w:keepLines/>
              <w:spacing w:after="120"/>
              <w:ind w:left="113"/>
              <w:jc w:val="center"/>
              <w:rPr>
                <w:rFonts w:ascii="Calibri" w:eastAsia="Calibri" w:hAnsi="Calibri" w:cs="Calibri"/>
                <w:vertAlign w:val="superscript"/>
                <w:rtl/>
              </w:rPr>
            </w:pPr>
            <w:r w:rsidRPr="00656F3F">
              <w:rPr>
                <w:rFonts w:ascii="Calibri" w:eastAsia="Calibri" w:hAnsi="Calibri" w:cs="Calibri"/>
                <w:rtl/>
              </w:rPr>
              <w:t>החזאים הפרטיים</w:t>
            </w:r>
            <w:r w:rsidRPr="00656F3F">
              <w:rPr>
                <w:rFonts w:ascii="Calibri" w:eastAsia="Calibri" w:hAnsi="Calibri" w:cs="Calibri"/>
                <w:vertAlign w:val="superscript"/>
                <w:rtl/>
              </w:rPr>
              <w:t>2</w:t>
            </w:r>
          </w:p>
          <w:p w14:paraId="0CDA4193" w14:textId="77777777" w:rsidR="006E15ED" w:rsidRPr="00656F3F" w:rsidRDefault="006E15ED" w:rsidP="00712048">
            <w:pPr>
              <w:keepNext/>
              <w:keepLines/>
              <w:spacing w:after="120"/>
              <w:ind w:left="113"/>
              <w:jc w:val="center"/>
              <w:rPr>
                <w:rFonts w:ascii="Calibri" w:eastAsia="Calibri" w:hAnsi="Calibri" w:cs="Calibri"/>
                <w:rtl/>
              </w:rPr>
            </w:pPr>
            <w:r w:rsidRPr="00656F3F">
              <w:rPr>
                <w:rFonts w:ascii="Calibri" w:eastAsia="Calibri" w:hAnsi="Calibri" w:cs="Calibri"/>
                <w:rtl/>
              </w:rPr>
              <w:t>(טווח התחזיות)</w:t>
            </w:r>
            <w:r w:rsidRPr="00656F3F">
              <w:rPr>
                <w:rFonts w:ascii="Calibri" w:eastAsia="Calibri" w:hAnsi="Calibri" w:cs="Calibri"/>
                <w:vertAlign w:val="superscript"/>
                <w:rtl/>
              </w:rPr>
              <w:t xml:space="preserve"> </w:t>
            </w:r>
          </w:p>
        </w:tc>
      </w:tr>
      <w:tr w:rsidR="006E15ED" w:rsidRPr="00656F3F"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656F3F" w:rsidRDefault="006E15ED" w:rsidP="00712048">
            <w:pPr>
              <w:keepNext/>
              <w:keepLines/>
              <w:spacing w:after="120"/>
              <w:ind w:left="113"/>
              <w:jc w:val="both"/>
              <w:rPr>
                <w:rFonts w:ascii="Calibri" w:eastAsia="Calibri" w:hAnsi="Calibri" w:cs="Calibri"/>
                <w:rtl/>
              </w:rPr>
            </w:pPr>
            <w:r w:rsidRPr="00656F3F">
              <w:rPr>
                <w:rFonts w:ascii="Calibri" w:eastAsia="Calibri" w:hAnsi="Calibri" w:cs="Calibri"/>
                <w:rtl/>
              </w:rPr>
              <w:t>האינפלציה</w:t>
            </w:r>
            <w:r w:rsidRPr="00656F3F">
              <w:rPr>
                <w:rFonts w:ascii="Calibri" w:eastAsia="Calibri" w:hAnsi="Calibri" w:cs="Calibri"/>
                <w:vertAlign w:val="superscript"/>
                <w:rtl/>
              </w:rPr>
              <w:t>3</w:t>
            </w:r>
            <w:r w:rsidRPr="00656F3F">
              <w:rPr>
                <w:rFonts w:ascii="Calibri" w:eastAsia="Calibri" w:hAnsi="Calibri" w:cs="Calibri"/>
                <w:rtl/>
              </w:rPr>
              <w:t xml:space="preserve"> </w:t>
            </w:r>
          </w:p>
        </w:tc>
        <w:tc>
          <w:tcPr>
            <w:tcW w:w="2316" w:type="dxa"/>
            <w:tcBorders>
              <w:top w:val="single" w:sz="4" w:space="0" w:color="auto"/>
              <w:bottom w:val="single" w:sz="4" w:space="0" w:color="auto"/>
            </w:tcBorders>
            <w:shd w:val="clear" w:color="auto" w:fill="auto"/>
            <w:vAlign w:val="center"/>
          </w:tcPr>
          <w:p w14:paraId="6C74DE47" w14:textId="5329465C" w:rsidR="006E15ED" w:rsidRPr="00656F3F" w:rsidRDefault="007B4732" w:rsidP="00E62605">
            <w:pPr>
              <w:keepNext/>
              <w:keepLines/>
              <w:spacing w:after="120"/>
              <w:ind w:left="113"/>
              <w:jc w:val="center"/>
              <w:rPr>
                <w:rFonts w:ascii="Calibri" w:eastAsia="Calibri" w:hAnsi="Calibri" w:cs="Calibri"/>
                <w:rtl/>
              </w:rPr>
            </w:pPr>
            <w:r w:rsidRPr="00656F3F">
              <w:rPr>
                <w:rFonts w:ascii="Calibri" w:eastAsia="Calibri" w:hAnsi="Calibri" w:cs="Calibri"/>
                <w:rtl/>
              </w:rPr>
              <w:t>3.</w:t>
            </w:r>
            <w:r w:rsidR="00E62605" w:rsidRPr="00656F3F">
              <w:rPr>
                <w:rFonts w:ascii="Calibri" w:eastAsia="Calibri" w:hAnsi="Calibri" w:cs="Calibri"/>
                <w:rtl/>
              </w:rPr>
              <w:t>2</w:t>
            </w:r>
          </w:p>
        </w:tc>
        <w:tc>
          <w:tcPr>
            <w:tcW w:w="2316" w:type="dxa"/>
            <w:tcBorders>
              <w:top w:val="single" w:sz="4" w:space="0" w:color="auto"/>
              <w:bottom w:val="single" w:sz="4" w:space="0" w:color="auto"/>
            </w:tcBorders>
            <w:shd w:val="clear" w:color="auto" w:fill="auto"/>
            <w:vAlign w:val="center"/>
          </w:tcPr>
          <w:p w14:paraId="5A80407A" w14:textId="6C8E40EA" w:rsidR="006E15ED" w:rsidRPr="00656F3F" w:rsidRDefault="007B4732" w:rsidP="003D5C43">
            <w:pPr>
              <w:keepNext/>
              <w:keepLines/>
              <w:spacing w:after="120"/>
              <w:ind w:left="113"/>
              <w:jc w:val="center"/>
              <w:rPr>
                <w:rFonts w:ascii="Calibri" w:eastAsia="Calibri" w:hAnsi="Calibri" w:cs="Calibri"/>
              </w:rPr>
            </w:pPr>
            <w:r w:rsidRPr="00656F3F">
              <w:rPr>
                <w:rFonts w:ascii="Calibri" w:eastAsia="Calibri" w:hAnsi="Calibri" w:cs="Calibri"/>
                <w:rtl/>
              </w:rPr>
              <w:t>2.</w:t>
            </w:r>
            <w:r w:rsidR="003D5C43" w:rsidRPr="00656F3F">
              <w:rPr>
                <w:rFonts w:ascii="Calibri" w:eastAsia="Calibri" w:hAnsi="Calibri" w:cs="Calibri"/>
                <w:rtl/>
              </w:rPr>
              <w:t>8</w:t>
            </w:r>
          </w:p>
        </w:tc>
        <w:tc>
          <w:tcPr>
            <w:tcW w:w="2316" w:type="dxa"/>
            <w:tcBorders>
              <w:top w:val="single" w:sz="4" w:space="0" w:color="auto"/>
              <w:bottom w:val="single" w:sz="4" w:space="0" w:color="auto"/>
            </w:tcBorders>
            <w:shd w:val="clear" w:color="auto" w:fill="auto"/>
            <w:vAlign w:val="center"/>
          </w:tcPr>
          <w:p w14:paraId="05367DBD" w14:textId="49D9BCC5" w:rsidR="006E15ED" w:rsidRPr="00656F3F" w:rsidRDefault="00E77165" w:rsidP="00E77165">
            <w:pPr>
              <w:keepNext/>
              <w:keepLines/>
              <w:spacing w:after="120"/>
              <w:ind w:left="113"/>
              <w:jc w:val="center"/>
              <w:rPr>
                <w:rFonts w:ascii="Calibri" w:eastAsia="Calibri" w:hAnsi="Calibri" w:cs="Calibri"/>
                <w:rtl/>
              </w:rPr>
            </w:pPr>
            <w:r w:rsidRPr="00656F3F">
              <w:rPr>
                <w:rFonts w:ascii="Calibri" w:eastAsia="Calibri" w:hAnsi="Calibri" w:cs="Calibri"/>
                <w:rtl/>
              </w:rPr>
              <w:t>2.9</w:t>
            </w:r>
            <w:r w:rsidR="006E15ED" w:rsidRPr="00656F3F">
              <w:rPr>
                <w:rFonts w:ascii="Calibri" w:eastAsia="Calibri" w:hAnsi="Calibri" w:cs="Calibri"/>
                <w:rtl/>
              </w:rPr>
              <w:t xml:space="preserve"> (</w:t>
            </w:r>
            <w:r w:rsidR="00152F61" w:rsidRPr="00656F3F">
              <w:rPr>
                <w:rFonts w:ascii="Calibri" w:eastAsia="Calibri" w:hAnsi="Calibri" w:cs="Calibri"/>
                <w:rtl/>
              </w:rPr>
              <w:t>2.</w:t>
            </w:r>
            <w:r w:rsidRPr="00656F3F">
              <w:rPr>
                <w:rFonts w:ascii="Calibri" w:eastAsia="Calibri" w:hAnsi="Calibri" w:cs="Calibri"/>
                <w:rtl/>
              </w:rPr>
              <w:t>2</w:t>
            </w:r>
            <w:r w:rsidR="006E15ED" w:rsidRPr="00656F3F">
              <w:rPr>
                <w:rFonts w:ascii="Calibri" w:eastAsia="Calibri" w:hAnsi="Calibri" w:cs="Calibri"/>
                <w:rtl/>
              </w:rPr>
              <w:t>—</w:t>
            </w:r>
            <w:r w:rsidR="00152F61" w:rsidRPr="00656F3F">
              <w:rPr>
                <w:rFonts w:ascii="Calibri" w:eastAsia="Calibri" w:hAnsi="Calibri" w:cs="Calibri"/>
                <w:rtl/>
              </w:rPr>
              <w:t>3.</w:t>
            </w:r>
            <w:r w:rsidR="00CC60B0" w:rsidRPr="00656F3F">
              <w:rPr>
                <w:rFonts w:ascii="Calibri" w:eastAsia="Calibri" w:hAnsi="Calibri" w:cs="Calibri"/>
                <w:rtl/>
              </w:rPr>
              <w:t>3</w:t>
            </w:r>
            <w:r w:rsidR="006E15ED" w:rsidRPr="00656F3F">
              <w:rPr>
                <w:rFonts w:ascii="Calibri" w:eastAsia="Calibri" w:hAnsi="Calibri" w:cs="Calibri"/>
                <w:rtl/>
              </w:rPr>
              <w:t>)</w:t>
            </w:r>
          </w:p>
        </w:tc>
      </w:tr>
      <w:tr w:rsidR="006E15ED" w:rsidRPr="00656F3F"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656F3F" w:rsidRDefault="006E15ED" w:rsidP="00712048">
            <w:pPr>
              <w:keepNext/>
              <w:keepLines/>
              <w:spacing w:after="120"/>
              <w:ind w:left="113"/>
              <w:jc w:val="both"/>
              <w:rPr>
                <w:rFonts w:ascii="Calibri" w:eastAsia="Calibri" w:hAnsi="Calibri" w:cs="Calibri"/>
                <w:vertAlign w:val="superscript"/>
                <w:rtl/>
              </w:rPr>
            </w:pPr>
            <w:r w:rsidRPr="00656F3F">
              <w:rPr>
                <w:rFonts w:ascii="Calibri" w:eastAsia="Calibri" w:hAnsi="Calibri" w:cs="Calibri"/>
                <w:rtl/>
              </w:rPr>
              <w:t>הריבית</w:t>
            </w:r>
            <w:r w:rsidRPr="00656F3F">
              <w:rPr>
                <w:rFonts w:ascii="Calibri" w:eastAsia="Calibri" w:hAnsi="Calibri" w:cs="Calibr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5940FD18" w:rsidR="006E15ED" w:rsidRPr="00656F3F" w:rsidRDefault="00BE304A" w:rsidP="00FD51E1">
            <w:pPr>
              <w:keepNext/>
              <w:keepLines/>
              <w:spacing w:after="120"/>
              <w:ind w:left="113"/>
              <w:jc w:val="center"/>
              <w:rPr>
                <w:rFonts w:ascii="Calibri" w:eastAsia="Calibri" w:hAnsi="Calibri" w:cs="Calibri"/>
                <w:rtl/>
              </w:rPr>
            </w:pPr>
            <w:r w:rsidRPr="00656F3F">
              <w:rPr>
                <w:rFonts w:ascii="Calibri" w:eastAsia="Calibri" w:hAnsi="Calibri" w:cs="Calibri"/>
                <w:rtl/>
              </w:rPr>
              <w:t>4.25</w:t>
            </w:r>
          </w:p>
        </w:tc>
        <w:tc>
          <w:tcPr>
            <w:tcW w:w="2316" w:type="dxa"/>
            <w:tcBorders>
              <w:top w:val="single" w:sz="4" w:space="0" w:color="auto"/>
              <w:bottom w:val="single" w:sz="4" w:space="0" w:color="auto"/>
            </w:tcBorders>
            <w:shd w:val="clear" w:color="auto" w:fill="auto"/>
            <w:vAlign w:val="center"/>
          </w:tcPr>
          <w:p w14:paraId="7C0E88F5" w14:textId="1D3E0ABF" w:rsidR="006E15ED" w:rsidRPr="00656F3F" w:rsidRDefault="00CC60B0" w:rsidP="003D5C43">
            <w:pPr>
              <w:keepNext/>
              <w:keepLines/>
              <w:spacing w:after="120"/>
              <w:ind w:left="113"/>
              <w:jc w:val="center"/>
              <w:rPr>
                <w:rFonts w:ascii="Calibri" w:eastAsia="Calibri" w:hAnsi="Calibri" w:cs="Calibri"/>
              </w:rPr>
            </w:pPr>
            <w:r w:rsidRPr="00656F3F">
              <w:rPr>
                <w:rFonts w:ascii="Calibri" w:eastAsia="Calibri" w:hAnsi="Calibri" w:cs="Calibri"/>
              </w:rPr>
              <w:t>4.</w:t>
            </w:r>
            <w:r w:rsidR="003D5C43" w:rsidRPr="00656F3F">
              <w:rPr>
                <w:rFonts w:ascii="Calibri" w:eastAsia="Calibri" w:hAnsi="Calibri" w:cs="Calibri"/>
              </w:rPr>
              <w:t>2</w:t>
            </w:r>
          </w:p>
        </w:tc>
        <w:tc>
          <w:tcPr>
            <w:tcW w:w="2316" w:type="dxa"/>
            <w:tcBorders>
              <w:top w:val="single" w:sz="4" w:space="0" w:color="auto"/>
              <w:bottom w:val="single" w:sz="4" w:space="0" w:color="auto"/>
            </w:tcBorders>
            <w:shd w:val="clear" w:color="auto" w:fill="auto"/>
            <w:vAlign w:val="center"/>
          </w:tcPr>
          <w:p w14:paraId="54A91E9B" w14:textId="6A725D80" w:rsidR="006E15ED" w:rsidRPr="00656F3F" w:rsidRDefault="00CC60B0" w:rsidP="00690572">
            <w:pPr>
              <w:keepNext/>
              <w:keepLines/>
              <w:spacing w:after="120"/>
              <w:ind w:left="113"/>
              <w:jc w:val="center"/>
              <w:rPr>
                <w:rFonts w:ascii="Calibri" w:eastAsia="Calibri" w:hAnsi="Calibri" w:cs="Calibri"/>
                <w:rtl/>
              </w:rPr>
            </w:pPr>
            <w:r w:rsidRPr="00656F3F">
              <w:rPr>
                <w:rFonts w:ascii="Calibri" w:eastAsia="Calibri" w:hAnsi="Calibri" w:cs="Calibri"/>
                <w:rtl/>
              </w:rPr>
              <w:t>4.</w:t>
            </w:r>
            <w:r w:rsidR="003D5C43" w:rsidRPr="00656F3F">
              <w:rPr>
                <w:rFonts w:ascii="Calibri" w:eastAsia="Calibri" w:hAnsi="Calibri" w:cs="Calibri"/>
                <w:rtl/>
              </w:rPr>
              <w:t xml:space="preserve">0 </w:t>
            </w:r>
            <w:r w:rsidR="006E15ED" w:rsidRPr="00656F3F">
              <w:rPr>
                <w:rFonts w:ascii="Calibri" w:eastAsia="Calibri" w:hAnsi="Calibri" w:cs="Calibri"/>
                <w:rtl/>
              </w:rPr>
              <w:t>(3.</w:t>
            </w:r>
            <w:r w:rsidR="003D5C43" w:rsidRPr="00656F3F">
              <w:rPr>
                <w:rFonts w:ascii="Calibri" w:eastAsia="Calibri" w:hAnsi="Calibri" w:cs="Calibri"/>
                <w:rtl/>
              </w:rPr>
              <w:t>5</w:t>
            </w:r>
            <w:r w:rsidR="00690572" w:rsidRPr="00656F3F">
              <w:rPr>
                <w:rFonts w:ascii="Calibri" w:eastAsia="Calibri" w:hAnsi="Calibri" w:cs="Calibri"/>
                <w:rtl/>
              </w:rPr>
              <w:t>0</w:t>
            </w:r>
            <w:r w:rsidR="006E15ED" w:rsidRPr="00656F3F">
              <w:rPr>
                <w:rFonts w:ascii="Calibri" w:eastAsia="Calibri" w:hAnsi="Calibri" w:cs="Calibri"/>
                <w:rtl/>
              </w:rPr>
              <w:t>—</w:t>
            </w:r>
            <w:r w:rsidR="00BF550F" w:rsidRPr="00656F3F">
              <w:rPr>
                <w:rFonts w:ascii="Calibri" w:eastAsia="Calibri" w:hAnsi="Calibri" w:cs="Calibri"/>
                <w:rtl/>
              </w:rPr>
              <w:t>4</w:t>
            </w:r>
            <w:r w:rsidR="006E15ED" w:rsidRPr="00656F3F">
              <w:rPr>
                <w:rFonts w:ascii="Calibri" w:eastAsia="Calibri" w:hAnsi="Calibri" w:cs="Calibri"/>
                <w:rtl/>
              </w:rPr>
              <w:t>.</w:t>
            </w:r>
            <w:r w:rsidR="00690572" w:rsidRPr="00656F3F">
              <w:rPr>
                <w:rFonts w:ascii="Calibri" w:eastAsia="Calibri" w:hAnsi="Calibri" w:cs="Calibri"/>
                <w:rtl/>
              </w:rPr>
              <w:t>25</w:t>
            </w:r>
            <w:r w:rsidR="006E15ED" w:rsidRPr="00656F3F">
              <w:rPr>
                <w:rFonts w:ascii="Calibri" w:eastAsia="Calibri" w:hAnsi="Calibri" w:cs="Calibri"/>
                <w:rtl/>
              </w:rPr>
              <w:t>)</w:t>
            </w:r>
          </w:p>
        </w:tc>
      </w:tr>
      <w:tr w:rsidR="006E15ED" w:rsidRPr="00656F3F"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2F56CFB2" w:rsidR="006E15ED" w:rsidRPr="00656F3F" w:rsidRDefault="006E15ED" w:rsidP="00E77165">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ציפיות האינפלציה מנוכות עונתיות (נכון לנתוני ה-</w:t>
            </w:r>
            <w:r w:rsidR="0032055B" w:rsidRPr="00656F3F">
              <w:rPr>
                <w:rFonts w:ascii="Calibri" w:eastAsia="Calibri" w:hAnsi="Calibri" w:cs="Calibri"/>
                <w:sz w:val="18"/>
                <w:szCs w:val="18"/>
                <w:rtl/>
              </w:rPr>
              <w:t>0</w:t>
            </w:r>
            <w:r w:rsidR="00E77165" w:rsidRPr="00656F3F">
              <w:rPr>
                <w:rFonts w:ascii="Calibri" w:eastAsia="Calibri" w:hAnsi="Calibri" w:cs="Calibri"/>
                <w:sz w:val="18"/>
                <w:szCs w:val="18"/>
                <w:rtl/>
              </w:rPr>
              <w:t>7</w:t>
            </w:r>
            <w:r w:rsidR="007B4732" w:rsidRPr="00656F3F">
              <w:rPr>
                <w:rFonts w:ascii="Calibri" w:eastAsia="Calibri" w:hAnsi="Calibri" w:cs="Calibri"/>
                <w:sz w:val="18"/>
                <w:szCs w:val="18"/>
                <w:rtl/>
              </w:rPr>
              <w:t>/07</w:t>
            </w:r>
            <w:r w:rsidRPr="00656F3F">
              <w:rPr>
                <w:rFonts w:ascii="Calibri" w:eastAsia="Calibri" w:hAnsi="Calibri" w:cs="Calibri"/>
                <w:sz w:val="18"/>
                <w:szCs w:val="18"/>
                <w:rtl/>
              </w:rPr>
              <w:t>/202</w:t>
            </w:r>
            <w:r w:rsidR="009E1F0A" w:rsidRPr="00656F3F">
              <w:rPr>
                <w:rFonts w:ascii="Calibri" w:eastAsia="Calibri" w:hAnsi="Calibri" w:cs="Calibri"/>
                <w:sz w:val="18"/>
                <w:szCs w:val="18"/>
                <w:rtl/>
              </w:rPr>
              <w:t>4</w:t>
            </w:r>
            <w:r w:rsidRPr="00656F3F">
              <w:rPr>
                <w:rFonts w:ascii="Calibri" w:eastAsia="Calibri" w:hAnsi="Calibri" w:cs="Calibri"/>
                <w:sz w:val="18"/>
                <w:szCs w:val="18"/>
                <w:rtl/>
              </w:rPr>
              <w:t>).</w:t>
            </w:r>
          </w:p>
          <w:p w14:paraId="266F280E" w14:textId="70169B0C" w:rsidR="006E15ED" w:rsidRPr="00656F3F" w:rsidRDefault="00881E71" w:rsidP="00AD48EE">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נכון לנתוני ה-</w:t>
            </w:r>
            <w:r w:rsidR="0032055B" w:rsidRPr="00656F3F">
              <w:rPr>
                <w:rFonts w:ascii="Calibri" w:eastAsia="Calibri" w:hAnsi="Calibri" w:cs="Calibri"/>
                <w:sz w:val="18"/>
                <w:szCs w:val="18"/>
                <w:rtl/>
              </w:rPr>
              <w:t>0</w:t>
            </w:r>
            <w:r w:rsidR="00AD48EE" w:rsidRPr="00656F3F">
              <w:rPr>
                <w:rFonts w:ascii="Calibri" w:eastAsia="Calibri" w:hAnsi="Calibri" w:cs="Calibri"/>
                <w:sz w:val="18"/>
                <w:szCs w:val="18"/>
                <w:rtl/>
              </w:rPr>
              <w:t>7</w:t>
            </w:r>
            <w:r w:rsidRPr="00656F3F">
              <w:rPr>
                <w:rFonts w:ascii="Calibri" w:eastAsia="Calibri" w:hAnsi="Calibri" w:cs="Calibri"/>
                <w:sz w:val="18"/>
                <w:szCs w:val="18"/>
                <w:rtl/>
              </w:rPr>
              <w:t>/07/2024</w:t>
            </w:r>
            <w:r w:rsidR="006E15ED" w:rsidRPr="00656F3F">
              <w:rPr>
                <w:rFonts w:ascii="Calibri" w:eastAsia="Calibri" w:hAnsi="Calibri" w:cs="Calibri"/>
                <w:sz w:val="18"/>
                <w:szCs w:val="18"/>
                <w:rtl/>
              </w:rPr>
              <w:t>.</w:t>
            </w:r>
          </w:p>
          <w:p w14:paraId="116070F6" w14:textId="031B1C6B" w:rsidR="006E15ED" w:rsidRPr="00656F3F" w:rsidRDefault="006E15ED" w:rsidP="00CC60B0">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 xml:space="preserve">חטיבת המחקר – בארבעת הרבעונים המסתיימים ברבעון </w:t>
            </w:r>
            <w:r w:rsidR="00152F61" w:rsidRPr="00656F3F">
              <w:rPr>
                <w:rFonts w:ascii="Calibri" w:eastAsia="Calibri" w:hAnsi="Calibri" w:cs="Calibri"/>
                <w:sz w:val="18"/>
                <w:szCs w:val="18"/>
                <w:rtl/>
              </w:rPr>
              <w:t>ה</w:t>
            </w:r>
            <w:r w:rsidR="00CC60B0" w:rsidRPr="00656F3F">
              <w:rPr>
                <w:rFonts w:ascii="Calibri" w:eastAsia="Calibri" w:hAnsi="Calibri" w:cs="Calibri"/>
                <w:sz w:val="18"/>
                <w:szCs w:val="18"/>
                <w:rtl/>
              </w:rPr>
              <w:t>שני</w:t>
            </w:r>
            <w:r w:rsidRPr="00656F3F">
              <w:rPr>
                <w:rFonts w:ascii="Calibri" w:eastAsia="Calibri" w:hAnsi="Calibri" w:cs="Calibri"/>
                <w:sz w:val="18"/>
                <w:szCs w:val="18"/>
                <w:rtl/>
              </w:rPr>
              <w:t xml:space="preserve"> של 202</w:t>
            </w:r>
            <w:r w:rsidR="00152F61" w:rsidRPr="00656F3F">
              <w:rPr>
                <w:rFonts w:ascii="Calibri" w:eastAsia="Calibri" w:hAnsi="Calibri" w:cs="Calibri"/>
                <w:sz w:val="18"/>
                <w:szCs w:val="18"/>
                <w:rtl/>
              </w:rPr>
              <w:t>5</w:t>
            </w:r>
            <w:r w:rsidRPr="00656F3F">
              <w:rPr>
                <w:rFonts w:ascii="Calibri" w:eastAsia="Calibri" w:hAnsi="Calibri" w:cs="Calibri"/>
                <w:sz w:val="18"/>
                <w:szCs w:val="18"/>
                <w:rtl/>
              </w:rPr>
              <w:t>.</w:t>
            </w:r>
          </w:p>
          <w:p w14:paraId="3BDA58F8" w14:textId="7ECDAA56" w:rsidR="006E15ED" w:rsidRPr="00656F3F" w:rsidRDefault="006E15ED" w:rsidP="0032055B">
            <w:pPr>
              <w:keepNext/>
              <w:keepLines/>
              <w:numPr>
                <w:ilvl w:val="0"/>
                <w:numId w:val="12"/>
              </w:numPr>
              <w:spacing w:line="240" w:lineRule="auto"/>
              <w:ind w:left="426" w:hanging="284"/>
              <w:jc w:val="both"/>
              <w:rPr>
                <w:rFonts w:ascii="Calibri" w:eastAsia="Calibri" w:hAnsi="Calibri" w:cs="Calibri"/>
                <w:sz w:val="18"/>
                <w:szCs w:val="18"/>
              </w:rPr>
            </w:pPr>
            <w:r w:rsidRPr="00656F3F">
              <w:rPr>
                <w:rFonts w:ascii="Calibri" w:eastAsia="Calibri" w:hAnsi="Calibri" w:cs="Calibri"/>
                <w:sz w:val="18"/>
                <w:szCs w:val="18"/>
                <w:rtl/>
              </w:rPr>
              <w:t xml:space="preserve">חטיבת המחקר – הריבית הממוצעת ברבעון </w:t>
            </w:r>
            <w:r w:rsidR="00CC60B0" w:rsidRPr="00656F3F">
              <w:rPr>
                <w:rFonts w:ascii="Calibri" w:eastAsia="Calibri" w:hAnsi="Calibri" w:cs="Calibri"/>
                <w:sz w:val="18"/>
                <w:szCs w:val="18"/>
                <w:rtl/>
              </w:rPr>
              <w:t>השני</w:t>
            </w:r>
            <w:r w:rsidRPr="00656F3F">
              <w:rPr>
                <w:rFonts w:ascii="Calibri" w:eastAsia="Calibri" w:hAnsi="Calibri" w:cs="Calibri"/>
                <w:sz w:val="18"/>
                <w:szCs w:val="18"/>
                <w:rtl/>
              </w:rPr>
              <w:t xml:space="preserve"> של 202</w:t>
            </w:r>
            <w:r w:rsidR="009E1F0A" w:rsidRPr="00656F3F">
              <w:rPr>
                <w:rFonts w:ascii="Calibri" w:eastAsia="Calibri" w:hAnsi="Calibri" w:cs="Calibri"/>
                <w:sz w:val="18"/>
                <w:szCs w:val="18"/>
                <w:rtl/>
              </w:rPr>
              <w:t>5</w:t>
            </w:r>
            <w:r w:rsidRPr="00656F3F">
              <w:rPr>
                <w:rFonts w:ascii="Calibri" w:eastAsia="Calibri" w:hAnsi="Calibri" w:cs="Calibri"/>
                <w:sz w:val="18"/>
                <w:szCs w:val="18"/>
                <w:rtl/>
              </w:rPr>
              <w:t xml:space="preserve">. הציפיות משוק ההון מבוססות על שוק </w:t>
            </w:r>
            <w:proofErr w:type="spellStart"/>
            <w:r w:rsidRPr="00656F3F">
              <w:rPr>
                <w:rFonts w:ascii="Calibri" w:eastAsia="Calibri" w:hAnsi="Calibri" w:cs="Calibri"/>
                <w:sz w:val="18"/>
                <w:szCs w:val="18"/>
                <w:rtl/>
              </w:rPr>
              <w:t>התלבור</w:t>
            </w:r>
            <w:proofErr w:type="spellEnd"/>
            <w:r w:rsidRPr="00656F3F">
              <w:rPr>
                <w:rFonts w:ascii="Calibri" w:eastAsia="Calibri" w:hAnsi="Calibri" w:cs="Calibri"/>
                <w:sz w:val="18"/>
                <w:szCs w:val="18"/>
                <w:rtl/>
              </w:rPr>
              <w:t xml:space="preserve"> (נכון לנתוני ה-</w:t>
            </w:r>
            <w:r w:rsidR="007B4732" w:rsidRPr="00656F3F">
              <w:rPr>
                <w:rFonts w:ascii="Calibri" w:eastAsia="Calibri" w:hAnsi="Calibri" w:cs="Calibri"/>
                <w:sz w:val="18"/>
                <w:szCs w:val="18"/>
                <w:rtl/>
              </w:rPr>
              <w:t>0</w:t>
            </w:r>
            <w:r w:rsidR="0032055B" w:rsidRPr="00656F3F">
              <w:rPr>
                <w:rFonts w:ascii="Calibri" w:eastAsia="Calibri" w:hAnsi="Calibri" w:cs="Calibri"/>
                <w:sz w:val="18"/>
                <w:szCs w:val="18"/>
                <w:rtl/>
              </w:rPr>
              <w:t>5</w:t>
            </w:r>
            <w:r w:rsidR="007B4732" w:rsidRPr="00656F3F">
              <w:rPr>
                <w:rFonts w:ascii="Calibri" w:eastAsia="Calibri" w:hAnsi="Calibri" w:cs="Calibri"/>
                <w:sz w:val="18"/>
                <w:szCs w:val="18"/>
                <w:rtl/>
              </w:rPr>
              <w:t>/07</w:t>
            </w:r>
            <w:r w:rsidRPr="00656F3F">
              <w:rPr>
                <w:rFonts w:ascii="Calibri" w:eastAsia="Calibri" w:hAnsi="Calibri" w:cs="Calibri"/>
                <w:sz w:val="18"/>
                <w:szCs w:val="18"/>
                <w:rtl/>
              </w:rPr>
              <w:t>/202</w:t>
            </w:r>
            <w:r w:rsidR="009E1F0A" w:rsidRPr="00656F3F">
              <w:rPr>
                <w:rFonts w:ascii="Calibri" w:eastAsia="Calibri" w:hAnsi="Calibri" w:cs="Calibri"/>
                <w:sz w:val="18"/>
                <w:szCs w:val="18"/>
                <w:rtl/>
              </w:rPr>
              <w:t>4</w:t>
            </w:r>
            <w:r w:rsidRPr="00656F3F">
              <w:rPr>
                <w:rFonts w:ascii="Calibri" w:eastAsia="Calibri" w:hAnsi="Calibri" w:cs="Calibri"/>
                <w:sz w:val="18"/>
                <w:szCs w:val="18"/>
                <w:rtl/>
              </w:rPr>
              <w:t>).</w:t>
            </w:r>
          </w:p>
          <w:p w14:paraId="4294067F" w14:textId="77777777" w:rsidR="006E15ED" w:rsidRPr="00656F3F" w:rsidRDefault="006E15ED" w:rsidP="00712048">
            <w:pPr>
              <w:keepNext/>
              <w:keepLines/>
              <w:spacing w:after="120"/>
              <w:ind w:left="423"/>
              <w:jc w:val="both"/>
              <w:rPr>
                <w:rFonts w:ascii="Calibri" w:eastAsia="Calibri" w:hAnsi="Calibri" w:cs="Calibri"/>
                <w:sz w:val="18"/>
                <w:szCs w:val="18"/>
                <w:highlight w:val="yellow"/>
                <w:rtl/>
              </w:rPr>
            </w:pPr>
            <w:r w:rsidRPr="00656F3F">
              <w:rPr>
                <w:rFonts w:ascii="Calibri" w:eastAsia="Calibri" w:hAnsi="Calibri" w:cs="Calibri"/>
                <w:sz w:val="18"/>
                <w:szCs w:val="18"/>
                <w:rtl/>
              </w:rPr>
              <w:t xml:space="preserve"> המקור: בנק ישראל.</w:t>
            </w:r>
          </w:p>
        </w:tc>
      </w:tr>
    </w:tbl>
    <w:p w14:paraId="3A29C676" w14:textId="77777777" w:rsidR="00FD51E1" w:rsidRPr="00656F3F" w:rsidRDefault="00FD51E1" w:rsidP="006A162E">
      <w:pPr>
        <w:jc w:val="both"/>
        <w:rPr>
          <w:rFonts w:ascii="Calibri" w:hAnsi="Calibri" w:cs="Calibri"/>
          <w:b/>
          <w:rtl/>
        </w:rPr>
      </w:pPr>
    </w:p>
    <w:p w14:paraId="3A590086" w14:textId="77777777" w:rsidR="00DF55CE" w:rsidRPr="00656F3F" w:rsidRDefault="00DF55CE" w:rsidP="00BA373C">
      <w:pPr>
        <w:jc w:val="both"/>
        <w:rPr>
          <w:rFonts w:ascii="Calibri" w:hAnsi="Calibri" w:cs="Calibri"/>
          <w:b/>
          <w:rtl/>
        </w:rPr>
      </w:pPr>
    </w:p>
    <w:p w14:paraId="5CA2C921" w14:textId="77777777" w:rsidR="00DF55CE" w:rsidRPr="00656F3F" w:rsidRDefault="00DF55CE" w:rsidP="00BA373C">
      <w:pPr>
        <w:jc w:val="both"/>
        <w:rPr>
          <w:rFonts w:ascii="Calibri" w:hAnsi="Calibri" w:cs="Calibri"/>
          <w:b/>
          <w:rtl/>
        </w:rPr>
      </w:pPr>
    </w:p>
    <w:p w14:paraId="75536E2F" w14:textId="77777777" w:rsidR="00DF55CE" w:rsidRPr="00656F3F" w:rsidRDefault="00DF55CE" w:rsidP="00BA373C">
      <w:pPr>
        <w:jc w:val="both"/>
        <w:rPr>
          <w:rFonts w:ascii="Calibri" w:hAnsi="Calibri" w:cs="Calibri"/>
          <w:b/>
          <w:rtl/>
        </w:rPr>
      </w:pPr>
    </w:p>
    <w:p w14:paraId="34FAC40E" w14:textId="77777777" w:rsidR="00DF55CE" w:rsidRPr="00656F3F" w:rsidRDefault="00DF55CE" w:rsidP="00BA373C">
      <w:pPr>
        <w:jc w:val="both"/>
        <w:rPr>
          <w:rFonts w:ascii="Calibri" w:hAnsi="Calibri" w:cs="Calibri"/>
          <w:b/>
          <w:rtl/>
        </w:rPr>
      </w:pPr>
    </w:p>
    <w:p w14:paraId="1FEE3A97" w14:textId="77777777" w:rsidR="00DF55CE" w:rsidRPr="00656F3F" w:rsidRDefault="00DF55CE" w:rsidP="00BA373C">
      <w:pPr>
        <w:jc w:val="both"/>
        <w:rPr>
          <w:rFonts w:ascii="Calibri" w:hAnsi="Calibri" w:cs="Calibri"/>
          <w:b/>
          <w:rtl/>
        </w:rPr>
      </w:pPr>
    </w:p>
    <w:p w14:paraId="7058649F" w14:textId="77777777" w:rsidR="00DF55CE" w:rsidRPr="00656F3F" w:rsidRDefault="00DF55CE" w:rsidP="00BA373C">
      <w:pPr>
        <w:jc w:val="both"/>
        <w:rPr>
          <w:rFonts w:ascii="Calibri" w:hAnsi="Calibri" w:cs="Calibri"/>
          <w:b/>
          <w:rtl/>
        </w:rPr>
      </w:pPr>
    </w:p>
    <w:p w14:paraId="02C898ED" w14:textId="77777777" w:rsidR="00DF55CE" w:rsidRPr="00656F3F" w:rsidRDefault="00DF55CE" w:rsidP="00BA373C">
      <w:pPr>
        <w:jc w:val="both"/>
        <w:rPr>
          <w:rFonts w:ascii="Calibri" w:hAnsi="Calibri" w:cs="Calibri"/>
          <w:b/>
          <w:rtl/>
        </w:rPr>
      </w:pPr>
    </w:p>
    <w:p w14:paraId="539C4B2C" w14:textId="77777777" w:rsidR="00DF55CE" w:rsidRPr="00656F3F" w:rsidRDefault="00DF55CE" w:rsidP="00BA373C">
      <w:pPr>
        <w:jc w:val="both"/>
        <w:rPr>
          <w:rFonts w:ascii="Calibri" w:hAnsi="Calibri" w:cs="Calibri"/>
          <w:b/>
          <w:rtl/>
        </w:rPr>
      </w:pPr>
    </w:p>
    <w:p w14:paraId="5126EB30" w14:textId="77777777" w:rsidR="00DF55CE" w:rsidRPr="00656F3F" w:rsidRDefault="00DF55CE" w:rsidP="00BA373C">
      <w:pPr>
        <w:jc w:val="both"/>
        <w:rPr>
          <w:rFonts w:ascii="Calibri" w:hAnsi="Calibri" w:cs="Calibri"/>
          <w:b/>
          <w:rtl/>
        </w:rPr>
      </w:pPr>
    </w:p>
    <w:p w14:paraId="45A27209" w14:textId="6857B9BD" w:rsidR="006A162E" w:rsidRPr="00656F3F" w:rsidRDefault="007B4732" w:rsidP="00496702">
      <w:pPr>
        <w:jc w:val="both"/>
        <w:rPr>
          <w:rFonts w:ascii="Calibri" w:hAnsi="Calibri" w:cs="Calibri"/>
          <w:b/>
          <w:rtl/>
        </w:rPr>
      </w:pPr>
      <w:r w:rsidRPr="00656F3F">
        <w:rPr>
          <w:rFonts w:ascii="Calibri" w:hAnsi="Calibri" w:cs="Calibri"/>
          <w:b/>
          <w:rtl/>
        </w:rPr>
        <w:t xml:space="preserve">מלוח 2 עולה כי תחזית החטיבה לאינפלציה גבוהה מהציפיות הנגזרות משוק ההון ומממוצע תחזיות החזאים הפרטיים. ייתכן שחלק מפער זה </w:t>
      </w:r>
      <w:r w:rsidR="00496702" w:rsidRPr="00656F3F">
        <w:rPr>
          <w:rFonts w:ascii="Calibri" w:hAnsi="Calibri" w:cs="Calibri"/>
          <w:b/>
          <w:rtl/>
        </w:rPr>
        <w:t>נובע מ</w:t>
      </w:r>
      <w:r w:rsidRPr="00656F3F">
        <w:rPr>
          <w:rFonts w:ascii="Calibri" w:hAnsi="Calibri" w:cs="Calibri"/>
          <w:b/>
          <w:rtl/>
        </w:rPr>
        <w:t>הערכות שונות לגבי צעדי המיסוי שתנקוט הממשלה בטווח התחזית. תחזית הריבית של החטיבה דומה לתחזית הנגזרת משוק ההון וגבוהה מעט מממוצע תחזיות החזאים הפרטיים.</w:t>
      </w:r>
    </w:p>
    <w:p w14:paraId="0978C4DA" w14:textId="77777777" w:rsidR="003B2D4B" w:rsidRPr="00656F3F" w:rsidRDefault="003B2D4B" w:rsidP="00910C95">
      <w:pPr>
        <w:pStyle w:val="a"/>
        <w:rPr>
          <w:rFonts w:ascii="Calibri" w:hAnsi="Calibri" w:cs="Calibri"/>
        </w:rPr>
      </w:pPr>
      <w:r w:rsidRPr="00656F3F">
        <w:rPr>
          <w:rFonts w:ascii="Calibri" w:hAnsi="Calibri" w:cs="Calibri"/>
          <w:rtl/>
        </w:rPr>
        <w:t>הסיכונים העיקריים לתחזית</w:t>
      </w:r>
    </w:p>
    <w:p w14:paraId="76DBA389" w14:textId="330CB3E8" w:rsidR="00941DF4" w:rsidRPr="00656F3F" w:rsidRDefault="00843BD5" w:rsidP="00843BD5">
      <w:pPr>
        <w:ind w:left="8"/>
        <w:jc w:val="both"/>
        <w:rPr>
          <w:rFonts w:ascii="Calibri" w:hAnsi="Calibri" w:cs="Calibri"/>
          <w:rtl/>
        </w:rPr>
      </w:pPr>
      <w:r w:rsidRPr="00656F3F">
        <w:rPr>
          <w:rFonts w:ascii="Calibri" w:hAnsi="Calibri" w:cs="Calibri"/>
          <w:rtl/>
        </w:rPr>
        <w:t xml:space="preserve">כאמור, </w:t>
      </w:r>
      <w:r w:rsidR="008A606D" w:rsidRPr="00656F3F">
        <w:rPr>
          <w:rFonts w:ascii="Calibri" w:hAnsi="Calibri" w:cs="Calibri"/>
          <w:rtl/>
        </w:rPr>
        <w:t xml:space="preserve">התחזית מבוססת על הנחה שההשפעה הכלכלית הישירה של הלחימה תמשך עד תחילת שנת 2025. להתפתחויות שונות, שישפיעו על משך והיקף המלחמה, תיתכן כמובן השפעה מהותית על ההתפתחויות הכלכליות. בפרט, לחימה ממושכת יותר צפויה להעיב על הפעילות הכלכלית. ערוצי השפעה </w:t>
      </w:r>
      <w:r w:rsidR="008A606D" w:rsidRPr="00656F3F">
        <w:rPr>
          <w:rFonts w:ascii="Calibri" w:hAnsi="Calibri" w:cs="Calibri"/>
          <w:rtl/>
        </w:rPr>
        <w:lastRenderedPageBreak/>
        <w:t>של פגיעה אפשרית זו כוללים הפרעות ממושכות יותר להיצע העבודה, בין השאר לאור גיוס המילואים שיידרש, עלייה נוספת של פרמיית הסיכון, ירידה בביקוש המקומי לצריכה והשקעות, ואף פגיעה בסנטימנט כלפי ישראל שיוביל לירידה בביקוש ליצוא הישראלי</w:t>
      </w:r>
      <w:r w:rsidR="00FE74A7" w:rsidRPr="00656F3F">
        <w:rPr>
          <w:rFonts w:ascii="Calibri" w:hAnsi="Calibri" w:cs="Calibri"/>
          <w:rtl/>
        </w:rPr>
        <w:t xml:space="preserve"> ובהשקעות מחו"ל</w:t>
      </w:r>
      <w:r w:rsidR="008A606D" w:rsidRPr="00656F3F">
        <w:rPr>
          <w:rFonts w:ascii="Calibri" w:hAnsi="Calibri" w:cs="Calibri"/>
          <w:rtl/>
        </w:rPr>
        <w:t>. ככל שהלחימה תתרחב, השפעות אלו עשויות להיות חריפות יותר ולגרום לפגיעה מאקרו כלכלית מהותית. בפרט, מלחמה כוללת בצפון, אשר בגינה הפעילות באזורים נרחבים בישראל תהיה מוגבלת למספר שבועות עם הסתברות גם ל</w:t>
      </w:r>
      <w:r w:rsidR="00FE74A7" w:rsidRPr="00656F3F">
        <w:rPr>
          <w:rFonts w:ascii="Calibri" w:hAnsi="Calibri" w:cs="Calibri"/>
          <w:rtl/>
        </w:rPr>
        <w:t>פגיעה בתשתיות</w:t>
      </w:r>
      <w:r w:rsidR="008A606D" w:rsidRPr="00656F3F">
        <w:rPr>
          <w:rFonts w:ascii="Calibri" w:hAnsi="Calibri" w:cs="Calibri"/>
          <w:rtl/>
        </w:rPr>
        <w:t xml:space="preserve">, </w:t>
      </w:r>
      <w:r w:rsidRPr="00656F3F">
        <w:rPr>
          <w:rFonts w:ascii="Calibri" w:hAnsi="Calibri" w:cs="Calibri"/>
          <w:rtl/>
        </w:rPr>
        <w:t xml:space="preserve">צפויה להרע </w:t>
      </w:r>
      <w:r w:rsidR="008A606D" w:rsidRPr="00656F3F">
        <w:rPr>
          <w:rFonts w:ascii="Calibri" w:hAnsi="Calibri" w:cs="Calibri"/>
          <w:rtl/>
        </w:rPr>
        <w:t xml:space="preserve">באופן מהותי את הפעילות הכלכלית ותגרע מספר אחוזים מהצמיחה השנתית. עלותה גם תצריך הערכה מחודשת של היקף ההתאמות הנדרשות בתקציב ובמסים. כל אלו ישפיעו גם על התפתחות האינפלציה ועל הגירעון והחוב הממשלתיים. </w:t>
      </w:r>
    </w:p>
    <w:p w14:paraId="5556B491" w14:textId="4A665C43" w:rsidR="000F6D06" w:rsidRPr="00656F3F" w:rsidRDefault="00FD10CF" w:rsidP="003D5C43">
      <w:pPr>
        <w:ind w:left="8"/>
        <w:jc w:val="both"/>
        <w:rPr>
          <w:rFonts w:ascii="Calibri" w:hAnsi="Calibri" w:cs="Calibri"/>
          <w:rtl/>
        </w:rPr>
      </w:pPr>
      <w:r w:rsidRPr="00656F3F">
        <w:rPr>
          <w:rFonts w:ascii="Calibri" w:hAnsi="Calibri" w:cs="Calibri"/>
          <w:rtl/>
        </w:rPr>
        <w:t>סיכון נוסף הוא</w:t>
      </w:r>
      <w:r w:rsidR="000F6D06" w:rsidRPr="00656F3F">
        <w:rPr>
          <w:rFonts w:ascii="Calibri" w:hAnsi="Calibri" w:cs="Calibri"/>
          <w:rtl/>
        </w:rPr>
        <w:t xml:space="preserve"> </w:t>
      </w:r>
      <w:r w:rsidR="00843BD5" w:rsidRPr="00656F3F">
        <w:rPr>
          <w:rFonts w:ascii="Calibri" w:hAnsi="Calibri" w:cs="Calibri"/>
          <w:rtl/>
        </w:rPr>
        <w:t>שהממשלה תבצע באופן חלקי</w:t>
      </w:r>
      <w:r w:rsidR="000F6D06" w:rsidRPr="00656F3F">
        <w:rPr>
          <w:rFonts w:ascii="Calibri" w:hAnsi="Calibri" w:cs="Calibri"/>
          <w:rtl/>
        </w:rPr>
        <w:t xml:space="preserve"> </w:t>
      </w:r>
      <w:r w:rsidRPr="00656F3F">
        <w:rPr>
          <w:rFonts w:ascii="Calibri" w:hAnsi="Calibri" w:cs="Calibri"/>
          <w:rtl/>
        </w:rPr>
        <w:t xml:space="preserve">בלבד </w:t>
      </w:r>
      <w:r w:rsidR="00843BD5" w:rsidRPr="00656F3F">
        <w:rPr>
          <w:rFonts w:ascii="Calibri" w:hAnsi="Calibri" w:cs="Calibri"/>
          <w:rtl/>
        </w:rPr>
        <w:t xml:space="preserve">את </w:t>
      </w:r>
      <w:r w:rsidR="000F6D06" w:rsidRPr="00656F3F">
        <w:rPr>
          <w:rFonts w:ascii="Calibri" w:hAnsi="Calibri" w:cs="Calibri"/>
          <w:rtl/>
        </w:rPr>
        <w:t xml:space="preserve">ההתאמות הפיסקליות הנדרשות כדי למנוע עלייה עודפת בגרעון, או </w:t>
      </w:r>
      <w:r w:rsidR="00AE2A76" w:rsidRPr="00656F3F">
        <w:rPr>
          <w:rFonts w:ascii="Calibri" w:hAnsi="Calibri" w:cs="Calibri"/>
          <w:rtl/>
        </w:rPr>
        <w:t>ש</w:t>
      </w:r>
      <w:r w:rsidR="000F6D06" w:rsidRPr="00656F3F">
        <w:rPr>
          <w:rFonts w:ascii="Calibri" w:hAnsi="Calibri" w:cs="Calibri"/>
          <w:rtl/>
        </w:rPr>
        <w:t xml:space="preserve">אישור התקציב </w:t>
      </w:r>
      <w:r w:rsidR="00AE2A76" w:rsidRPr="00656F3F">
        <w:rPr>
          <w:rFonts w:ascii="Calibri" w:hAnsi="Calibri" w:cs="Calibri"/>
          <w:rtl/>
        </w:rPr>
        <w:t xml:space="preserve">יידחה </w:t>
      </w:r>
      <w:r w:rsidR="000F6D06" w:rsidRPr="00656F3F">
        <w:rPr>
          <w:rFonts w:ascii="Calibri" w:hAnsi="Calibri" w:cs="Calibri"/>
          <w:rtl/>
        </w:rPr>
        <w:t>לתוך 2025, לצד עלייה אפשרית נוספת בהוצאות המלחמה וההוצאות הפרמננטיות</w:t>
      </w:r>
      <w:r w:rsidRPr="00656F3F">
        <w:rPr>
          <w:rFonts w:ascii="Calibri" w:hAnsi="Calibri" w:cs="Calibri"/>
          <w:rtl/>
        </w:rPr>
        <w:t xml:space="preserve">. אלו </w:t>
      </w:r>
      <w:r w:rsidR="000F6D06" w:rsidRPr="00656F3F">
        <w:rPr>
          <w:rFonts w:ascii="Calibri" w:hAnsi="Calibri" w:cs="Calibri"/>
          <w:rtl/>
        </w:rPr>
        <w:t xml:space="preserve">עלולים להוביל לעלייה נוספת בפרמיית הסיכון של ישראל כתוצאה מתפיסת השווקים </w:t>
      </w:r>
      <w:r w:rsidR="00AE2A76" w:rsidRPr="00656F3F">
        <w:rPr>
          <w:rFonts w:ascii="Calibri" w:hAnsi="Calibri" w:cs="Calibri"/>
          <w:rtl/>
        </w:rPr>
        <w:t xml:space="preserve">והחשש </w:t>
      </w:r>
      <w:r w:rsidR="000F6D06" w:rsidRPr="00656F3F">
        <w:rPr>
          <w:rFonts w:ascii="Calibri" w:hAnsi="Calibri" w:cs="Calibri"/>
          <w:rtl/>
        </w:rPr>
        <w:t>שיחס החוב לתוצר נמצא בתוואי מתבדר. מצב כזה עלול להוביל לפגיעה בתוואי הצמיחה של המשק, להיחלשות השקל ולהתגברות הלחצים האינפלציוניים, שגם יתבטאו בריביות גבוהות יותר.</w:t>
      </w:r>
    </w:p>
    <w:p w14:paraId="2F95D5B7" w14:textId="320D7283" w:rsidR="00850166" w:rsidRPr="00656F3F" w:rsidRDefault="008A606D" w:rsidP="0053534B">
      <w:pPr>
        <w:ind w:left="8"/>
        <w:jc w:val="both"/>
        <w:rPr>
          <w:rFonts w:ascii="Calibri" w:hAnsi="Calibri" w:cs="Calibri"/>
          <w:rtl/>
        </w:rPr>
      </w:pPr>
      <w:r w:rsidRPr="00656F3F">
        <w:rPr>
          <w:rFonts w:ascii="Calibri" w:hAnsi="Calibri" w:cs="Calibri"/>
          <w:rtl/>
        </w:rPr>
        <w:t xml:space="preserve">לאור </w:t>
      </w:r>
      <w:r w:rsidR="003A0B5B" w:rsidRPr="00656F3F">
        <w:rPr>
          <w:rFonts w:ascii="Calibri" w:hAnsi="Calibri" w:cs="Calibri"/>
          <w:rtl/>
        </w:rPr>
        <w:t>כל אלה</w:t>
      </w:r>
      <w:r w:rsidRPr="00656F3F">
        <w:rPr>
          <w:rFonts w:ascii="Calibri" w:hAnsi="Calibri" w:cs="Calibri"/>
          <w:rtl/>
        </w:rPr>
        <w:t>, אנו מעריכים כי מאזן הסיכונים ביחס לתחזית הצמיחה נוטה כלפי מטה, ואילו ביחס לתחזית האינפלציה והגירעון מאזן הסיכונים נוטה כלפי מעלה.</w:t>
      </w:r>
    </w:p>
    <w:p w14:paraId="69EFDC55" w14:textId="59799760" w:rsidR="001159E6" w:rsidRPr="00656F3F" w:rsidRDefault="001159E6" w:rsidP="005C2941">
      <w:pPr>
        <w:ind w:left="8"/>
        <w:jc w:val="both"/>
        <w:rPr>
          <w:rFonts w:ascii="Calibri" w:hAnsi="Calibri" w:cs="Calibri"/>
          <w:rtl/>
        </w:rPr>
      </w:pPr>
    </w:p>
    <w:sectPr w:rsidR="001159E6" w:rsidRPr="00656F3F" w:rsidSect="00015362">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47E7" w14:textId="77777777" w:rsidR="006B0F42" w:rsidRDefault="006B0F42" w:rsidP="00A251DD">
      <w:pPr>
        <w:spacing w:line="240" w:lineRule="auto"/>
      </w:pPr>
      <w:r>
        <w:separator/>
      </w:r>
    </w:p>
  </w:endnote>
  <w:endnote w:type="continuationSeparator" w:id="0">
    <w:p w14:paraId="48C2AC51" w14:textId="77777777" w:rsidR="006B0F42" w:rsidRDefault="006B0F42"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193478"/>
      <w:docPartObj>
        <w:docPartGallery w:val="Page Numbers (Bottom of Page)"/>
        <w:docPartUnique/>
      </w:docPartObj>
    </w:sdtPr>
    <w:sdtEndPr>
      <w:rPr>
        <w:noProof/>
      </w:rPr>
    </w:sdtEndPr>
    <w:sdtContent>
      <w:p w14:paraId="31E256FA" w14:textId="073E9562" w:rsidR="00323289" w:rsidRDefault="00323289" w:rsidP="00323289">
        <w:pPr>
          <w:pStyle w:val="ab"/>
          <w:jc w:val="center"/>
        </w:pPr>
        <w:r w:rsidRPr="00BE1C99">
          <w:rPr>
            <w:noProof/>
            <w:rtl/>
          </w:rPr>
          <w:drawing>
            <wp:anchor distT="0" distB="0" distL="114300" distR="114300" simplePos="0" relativeHeight="251667456" behindDoc="0" locked="0" layoutInCell="1" allowOverlap="1" wp14:anchorId="1354EBD9" wp14:editId="3BE8A6D2">
              <wp:simplePos x="0" y="0"/>
              <wp:positionH relativeFrom="rightMargin">
                <wp:posOffset>-528879</wp:posOffset>
              </wp:positionH>
              <wp:positionV relativeFrom="paragraph">
                <wp:posOffset>19837</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132149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48A4">
              <w:rPr>
                <w:noProof/>
                <w:rtl/>
              </w:rPr>
              <w:t>6</w:t>
            </w:r>
            <w:r>
              <w:rPr>
                <w:noProof/>
              </w:rPr>
              <w:fldChar w:fldCharType="end"/>
            </w:r>
          </w:sdtContent>
        </w:sdt>
      </w:p>
      <w:p w14:paraId="532F8C69" w14:textId="46ADCCC2" w:rsidR="00323289" w:rsidRPr="00BE1C99" w:rsidRDefault="00323289" w:rsidP="00323289">
        <w:pPr>
          <w:pStyle w:val="ab"/>
          <w:rPr>
            <w:rtl/>
          </w:rPr>
        </w:pPr>
        <w:r>
          <w:rPr>
            <w:rtl/>
          </w:rPr>
          <w:tab/>
        </w:r>
        <w:r w:rsidRPr="00BE1C99">
          <w:rPr>
            <w:noProof/>
          </w:rPr>
          <mc:AlternateContent>
            <mc:Choice Requires="wps">
              <w:drawing>
                <wp:anchor distT="0" distB="0" distL="114300" distR="114300" simplePos="0" relativeHeight="251659264" behindDoc="0" locked="0" layoutInCell="1" allowOverlap="1" wp14:anchorId="67548899" wp14:editId="31094C45">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548899"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" filled="f" stroked="f" strokeweight=".5pt">
                  <v:textbox>
                    <w:txbxContent>
                      <w:p w14:paraId="2DAA72BF"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 xml:space="preserve">אתר בנק ישראל </w:t>
                        </w:r>
                        <w:hyperlink r:id="rId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BE1C99">
          <w:rPr>
            <w:noProof/>
          </w:rPr>
          <mc:AlternateContent>
            <mc:Choice Requires="wps">
              <w:drawing>
                <wp:anchor distT="0" distB="0" distL="114300" distR="114300" simplePos="0" relativeHeight="251660288" behindDoc="0" locked="0" layoutInCell="1" allowOverlap="1" wp14:anchorId="4CBFC21E" wp14:editId="7386C493">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FC21E"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" filled="f" stroked="f" strokeweight=".5pt">
                  <v:textbox>
                    <w:txbxContent>
                      <w:p w14:paraId="7F00D5BC" w14:textId="77777777" w:rsidR="00323289" w:rsidRPr="00B677DC" w:rsidRDefault="00323289" w:rsidP="00323289">
                        <w:pPr>
                          <w:jc w:val="center"/>
                          <w:rPr>
                            <w:rFonts w:cstheme="minorHAnsi"/>
                            <w:sz w:val="14"/>
                            <w:szCs w:val="14"/>
                            <w:rtl/>
                          </w:rPr>
                        </w:pPr>
                        <w:r w:rsidRPr="00B677DC">
                          <w:rPr>
                            <w:rFonts w:cs="Times New Roman" w:hint="cs"/>
                            <w:noProof/>
                            <w:sz w:val="16"/>
                            <w:szCs w:val="16"/>
                            <w:rtl/>
                          </w:rPr>
                          <w:t xml:space="preserve">עמוד הפייסבוק של בנק ישראל </w:t>
                        </w:r>
                        <w:r w:rsidRPr="00B677DC">
                          <w:rPr>
                            <w:rFonts w:cs="Calibri"/>
                            <w:noProof/>
                            <w:sz w:val="16"/>
                            <w:szCs w:val="16"/>
                            <w:rtl/>
                          </w:rPr>
                          <w:t>–</w:t>
                        </w:r>
                        <w:r w:rsidRPr="00B677DC">
                          <w:rPr>
                            <w:rFonts w:cs="Times New Roman"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sidRPr="00BE1C99">
          <w:rPr>
            <w:noProof/>
          </w:rPr>
          <w:drawing>
            <wp:anchor distT="0" distB="0" distL="114300" distR="114300" simplePos="0" relativeHeight="251661312" behindDoc="0" locked="0" layoutInCell="1" allowOverlap="1" wp14:anchorId="143026C7" wp14:editId="164C5F03">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2336" behindDoc="0" locked="0" layoutInCell="1" allowOverlap="1" wp14:anchorId="0AE5AAD8" wp14:editId="27D7CF27">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AAD8"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" filled="f" stroked="f" strokeweight=".5pt">
                  <v:textbox>
                    <w:txbxContent>
                      <w:p w14:paraId="5E149105" w14:textId="77777777" w:rsidR="00323289" w:rsidRPr="00B677DC" w:rsidRDefault="00323289" w:rsidP="00323289">
                        <w:pPr>
                          <w:jc w:val="center"/>
                          <w:rPr>
                            <w:rFonts w:cstheme="minorHAnsi"/>
                            <w:sz w:val="16"/>
                            <w:szCs w:val="16"/>
                            <w:rtl/>
                          </w:rPr>
                        </w:pPr>
                        <w:r w:rsidRPr="00B677DC">
                          <w:rPr>
                            <w:rFonts w:cs="Times New Roman"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BE1C99">
          <w:rPr>
            <w:noProof/>
          </w:rPr>
          <w:drawing>
            <wp:anchor distT="0" distB="0" distL="114300" distR="114300" simplePos="0" relativeHeight="251664384" behindDoc="0" locked="0" layoutInCell="1" allowOverlap="1" wp14:anchorId="1D32C4DD" wp14:editId="05946B08">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6432" behindDoc="0" locked="0" layoutInCell="1" allowOverlap="1" wp14:anchorId="705B6259" wp14:editId="7CD8DDA6">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6259" id="תיבת טקסט 5" o:spid="_x0000_s1029" type="#_x0000_t202" style="position:absolute;left:0;text-align:left;margin-left:-63.9pt;margin-top:11.75pt;width:167.75pt;height:4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" filled="f" stroked="f" strokeweight=".5pt">
                  <v:textbox>
                    <w:txbxContent>
                      <w:p w14:paraId="560C533E" w14:textId="77777777" w:rsidR="00323289" w:rsidRPr="00F20046" w:rsidRDefault="00323289" w:rsidP="00323289">
                        <w:pPr>
                          <w:jc w:val="center"/>
                          <w:rPr>
                            <w:rFonts w:cs="Calibri"/>
                            <w:noProof/>
                            <w:sz w:val="16"/>
                            <w:szCs w:val="16"/>
                            <w:rtl/>
                          </w:rPr>
                        </w:pPr>
                        <w:r>
                          <w:rPr>
                            <w:rFonts w:cs="Times New Roman"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BE1C99">
          <w:rPr>
            <w:noProof/>
          </w:rPr>
          <w:drawing>
            <wp:anchor distT="0" distB="0" distL="114300" distR="114300" simplePos="0" relativeHeight="251665408" behindDoc="0" locked="0" layoutInCell="1" allowOverlap="1" wp14:anchorId="26BC2A1C" wp14:editId="1BA830F1">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Pr="00BE1C99">
          <w:rPr>
            <w:noProof/>
          </w:rPr>
          <mc:AlternateContent>
            <mc:Choice Requires="wps">
              <w:drawing>
                <wp:anchor distT="0" distB="0" distL="114300" distR="114300" simplePos="0" relativeHeight="251663360" behindDoc="0" locked="0" layoutInCell="1" allowOverlap="1" wp14:anchorId="1E6A4CF1" wp14:editId="6F1686A6">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684D1"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" strokecolor="black [3200]" strokeweight=".5pt">
                  <v:stroke joinstyle="miter"/>
                </v:line>
              </w:pict>
            </mc:Fallback>
          </mc:AlternateContent>
        </w:r>
      </w:p>
      <w:p w14:paraId="622A7EF2" w14:textId="77777777" w:rsidR="00323289" w:rsidRDefault="00323289" w:rsidP="00323289">
        <w:pPr>
          <w:pStyle w:val="ab"/>
        </w:pPr>
      </w:p>
      <w:p w14:paraId="487F8A3E" w14:textId="730A19BB" w:rsidR="00BA373C" w:rsidRDefault="006B0F42">
        <w:pPr>
          <w:pStyle w:val="ab"/>
          <w:jc w:val="center"/>
        </w:pPr>
      </w:p>
    </w:sdtContent>
  </w:sdt>
  <w:p w14:paraId="49651C13" w14:textId="77777777" w:rsidR="00BA373C" w:rsidRDefault="00BA37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E8CC" w14:textId="77777777" w:rsidR="006B0F42" w:rsidRDefault="006B0F42" w:rsidP="00A251DD">
      <w:pPr>
        <w:spacing w:line="240" w:lineRule="auto"/>
      </w:pPr>
      <w:r>
        <w:separator/>
      </w:r>
    </w:p>
  </w:footnote>
  <w:footnote w:type="continuationSeparator" w:id="0">
    <w:p w14:paraId="78244A13" w14:textId="77777777" w:rsidR="006B0F42" w:rsidRDefault="006B0F42" w:rsidP="00A251DD">
      <w:pPr>
        <w:spacing w:line="240" w:lineRule="auto"/>
      </w:pPr>
      <w:r>
        <w:continuationSeparator/>
      </w:r>
    </w:p>
  </w:footnote>
  <w:footnote w:id="1">
    <w:p w14:paraId="07079693" w14:textId="77777777" w:rsidR="00634D54" w:rsidRPr="00634D54" w:rsidRDefault="00634D54" w:rsidP="00634D54">
      <w:pPr>
        <w:pStyle w:val="a4"/>
        <w:spacing w:before="60"/>
        <w:ind w:left="19"/>
        <w:rPr>
          <w:rFonts w:asciiTheme="majorHAnsi" w:hAnsiTheme="majorHAnsi" w:cstheme="majorHAnsi"/>
          <w:sz w:val="18"/>
          <w:szCs w:val="18"/>
          <w:rtl/>
        </w:rPr>
      </w:pPr>
      <w:r w:rsidRPr="00355EB1">
        <w:rPr>
          <w:rStyle w:val="a6"/>
        </w:rPr>
        <w:footnoteRef/>
      </w:r>
      <w:r w:rsidRPr="00355EB1">
        <w:rPr>
          <w:rtl/>
        </w:rPr>
        <w:t xml:space="preserve"> </w:t>
      </w:r>
      <w:r w:rsidRPr="00634D54">
        <w:rPr>
          <w:rFonts w:asciiTheme="majorHAnsi" w:hAnsiTheme="majorHAnsi" w:cstheme="majorHAnsi"/>
          <w:rtl/>
        </w:rPr>
        <w:t>התחזית הוצגה לוועדה המוניטרית ב-7/7/2024, לקראת החלטת הריבית שהתקבלה ב-8/7/2024.</w:t>
      </w:r>
    </w:p>
  </w:footnote>
  <w:footnote w:id="2">
    <w:p w14:paraId="48B78CE1" w14:textId="77777777" w:rsidR="00712048" w:rsidRPr="00634D54" w:rsidRDefault="00712048" w:rsidP="00381932">
      <w:pPr>
        <w:pStyle w:val="a4"/>
        <w:spacing w:before="60"/>
        <w:ind w:left="5"/>
        <w:jc w:val="both"/>
        <w:rPr>
          <w:rFonts w:asciiTheme="majorHAnsi" w:hAnsiTheme="majorHAnsi" w:cstheme="majorHAnsi"/>
          <w:rtl/>
        </w:rPr>
      </w:pPr>
      <w:r w:rsidRPr="00634D54">
        <w:rPr>
          <w:rFonts w:asciiTheme="majorHAnsi" w:hAnsiTheme="majorHAnsi" w:cstheme="majorHAnsi"/>
          <w:vertAlign w:val="superscript"/>
        </w:rPr>
        <w:footnoteRef/>
      </w:r>
      <w:r w:rsidRPr="00634D54">
        <w:rPr>
          <w:rFonts w:asciiTheme="majorHAnsi" w:hAnsiTheme="majorHAnsi" w:cstheme="majorHAnsi"/>
          <w:rtl/>
        </w:rPr>
        <w:t xml:space="preserve"> 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634D54">
        <w:rPr>
          <w:rFonts w:asciiTheme="majorHAnsi" w:hAnsiTheme="majorHAnsi" w:cstheme="majorHAnsi"/>
        </w:rPr>
        <w:t>DSGE</w:t>
      </w:r>
      <w:r w:rsidRPr="00634D54">
        <w:rPr>
          <w:rFonts w:asciiTheme="majorHAnsi" w:hAnsiTheme="majorHAnsi" w:cstheme="majorHAnsi"/>
          <w:rtl/>
        </w:rPr>
        <w:t xml:space="preserve"> זמין באתר האינטרנט של בנק ישראל. כותרתו</w:t>
      </w:r>
    </w:p>
    <w:p w14:paraId="44A45CDF" w14:textId="77777777" w:rsidR="00712048" w:rsidRPr="00634D54" w:rsidRDefault="006B0F42" w:rsidP="00144A95">
      <w:pPr>
        <w:pStyle w:val="a4"/>
        <w:bidi w:val="0"/>
        <w:spacing w:before="60"/>
        <w:ind w:left="14"/>
        <w:rPr>
          <w:rFonts w:asciiTheme="majorHAnsi" w:hAnsiTheme="majorHAnsi" w:cstheme="majorHAnsi"/>
          <w:sz w:val="22"/>
          <w:szCs w:val="22"/>
        </w:rPr>
      </w:pPr>
      <w:hyperlink r:id="rId1" w:history="1">
        <w:r w:rsidR="00712048" w:rsidRPr="00634D54">
          <w:rPr>
            <w:rStyle w:val="Hyperlink"/>
            <w:rFonts w:asciiTheme="majorHAnsi" w:hAnsiTheme="majorHAnsi" w:cstheme="majorHAnsi"/>
          </w:rPr>
          <w:t>MOISE: A DSGE Model for the Israeli Economy, Discussion Paper No. 2012.06</w:t>
        </w:r>
      </w:hyperlink>
      <w:r w:rsidR="00712048" w:rsidRPr="00634D54">
        <w:rPr>
          <w:rFonts w:asciiTheme="majorHAnsi" w:hAnsiTheme="majorHAnsi" w:cstheme="majorHAnsi"/>
        </w:rPr>
        <w:t>.</w:t>
      </w:r>
    </w:p>
  </w:footnote>
  <w:footnote w:id="3">
    <w:p w14:paraId="1551DB24" w14:textId="63F2848C" w:rsidR="00815F31" w:rsidRPr="00992987" w:rsidRDefault="00815F31" w:rsidP="00815F31">
      <w:pPr>
        <w:pStyle w:val="a4"/>
        <w:rPr>
          <w:rFonts w:asciiTheme="majorHAnsi" w:hAnsiTheme="majorHAnsi" w:cstheme="majorHAnsi"/>
        </w:rPr>
      </w:pPr>
      <w:r w:rsidRPr="00992987">
        <w:rPr>
          <w:rStyle w:val="a6"/>
          <w:rFonts w:asciiTheme="majorHAnsi" w:hAnsiTheme="majorHAnsi" w:cstheme="majorHAnsi"/>
        </w:rPr>
        <w:footnoteRef/>
      </w:r>
      <w:r w:rsidR="00575C72" w:rsidRPr="00992987">
        <w:rPr>
          <w:rFonts w:asciiTheme="majorHAnsi" w:hAnsiTheme="majorHAnsi" w:cstheme="majorHAnsi"/>
          <w:rtl/>
        </w:rPr>
        <w:t xml:space="preserve"> </w:t>
      </w:r>
      <w:r w:rsidRPr="00992987">
        <w:rPr>
          <w:rFonts w:asciiTheme="majorHAnsi" w:hAnsiTheme="majorHAnsi" w:cstheme="majorHAnsi"/>
          <w:rtl/>
        </w:rPr>
        <w:t>שיעור האבטלה הרחב כולל, נוסף על הבלתי מועסקים, גם את מי שנעדרו זמנית מעבודתם מסיבות כלכליות (כולל עובדים בחל"ת).</w:t>
      </w:r>
      <w:r w:rsidR="00171678" w:rsidRPr="00992987">
        <w:rPr>
          <w:rFonts w:asciiTheme="majorHAnsi" w:hAnsiTheme="majorHAnsi" w:cstheme="majorHAnsi"/>
          <w:rtl/>
        </w:rPr>
        <w:t xml:space="preserve"> הוא אינו כולל עובדים שנעדרו מעבודתם בשל שירות מילואים.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5DB"/>
    <w:rsid w:val="00010A1A"/>
    <w:rsid w:val="00010B76"/>
    <w:rsid w:val="00012770"/>
    <w:rsid w:val="000128C4"/>
    <w:rsid w:val="00012A0F"/>
    <w:rsid w:val="00013915"/>
    <w:rsid w:val="00013CBE"/>
    <w:rsid w:val="000140A1"/>
    <w:rsid w:val="0001410B"/>
    <w:rsid w:val="00014482"/>
    <w:rsid w:val="00014671"/>
    <w:rsid w:val="00015362"/>
    <w:rsid w:val="00015441"/>
    <w:rsid w:val="0001548A"/>
    <w:rsid w:val="000158A4"/>
    <w:rsid w:val="00017721"/>
    <w:rsid w:val="00017851"/>
    <w:rsid w:val="00017EFE"/>
    <w:rsid w:val="000212A4"/>
    <w:rsid w:val="00022535"/>
    <w:rsid w:val="0002347C"/>
    <w:rsid w:val="000257BE"/>
    <w:rsid w:val="00025840"/>
    <w:rsid w:val="00025BAC"/>
    <w:rsid w:val="000262FD"/>
    <w:rsid w:val="0003083C"/>
    <w:rsid w:val="00030942"/>
    <w:rsid w:val="000313DA"/>
    <w:rsid w:val="00032C99"/>
    <w:rsid w:val="00033DC4"/>
    <w:rsid w:val="0003499A"/>
    <w:rsid w:val="00034CD4"/>
    <w:rsid w:val="00036836"/>
    <w:rsid w:val="00040971"/>
    <w:rsid w:val="000415D1"/>
    <w:rsid w:val="00041D77"/>
    <w:rsid w:val="0004226C"/>
    <w:rsid w:val="0004294A"/>
    <w:rsid w:val="00043DA5"/>
    <w:rsid w:val="000445E4"/>
    <w:rsid w:val="000447A2"/>
    <w:rsid w:val="00044FB3"/>
    <w:rsid w:val="000452DE"/>
    <w:rsid w:val="000470AB"/>
    <w:rsid w:val="000546E9"/>
    <w:rsid w:val="00054A7E"/>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55D5"/>
    <w:rsid w:val="000762F0"/>
    <w:rsid w:val="00077396"/>
    <w:rsid w:val="00082E87"/>
    <w:rsid w:val="0008540A"/>
    <w:rsid w:val="00085837"/>
    <w:rsid w:val="000859EA"/>
    <w:rsid w:val="00086742"/>
    <w:rsid w:val="000867F7"/>
    <w:rsid w:val="00092791"/>
    <w:rsid w:val="0009311A"/>
    <w:rsid w:val="000935EE"/>
    <w:rsid w:val="0009452A"/>
    <w:rsid w:val="0009461B"/>
    <w:rsid w:val="00095FA6"/>
    <w:rsid w:val="000968B9"/>
    <w:rsid w:val="00096ADD"/>
    <w:rsid w:val="00096F65"/>
    <w:rsid w:val="000A01A6"/>
    <w:rsid w:val="000A1B1E"/>
    <w:rsid w:val="000A2727"/>
    <w:rsid w:val="000A2AAD"/>
    <w:rsid w:val="000A5003"/>
    <w:rsid w:val="000A6550"/>
    <w:rsid w:val="000A7A8E"/>
    <w:rsid w:val="000B0206"/>
    <w:rsid w:val="000B3B04"/>
    <w:rsid w:val="000B473B"/>
    <w:rsid w:val="000B5619"/>
    <w:rsid w:val="000B5696"/>
    <w:rsid w:val="000B58F8"/>
    <w:rsid w:val="000B60B3"/>
    <w:rsid w:val="000B6DF5"/>
    <w:rsid w:val="000C0301"/>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4249"/>
    <w:rsid w:val="000E5174"/>
    <w:rsid w:val="000E69AF"/>
    <w:rsid w:val="000F0E4C"/>
    <w:rsid w:val="000F17FB"/>
    <w:rsid w:val="000F39B8"/>
    <w:rsid w:val="000F3A26"/>
    <w:rsid w:val="000F6745"/>
    <w:rsid w:val="000F69F9"/>
    <w:rsid w:val="000F6D06"/>
    <w:rsid w:val="000F7C42"/>
    <w:rsid w:val="00101D7A"/>
    <w:rsid w:val="001051A0"/>
    <w:rsid w:val="00105616"/>
    <w:rsid w:val="00110528"/>
    <w:rsid w:val="001117B5"/>
    <w:rsid w:val="00111D8F"/>
    <w:rsid w:val="001144BD"/>
    <w:rsid w:val="001159E6"/>
    <w:rsid w:val="00115C1E"/>
    <w:rsid w:val="00116CD7"/>
    <w:rsid w:val="00117332"/>
    <w:rsid w:val="001176D1"/>
    <w:rsid w:val="001200AB"/>
    <w:rsid w:val="00122671"/>
    <w:rsid w:val="00124B07"/>
    <w:rsid w:val="001268A3"/>
    <w:rsid w:val="0013035F"/>
    <w:rsid w:val="00130E3C"/>
    <w:rsid w:val="001314C5"/>
    <w:rsid w:val="00132753"/>
    <w:rsid w:val="00133B32"/>
    <w:rsid w:val="0013425B"/>
    <w:rsid w:val="001347E8"/>
    <w:rsid w:val="001358FB"/>
    <w:rsid w:val="001420AD"/>
    <w:rsid w:val="00143ED4"/>
    <w:rsid w:val="0014447A"/>
    <w:rsid w:val="00144A95"/>
    <w:rsid w:val="00146C52"/>
    <w:rsid w:val="001475E5"/>
    <w:rsid w:val="00150315"/>
    <w:rsid w:val="00150D3D"/>
    <w:rsid w:val="0015263E"/>
    <w:rsid w:val="00152F61"/>
    <w:rsid w:val="00153A94"/>
    <w:rsid w:val="00154401"/>
    <w:rsid w:val="001550CC"/>
    <w:rsid w:val="00155C82"/>
    <w:rsid w:val="00157BF3"/>
    <w:rsid w:val="00163C33"/>
    <w:rsid w:val="001649ED"/>
    <w:rsid w:val="00165837"/>
    <w:rsid w:val="00167735"/>
    <w:rsid w:val="00170AFB"/>
    <w:rsid w:val="00171678"/>
    <w:rsid w:val="001719A0"/>
    <w:rsid w:val="0017281C"/>
    <w:rsid w:val="00173067"/>
    <w:rsid w:val="001739C8"/>
    <w:rsid w:val="00176724"/>
    <w:rsid w:val="00176A2E"/>
    <w:rsid w:val="0018075E"/>
    <w:rsid w:val="00180DC9"/>
    <w:rsid w:val="0018118A"/>
    <w:rsid w:val="0018141F"/>
    <w:rsid w:val="001815FD"/>
    <w:rsid w:val="001821F0"/>
    <w:rsid w:val="001833B6"/>
    <w:rsid w:val="001903F5"/>
    <w:rsid w:val="00191669"/>
    <w:rsid w:val="00192453"/>
    <w:rsid w:val="00193186"/>
    <w:rsid w:val="00193D57"/>
    <w:rsid w:val="00193E4E"/>
    <w:rsid w:val="0019583F"/>
    <w:rsid w:val="00195AAA"/>
    <w:rsid w:val="0019656F"/>
    <w:rsid w:val="001A0240"/>
    <w:rsid w:val="001A02AE"/>
    <w:rsid w:val="001A1544"/>
    <w:rsid w:val="001A20FB"/>
    <w:rsid w:val="001A40FC"/>
    <w:rsid w:val="001A5266"/>
    <w:rsid w:val="001B17B9"/>
    <w:rsid w:val="001B39D0"/>
    <w:rsid w:val="001B3D16"/>
    <w:rsid w:val="001B46F0"/>
    <w:rsid w:val="001B4D0A"/>
    <w:rsid w:val="001B6940"/>
    <w:rsid w:val="001B719D"/>
    <w:rsid w:val="001B7292"/>
    <w:rsid w:val="001B7808"/>
    <w:rsid w:val="001C0757"/>
    <w:rsid w:val="001C1D05"/>
    <w:rsid w:val="001C1E1D"/>
    <w:rsid w:val="001C2B37"/>
    <w:rsid w:val="001C45BD"/>
    <w:rsid w:val="001C47C8"/>
    <w:rsid w:val="001C5E76"/>
    <w:rsid w:val="001C6A74"/>
    <w:rsid w:val="001C76DE"/>
    <w:rsid w:val="001C7879"/>
    <w:rsid w:val="001D0D81"/>
    <w:rsid w:val="001D1A64"/>
    <w:rsid w:val="001D1A8C"/>
    <w:rsid w:val="001D239A"/>
    <w:rsid w:val="001D3322"/>
    <w:rsid w:val="001D42FA"/>
    <w:rsid w:val="001D5AC0"/>
    <w:rsid w:val="001D5F16"/>
    <w:rsid w:val="001D7178"/>
    <w:rsid w:val="001E0411"/>
    <w:rsid w:val="001E051E"/>
    <w:rsid w:val="001E08D0"/>
    <w:rsid w:val="001E0C4B"/>
    <w:rsid w:val="001E324D"/>
    <w:rsid w:val="001E758C"/>
    <w:rsid w:val="001E79B3"/>
    <w:rsid w:val="001F0108"/>
    <w:rsid w:val="001F0FC3"/>
    <w:rsid w:val="001F10AD"/>
    <w:rsid w:val="001F1F21"/>
    <w:rsid w:val="001F34DF"/>
    <w:rsid w:val="001F5B92"/>
    <w:rsid w:val="001F6A51"/>
    <w:rsid w:val="001F71F9"/>
    <w:rsid w:val="001F7D01"/>
    <w:rsid w:val="001F7E2B"/>
    <w:rsid w:val="002018FB"/>
    <w:rsid w:val="0020252E"/>
    <w:rsid w:val="002034BD"/>
    <w:rsid w:val="002053EB"/>
    <w:rsid w:val="0021202B"/>
    <w:rsid w:val="00213F5E"/>
    <w:rsid w:val="0021472D"/>
    <w:rsid w:val="00215275"/>
    <w:rsid w:val="0021595C"/>
    <w:rsid w:val="002169A4"/>
    <w:rsid w:val="00217B7E"/>
    <w:rsid w:val="00220023"/>
    <w:rsid w:val="00221AFB"/>
    <w:rsid w:val="00221B34"/>
    <w:rsid w:val="00223474"/>
    <w:rsid w:val="002242D8"/>
    <w:rsid w:val="002249CA"/>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3AC3"/>
    <w:rsid w:val="002445CA"/>
    <w:rsid w:val="00244886"/>
    <w:rsid w:val="00244AEA"/>
    <w:rsid w:val="002452EC"/>
    <w:rsid w:val="00245574"/>
    <w:rsid w:val="00251690"/>
    <w:rsid w:val="00257CF1"/>
    <w:rsid w:val="0026071E"/>
    <w:rsid w:val="00260A4C"/>
    <w:rsid w:val="00263190"/>
    <w:rsid w:val="002631D1"/>
    <w:rsid w:val="002632B5"/>
    <w:rsid w:val="00263D5A"/>
    <w:rsid w:val="0026430D"/>
    <w:rsid w:val="00264718"/>
    <w:rsid w:val="00264C50"/>
    <w:rsid w:val="0026727B"/>
    <w:rsid w:val="00267439"/>
    <w:rsid w:val="00270473"/>
    <w:rsid w:val="002710CE"/>
    <w:rsid w:val="00272036"/>
    <w:rsid w:val="002757E1"/>
    <w:rsid w:val="00276CBE"/>
    <w:rsid w:val="00280159"/>
    <w:rsid w:val="002819E1"/>
    <w:rsid w:val="00281C96"/>
    <w:rsid w:val="00282A45"/>
    <w:rsid w:val="002861E0"/>
    <w:rsid w:val="00286475"/>
    <w:rsid w:val="00286EFF"/>
    <w:rsid w:val="0028734E"/>
    <w:rsid w:val="00287F40"/>
    <w:rsid w:val="0029108E"/>
    <w:rsid w:val="002924F8"/>
    <w:rsid w:val="00292B85"/>
    <w:rsid w:val="002932E2"/>
    <w:rsid w:val="00293BB8"/>
    <w:rsid w:val="00293F9A"/>
    <w:rsid w:val="002A2351"/>
    <w:rsid w:val="002A30ED"/>
    <w:rsid w:val="002A5586"/>
    <w:rsid w:val="002A5928"/>
    <w:rsid w:val="002A713A"/>
    <w:rsid w:val="002A7E1C"/>
    <w:rsid w:val="002B1436"/>
    <w:rsid w:val="002B3DEA"/>
    <w:rsid w:val="002B4557"/>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3E52"/>
    <w:rsid w:val="00304DFB"/>
    <w:rsid w:val="00306B84"/>
    <w:rsid w:val="0030729B"/>
    <w:rsid w:val="00307801"/>
    <w:rsid w:val="0031113C"/>
    <w:rsid w:val="00312603"/>
    <w:rsid w:val="0031343B"/>
    <w:rsid w:val="00315C97"/>
    <w:rsid w:val="00316DDC"/>
    <w:rsid w:val="003173E6"/>
    <w:rsid w:val="0032055B"/>
    <w:rsid w:val="00321751"/>
    <w:rsid w:val="00323289"/>
    <w:rsid w:val="003274F3"/>
    <w:rsid w:val="00327728"/>
    <w:rsid w:val="00327A45"/>
    <w:rsid w:val="0033327F"/>
    <w:rsid w:val="0033506D"/>
    <w:rsid w:val="00335826"/>
    <w:rsid w:val="00335955"/>
    <w:rsid w:val="003360FF"/>
    <w:rsid w:val="0033619A"/>
    <w:rsid w:val="00337410"/>
    <w:rsid w:val="00337C55"/>
    <w:rsid w:val="00340038"/>
    <w:rsid w:val="00341759"/>
    <w:rsid w:val="00341DF7"/>
    <w:rsid w:val="00343198"/>
    <w:rsid w:val="0034469C"/>
    <w:rsid w:val="00345189"/>
    <w:rsid w:val="0034582B"/>
    <w:rsid w:val="00350563"/>
    <w:rsid w:val="00350BA7"/>
    <w:rsid w:val="00350FB8"/>
    <w:rsid w:val="00351CE5"/>
    <w:rsid w:val="003543AE"/>
    <w:rsid w:val="00355639"/>
    <w:rsid w:val="00355EB1"/>
    <w:rsid w:val="003624AB"/>
    <w:rsid w:val="003640D4"/>
    <w:rsid w:val="003651E3"/>
    <w:rsid w:val="00365460"/>
    <w:rsid w:val="00365506"/>
    <w:rsid w:val="00365AAC"/>
    <w:rsid w:val="00366339"/>
    <w:rsid w:val="00367741"/>
    <w:rsid w:val="00371F33"/>
    <w:rsid w:val="00372E78"/>
    <w:rsid w:val="003732FA"/>
    <w:rsid w:val="00373624"/>
    <w:rsid w:val="003745EA"/>
    <w:rsid w:val="0037526C"/>
    <w:rsid w:val="003766A8"/>
    <w:rsid w:val="00376A5D"/>
    <w:rsid w:val="00376B00"/>
    <w:rsid w:val="0038049A"/>
    <w:rsid w:val="00380DE8"/>
    <w:rsid w:val="00381932"/>
    <w:rsid w:val="00382F39"/>
    <w:rsid w:val="00383148"/>
    <w:rsid w:val="00383329"/>
    <w:rsid w:val="00390F27"/>
    <w:rsid w:val="00396AEF"/>
    <w:rsid w:val="00396E2F"/>
    <w:rsid w:val="00397F63"/>
    <w:rsid w:val="003A0896"/>
    <w:rsid w:val="003A0B5B"/>
    <w:rsid w:val="003A0CD9"/>
    <w:rsid w:val="003A124E"/>
    <w:rsid w:val="003A2A0F"/>
    <w:rsid w:val="003A36CA"/>
    <w:rsid w:val="003A3BF9"/>
    <w:rsid w:val="003A3C31"/>
    <w:rsid w:val="003A4C5D"/>
    <w:rsid w:val="003A588B"/>
    <w:rsid w:val="003A5BC1"/>
    <w:rsid w:val="003A6331"/>
    <w:rsid w:val="003A7CB6"/>
    <w:rsid w:val="003A7E80"/>
    <w:rsid w:val="003B0C32"/>
    <w:rsid w:val="003B2D4B"/>
    <w:rsid w:val="003B4B53"/>
    <w:rsid w:val="003B5362"/>
    <w:rsid w:val="003B62B5"/>
    <w:rsid w:val="003B62F9"/>
    <w:rsid w:val="003B6751"/>
    <w:rsid w:val="003B7B44"/>
    <w:rsid w:val="003C1488"/>
    <w:rsid w:val="003C2650"/>
    <w:rsid w:val="003C2DE9"/>
    <w:rsid w:val="003C33E7"/>
    <w:rsid w:val="003C478C"/>
    <w:rsid w:val="003C58CE"/>
    <w:rsid w:val="003C6C39"/>
    <w:rsid w:val="003C6E73"/>
    <w:rsid w:val="003C7EBC"/>
    <w:rsid w:val="003D0100"/>
    <w:rsid w:val="003D0AED"/>
    <w:rsid w:val="003D118E"/>
    <w:rsid w:val="003D25DD"/>
    <w:rsid w:val="003D3956"/>
    <w:rsid w:val="003D5C43"/>
    <w:rsid w:val="003D6CE2"/>
    <w:rsid w:val="003E0F39"/>
    <w:rsid w:val="003E14C2"/>
    <w:rsid w:val="003E172B"/>
    <w:rsid w:val="003E2DF1"/>
    <w:rsid w:val="003E314F"/>
    <w:rsid w:val="003E5059"/>
    <w:rsid w:val="003E5AE8"/>
    <w:rsid w:val="003E6A91"/>
    <w:rsid w:val="003E7653"/>
    <w:rsid w:val="003E7B78"/>
    <w:rsid w:val="003F31F6"/>
    <w:rsid w:val="003F5CAB"/>
    <w:rsid w:val="003F73A6"/>
    <w:rsid w:val="0040135F"/>
    <w:rsid w:val="00402038"/>
    <w:rsid w:val="00403216"/>
    <w:rsid w:val="0040397D"/>
    <w:rsid w:val="004052CC"/>
    <w:rsid w:val="00406545"/>
    <w:rsid w:val="00406B00"/>
    <w:rsid w:val="00410C67"/>
    <w:rsid w:val="0041290A"/>
    <w:rsid w:val="00413A72"/>
    <w:rsid w:val="00413F44"/>
    <w:rsid w:val="004147F2"/>
    <w:rsid w:val="00414F4F"/>
    <w:rsid w:val="0041600E"/>
    <w:rsid w:val="0041677C"/>
    <w:rsid w:val="00420C53"/>
    <w:rsid w:val="004219D5"/>
    <w:rsid w:val="00423299"/>
    <w:rsid w:val="0042559D"/>
    <w:rsid w:val="00426231"/>
    <w:rsid w:val="0042647D"/>
    <w:rsid w:val="00427420"/>
    <w:rsid w:val="004306DE"/>
    <w:rsid w:val="004316BD"/>
    <w:rsid w:val="0043206E"/>
    <w:rsid w:val="00433379"/>
    <w:rsid w:val="004358E2"/>
    <w:rsid w:val="0043619E"/>
    <w:rsid w:val="004376E3"/>
    <w:rsid w:val="00437F72"/>
    <w:rsid w:val="00440741"/>
    <w:rsid w:val="00441F2D"/>
    <w:rsid w:val="00442969"/>
    <w:rsid w:val="00444F60"/>
    <w:rsid w:val="00445288"/>
    <w:rsid w:val="004458EC"/>
    <w:rsid w:val="00447D68"/>
    <w:rsid w:val="00452DA2"/>
    <w:rsid w:val="00454359"/>
    <w:rsid w:val="0045469A"/>
    <w:rsid w:val="00454F55"/>
    <w:rsid w:val="0045622C"/>
    <w:rsid w:val="004603E6"/>
    <w:rsid w:val="00461719"/>
    <w:rsid w:val="00463ECF"/>
    <w:rsid w:val="004644B0"/>
    <w:rsid w:val="00465CBD"/>
    <w:rsid w:val="00467AE9"/>
    <w:rsid w:val="00467AFD"/>
    <w:rsid w:val="00467FDB"/>
    <w:rsid w:val="00470459"/>
    <w:rsid w:val="00471E2A"/>
    <w:rsid w:val="00473861"/>
    <w:rsid w:val="004748E8"/>
    <w:rsid w:val="00476E30"/>
    <w:rsid w:val="00476F0E"/>
    <w:rsid w:val="0048514F"/>
    <w:rsid w:val="00486D74"/>
    <w:rsid w:val="00487B1F"/>
    <w:rsid w:val="004911B6"/>
    <w:rsid w:val="00491797"/>
    <w:rsid w:val="00492A5E"/>
    <w:rsid w:val="0049537F"/>
    <w:rsid w:val="00496702"/>
    <w:rsid w:val="0049713C"/>
    <w:rsid w:val="00497E0E"/>
    <w:rsid w:val="004A0499"/>
    <w:rsid w:val="004A246E"/>
    <w:rsid w:val="004A41CE"/>
    <w:rsid w:val="004A4A37"/>
    <w:rsid w:val="004A6F1A"/>
    <w:rsid w:val="004B13AC"/>
    <w:rsid w:val="004B266D"/>
    <w:rsid w:val="004B2DCD"/>
    <w:rsid w:val="004B2E27"/>
    <w:rsid w:val="004B384E"/>
    <w:rsid w:val="004B3D10"/>
    <w:rsid w:val="004B5115"/>
    <w:rsid w:val="004B54DD"/>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1F25"/>
    <w:rsid w:val="004F3032"/>
    <w:rsid w:val="004F3F40"/>
    <w:rsid w:val="004F4595"/>
    <w:rsid w:val="004F5221"/>
    <w:rsid w:val="00500B27"/>
    <w:rsid w:val="00501332"/>
    <w:rsid w:val="00502E51"/>
    <w:rsid w:val="0050560C"/>
    <w:rsid w:val="00505F20"/>
    <w:rsid w:val="00510260"/>
    <w:rsid w:val="00510508"/>
    <w:rsid w:val="00515FE6"/>
    <w:rsid w:val="00516AE9"/>
    <w:rsid w:val="00517BCE"/>
    <w:rsid w:val="005202C6"/>
    <w:rsid w:val="0052216A"/>
    <w:rsid w:val="0052249C"/>
    <w:rsid w:val="00522EDD"/>
    <w:rsid w:val="0053356D"/>
    <w:rsid w:val="00533955"/>
    <w:rsid w:val="0053534B"/>
    <w:rsid w:val="005353A7"/>
    <w:rsid w:val="00537316"/>
    <w:rsid w:val="0053737C"/>
    <w:rsid w:val="005378F8"/>
    <w:rsid w:val="00537DE1"/>
    <w:rsid w:val="0054008A"/>
    <w:rsid w:val="0054059F"/>
    <w:rsid w:val="0054134D"/>
    <w:rsid w:val="00541635"/>
    <w:rsid w:val="00541CA6"/>
    <w:rsid w:val="0054398A"/>
    <w:rsid w:val="00543E06"/>
    <w:rsid w:val="005441FA"/>
    <w:rsid w:val="0054461F"/>
    <w:rsid w:val="00544C70"/>
    <w:rsid w:val="00544E14"/>
    <w:rsid w:val="00545014"/>
    <w:rsid w:val="00546CEA"/>
    <w:rsid w:val="005472FB"/>
    <w:rsid w:val="0055098B"/>
    <w:rsid w:val="00550ACA"/>
    <w:rsid w:val="005511F1"/>
    <w:rsid w:val="00551773"/>
    <w:rsid w:val="005535E1"/>
    <w:rsid w:val="00553654"/>
    <w:rsid w:val="005537CF"/>
    <w:rsid w:val="00553972"/>
    <w:rsid w:val="005558E7"/>
    <w:rsid w:val="005574AB"/>
    <w:rsid w:val="0055790B"/>
    <w:rsid w:val="00557CBE"/>
    <w:rsid w:val="00560675"/>
    <w:rsid w:val="00562158"/>
    <w:rsid w:val="005630F0"/>
    <w:rsid w:val="00567014"/>
    <w:rsid w:val="00567985"/>
    <w:rsid w:val="005679E3"/>
    <w:rsid w:val="00567CCC"/>
    <w:rsid w:val="0057071C"/>
    <w:rsid w:val="00573622"/>
    <w:rsid w:val="00573A21"/>
    <w:rsid w:val="00574112"/>
    <w:rsid w:val="0057566B"/>
    <w:rsid w:val="00575C72"/>
    <w:rsid w:val="005762E9"/>
    <w:rsid w:val="005771C7"/>
    <w:rsid w:val="00581F0A"/>
    <w:rsid w:val="0058279A"/>
    <w:rsid w:val="00583CBB"/>
    <w:rsid w:val="00586109"/>
    <w:rsid w:val="00586CE4"/>
    <w:rsid w:val="0059098E"/>
    <w:rsid w:val="00590F40"/>
    <w:rsid w:val="00591271"/>
    <w:rsid w:val="005913BA"/>
    <w:rsid w:val="00591893"/>
    <w:rsid w:val="005919F9"/>
    <w:rsid w:val="0059244F"/>
    <w:rsid w:val="0059537B"/>
    <w:rsid w:val="005964B4"/>
    <w:rsid w:val="00597143"/>
    <w:rsid w:val="005A0A93"/>
    <w:rsid w:val="005A6615"/>
    <w:rsid w:val="005B1801"/>
    <w:rsid w:val="005B33D3"/>
    <w:rsid w:val="005B355D"/>
    <w:rsid w:val="005B4214"/>
    <w:rsid w:val="005B44F6"/>
    <w:rsid w:val="005B560B"/>
    <w:rsid w:val="005B5B0F"/>
    <w:rsid w:val="005B5F62"/>
    <w:rsid w:val="005B6B14"/>
    <w:rsid w:val="005B771A"/>
    <w:rsid w:val="005B79A3"/>
    <w:rsid w:val="005B7F80"/>
    <w:rsid w:val="005C08D8"/>
    <w:rsid w:val="005C0A7D"/>
    <w:rsid w:val="005C1024"/>
    <w:rsid w:val="005C2941"/>
    <w:rsid w:val="005C2AD8"/>
    <w:rsid w:val="005C4B6C"/>
    <w:rsid w:val="005D00A1"/>
    <w:rsid w:val="005D1B1D"/>
    <w:rsid w:val="005D21CB"/>
    <w:rsid w:val="005D367E"/>
    <w:rsid w:val="005D37B0"/>
    <w:rsid w:val="005D3AC3"/>
    <w:rsid w:val="005E17F0"/>
    <w:rsid w:val="005E1DA2"/>
    <w:rsid w:val="005E404D"/>
    <w:rsid w:val="005E40B0"/>
    <w:rsid w:val="005E5EB2"/>
    <w:rsid w:val="005E6A01"/>
    <w:rsid w:val="005E7263"/>
    <w:rsid w:val="005F3288"/>
    <w:rsid w:val="005F487B"/>
    <w:rsid w:val="005F4886"/>
    <w:rsid w:val="006012B7"/>
    <w:rsid w:val="00601A3E"/>
    <w:rsid w:val="0060236D"/>
    <w:rsid w:val="006036C9"/>
    <w:rsid w:val="00604324"/>
    <w:rsid w:val="0060584F"/>
    <w:rsid w:val="00606390"/>
    <w:rsid w:val="006068AC"/>
    <w:rsid w:val="00607051"/>
    <w:rsid w:val="006073A7"/>
    <w:rsid w:val="00607EFC"/>
    <w:rsid w:val="00611B2B"/>
    <w:rsid w:val="00612446"/>
    <w:rsid w:val="00613239"/>
    <w:rsid w:val="00613C19"/>
    <w:rsid w:val="00615A4C"/>
    <w:rsid w:val="0062006E"/>
    <w:rsid w:val="00620140"/>
    <w:rsid w:val="006213F8"/>
    <w:rsid w:val="0062164F"/>
    <w:rsid w:val="00621DE3"/>
    <w:rsid w:val="006269B4"/>
    <w:rsid w:val="006330EA"/>
    <w:rsid w:val="00634529"/>
    <w:rsid w:val="00634D54"/>
    <w:rsid w:val="006367CB"/>
    <w:rsid w:val="00641969"/>
    <w:rsid w:val="00642A0C"/>
    <w:rsid w:val="00643144"/>
    <w:rsid w:val="006447F6"/>
    <w:rsid w:val="00644C01"/>
    <w:rsid w:val="00646CF2"/>
    <w:rsid w:val="00653AF8"/>
    <w:rsid w:val="006541F7"/>
    <w:rsid w:val="00654323"/>
    <w:rsid w:val="006546A6"/>
    <w:rsid w:val="006560AE"/>
    <w:rsid w:val="00656F3F"/>
    <w:rsid w:val="00657C22"/>
    <w:rsid w:val="006608F8"/>
    <w:rsid w:val="00661BCD"/>
    <w:rsid w:val="00664256"/>
    <w:rsid w:val="0066439E"/>
    <w:rsid w:val="006649F5"/>
    <w:rsid w:val="00666B1B"/>
    <w:rsid w:val="00667FF8"/>
    <w:rsid w:val="006716F3"/>
    <w:rsid w:val="0067205C"/>
    <w:rsid w:val="00673313"/>
    <w:rsid w:val="00674640"/>
    <w:rsid w:val="00674C9B"/>
    <w:rsid w:val="0067553C"/>
    <w:rsid w:val="0067628A"/>
    <w:rsid w:val="00676ED4"/>
    <w:rsid w:val="00676FC1"/>
    <w:rsid w:val="00677B5B"/>
    <w:rsid w:val="0068012A"/>
    <w:rsid w:val="00681EAC"/>
    <w:rsid w:val="0068257B"/>
    <w:rsid w:val="0068311A"/>
    <w:rsid w:val="00684843"/>
    <w:rsid w:val="00684AD2"/>
    <w:rsid w:val="00685253"/>
    <w:rsid w:val="00685BD4"/>
    <w:rsid w:val="00685D09"/>
    <w:rsid w:val="006873DD"/>
    <w:rsid w:val="00690572"/>
    <w:rsid w:val="00690A6C"/>
    <w:rsid w:val="00690B4B"/>
    <w:rsid w:val="00691F15"/>
    <w:rsid w:val="00692EF5"/>
    <w:rsid w:val="00694CC2"/>
    <w:rsid w:val="00695D4C"/>
    <w:rsid w:val="00696560"/>
    <w:rsid w:val="00697541"/>
    <w:rsid w:val="006A162E"/>
    <w:rsid w:val="006A20AC"/>
    <w:rsid w:val="006A24EE"/>
    <w:rsid w:val="006A2882"/>
    <w:rsid w:val="006A321B"/>
    <w:rsid w:val="006A3F0D"/>
    <w:rsid w:val="006A40A0"/>
    <w:rsid w:val="006A42FE"/>
    <w:rsid w:val="006A4DC0"/>
    <w:rsid w:val="006A73EF"/>
    <w:rsid w:val="006A74F2"/>
    <w:rsid w:val="006B0F42"/>
    <w:rsid w:val="006B3F36"/>
    <w:rsid w:val="006B49D7"/>
    <w:rsid w:val="006B578F"/>
    <w:rsid w:val="006B6D5C"/>
    <w:rsid w:val="006C0104"/>
    <w:rsid w:val="006C05BB"/>
    <w:rsid w:val="006C25EA"/>
    <w:rsid w:val="006C5D9F"/>
    <w:rsid w:val="006D0304"/>
    <w:rsid w:val="006D0782"/>
    <w:rsid w:val="006D099E"/>
    <w:rsid w:val="006D2089"/>
    <w:rsid w:val="006D3620"/>
    <w:rsid w:val="006D4195"/>
    <w:rsid w:val="006D41BA"/>
    <w:rsid w:val="006D5AA9"/>
    <w:rsid w:val="006D5ADF"/>
    <w:rsid w:val="006D64E5"/>
    <w:rsid w:val="006E07C5"/>
    <w:rsid w:val="006E15ED"/>
    <w:rsid w:val="006E173B"/>
    <w:rsid w:val="006E1E5E"/>
    <w:rsid w:val="006E31C4"/>
    <w:rsid w:val="006E497F"/>
    <w:rsid w:val="006E4F43"/>
    <w:rsid w:val="006E71D7"/>
    <w:rsid w:val="006E780D"/>
    <w:rsid w:val="006E7831"/>
    <w:rsid w:val="006F14DE"/>
    <w:rsid w:val="006F2115"/>
    <w:rsid w:val="006F2C9F"/>
    <w:rsid w:val="006F3388"/>
    <w:rsid w:val="006F3C9A"/>
    <w:rsid w:val="006F577D"/>
    <w:rsid w:val="0070019E"/>
    <w:rsid w:val="00700B68"/>
    <w:rsid w:val="0070101A"/>
    <w:rsid w:val="00701595"/>
    <w:rsid w:val="00701B76"/>
    <w:rsid w:val="00704DC9"/>
    <w:rsid w:val="007053C5"/>
    <w:rsid w:val="00707422"/>
    <w:rsid w:val="007119A6"/>
    <w:rsid w:val="00711D44"/>
    <w:rsid w:val="00712048"/>
    <w:rsid w:val="007139A2"/>
    <w:rsid w:val="00713DD3"/>
    <w:rsid w:val="007144A9"/>
    <w:rsid w:val="0071630A"/>
    <w:rsid w:val="00716916"/>
    <w:rsid w:val="00721525"/>
    <w:rsid w:val="0072259F"/>
    <w:rsid w:val="00723B64"/>
    <w:rsid w:val="00723BDC"/>
    <w:rsid w:val="0072498F"/>
    <w:rsid w:val="007249B3"/>
    <w:rsid w:val="00727300"/>
    <w:rsid w:val="0072765F"/>
    <w:rsid w:val="00731B7B"/>
    <w:rsid w:val="00732806"/>
    <w:rsid w:val="00733581"/>
    <w:rsid w:val="007344A7"/>
    <w:rsid w:val="00735776"/>
    <w:rsid w:val="00736FDD"/>
    <w:rsid w:val="00740ACA"/>
    <w:rsid w:val="00741AE3"/>
    <w:rsid w:val="007434EB"/>
    <w:rsid w:val="0074361E"/>
    <w:rsid w:val="00744B08"/>
    <w:rsid w:val="007467F7"/>
    <w:rsid w:val="00750946"/>
    <w:rsid w:val="0075296A"/>
    <w:rsid w:val="00753449"/>
    <w:rsid w:val="0075457F"/>
    <w:rsid w:val="00756A56"/>
    <w:rsid w:val="007600B9"/>
    <w:rsid w:val="00761879"/>
    <w:rsid w:val="00762018"/>
    <w:rsid w:val="00762FD8"/>
    <w:rsid w:val="00766112"/>
    <w:rsid w:val="00766607"/>
    <w:rsid w:val="007670A4"/>
    <w:rsid w:val="00767519"/>
    <w:rsid w:val="00770243"/>
    <w:rsid w:val="0077139F"/>
    <w:rsid w:val="00771849"/>
    <w:rsid w:val="00774A66"/>
    <w:rsid w:val="007772BD"/>
    <w:rsid w:val="00780CCE"/>
    <w:rsid w:val="00780F21"/>
    <w:rsid w:val="00781748"/>
    <w:rsid w:val="00783198"/>
    <w:rsid w:val="0078477A"/>
    <w:rsid w:val="007847A5"/>
    <w:rsid w:val="00786C15"/>
    <w:rsid w:val="00790309"/>
    <w:rsid w:val="00792CF4"/>
    <w:rsid w:val="0079353F"/>
    <w:rsid w:val="0079570B"/>
    <w:rsid w:val="0079635F"/>
    <w:rsid w:val="007A117C"/>
    <w:rsid w:val="007A33B1"/>
    <w:rsid w:val="007A3A69"/>
    <w:rsid w:val="007A419C"/>
    <w:rsid w:val="007A4BA0"/>
    <w:rsid w:val="007A53CE"/>
    <w:rsid w:val="007A54B2"/>
    <w:rsid w:val="007A59DE"/>
    <w:rsid w:val="007A62EA"/>
    <w:rsid w:val="007B03CA"/>
    <w:rsid w:val="007B13AA"/>
    <w:rsid w:val="007B145F"/>
    <w:rsid w:val="007B4447"/>
    <w:rsid w:val="007B4732"/>
    <w:rsid w:val="007B54A3"/>
    <w:rsid w:val="007B5A0E"/>
    <w:rsid w:val="007B5A12"/>
    <w:rsid w:val="007B6C40"/>
    <w:rsid w:val="007B7A92"/>
    <w:rsid w:val="007C1241"/>
    <w:rsid w:val="007C1271"/>
    <w:rsid w:val="007C1CB4"/>
    <w:rsid w:val="007C2160"/>
    <w:rsid w:val="007C33A9"/>
    <w:rsid w:val="007C367E"/>
    <w:rsid w:val="007C39C8"/>
    <w:rsid w:val="007C3FC2"/>
    <w:rsid w:val="007C4846"/>
    <w:rsid w:val="007C56EF"/>
    <w:rsid w:val="007D21BB"/>
    <w:rsid w:val="007D41AC"/>
    <w:rsid w:val="007D5AC1"/>
    <w:rsid w:val="007D6960"/>
    <w:rsid w:val="007E14C5"/>
    <w:rsid w:val="007E1A9B"/>
    <w:rsid w:val="007E34C0"/>
    <w:rsid w:val="007E498F"/>
    <w:rsid w:val="007E7102"/>
    <w:rsid w:val="007F0B49"/>
    <w:rsid w:val="007F4931"/>
    <w:rsid w:val="007F5135"/>
    <w:rsid w:val="007F620D"/>
    <w:rsid w:val="007F68D5"/>
    <w:rsid w:val="007F7044"/>
    <w:rsid w:val="007F78C3"/>
    <w:rsid w:val="0080085C"/>
    <w:rsid w:val="00802906"/>
    <w:rsid w:val="00805D9C"/>
    <w:rsid w:val="0081170E"/>
    <w:rsid w:val="00811C41"/>
    <w:rsid w:val="00812427"/>
    <w:rsid w:val="00813517"/>
    <w:rsid w:val="00813F30"/>
    <w:rsid w:val="00815F31"/>
    <w:rsid w:val="00816772"/>
    <w:rsid w:val="00817B97"/>
    <w:rsid w:val="0082045C"/>
    <w:rsid w:val="008209B7"/>
    <w:rsid w:val="00821D95"/>
    <w:rsid w:val="00822AEA"/>
    <w:rsid w:val="00822D64"/>
    <w:rsid w:val="00823853"/>
    <w:rsid w:val="00825824"/>
    <w:rsid w:val="00826171"/>
    <w:rsid w:val="00826A08"/>
    <w:rsid w:val="00826FED"/>
    <w:rsid w:val="008270C5"/>
    <w:rsid w:val="008271A6"/>
    <w:rsid w:val="0082739B"/>
    <w:rsid w:val="008274D9"/>
    <w:rsid w:val="00830C95"/>
    <w:rsid w:val="0083181A"/>
    <w:rsid w:val="008330F4"/>
    <w:rsid w:val="0083619F"/>
    <w:rsid w:val="00843BD5"/>
    <w:rsid w:val="00844EEE"/>
    <w:rsid w:val="008462F6"/>
    <w:rsid w:val="00846A78"/>
    <w:rsid w:val="00850166"/>
    <w:rsid w:val="0085486B"/>
    <w:rsid w:val="00854A84"/>
    <w:rsid w:val="00855605"/>
    <w:rsid w:val="008558EA"/>
    <w:rsid w:val="00855C26"/>
    <w:rsid w:val="008563F7"/>
    <w:rsid w:val="0085675B"/>
    <w:rsid w:val="00856EF5"/>
    <w:rsid w:val="00860218"/>
    <w:rsid w:val="00860E1A"/>
    <w:rsid w:val="00860EB9"/>
    <w:rsid w:val="008640BD"/>
    <w:rsid w:val="00865D9A"/>
    <w:rsid w:val="00866D7A"/>
    <w:rsid w:val="00867D9B"/>
    <w:rsid w:val="00870C7A"/>
    <w:rsid w:val="0087156B"/>
    <w:rsid w:val="00871B3E"/>
    <w:rsid w:val="008724E5"/>
    <w:rsid w:val="008728B3"/>
    <w:rsid w:val="00874357"/>
    <w:rsid w:val="008745CD"/>
    <w:rsid w:val="008748A4"/>
    <w:rsid w:val="00874BF4"/>
    <w:rsid w:val="008776D7"/>
    <w:rsid w:val="00877955"/>
    <w:rsid w:val="00880CC0"/>
    <w:rsid w:val="008817C4"/>
    <w:rsid w:val="008818DF"/>
    <w:rsid w:val="00881E71"/>
    <w:rsid w:val="008826F8"/>
    <w:rsid w:val="008836C3"/>
    <w:rsid w:val="00886200"/>
    <w:rsid w:val="00887F9E"/>
    <w:rsid w:val="008902AC"/>
    <w:rsid w:val="008910C2"/>
    <w:rsid w:val="00891205"/>
    <w:rsid w:val="0089217D"/>
    <w:rsid w:val="00892D77"/>
    <w:rsid w:val="008936C0"/>
    <w:rsid w:val="00895A26"/>
    <w:rsid w:val="0089734F"/>
    <w:rsid w:val="008A0A61"/>
    <w:rsid w:val="008A1A6F"/>
    <w:rsid w:val="008A1A71"/>
    <w:rsid w:val="008A209C"/>
    <w:rsid w:val="008A329A"/>
    <w:rsid w:val="008A5725"/>
    <w:rsid w:val="008A5B9F"/>
    <w:rsid w:val="008A606D"/>
    <w:rsid w:val="008A65A9"/>
    <w:rsid w:val="008A7FBE"/>
    <w:rsid w:val="008B11B0"/>
    <w:rsid w:val="008B1F76"/>
    <w:rsid w:val="008B3CDD"/>
    <w:rsid w:val="008B6C2F"/>
    <w:rsid w:val="008B753E"/>
    <w:rsid w:val="008C1A0E"/>
    <w:rsid w:val="008C21F0"/>
    <w:rsid w:val="008C2F5D"/>
    <w:rsid w:val="008C3002"/>
    <w:rsid w:val="008C3866"/>
    <w:rsid w:val="008C6A45"/>
    <w:rsid w:val="008C76E9"/>
    <w:rsid w:val="008C7D05"/>
    <w:rsid w:val="008D07C4"/>
    <w:rsid w:val="008D08C4"/>
    <w:rsid w:val="008D1F2F"/>
    <w:rsid w:val="008D2BE4"/>
    <w:rsid w:val="008D477D"/>
    <w:rsid w:val="008D5444"/>
    <w:rsid w:val="008D5C57"/>
    <w:rsid w:val="008D65BD"/>
    <w:rsid w:val="008D75B2"/>
    <w:rsid w:val="008E1A53"/>
    <w:rsid w:val="008E2B5B"/>
    <w:rsid w:val="008E35AF"/>
    <w:rsid w:val="008E3FE2"/>
    <w:rsid w:val="008E40AF"/>
    <w:rsid w:val="008E4101"/>
    <w:rsid w:val="008E457A"/>
    <w:rsid w:val="008E654C"/>
    <w:rsid w:val="008F2131"/>
    <w:rsid w:val="008F473E"/>
    <w:rsid w:val="008F50AB"/>
    <w:rsid w:val="008F51A2"/>
    <w:rsid w:val="008F602C"/>
    <w:rsid w:val="008F7D03"/>
    <w:rsid w:val="00900E75"/>
    <w:rsid w:val="009011FC"/>
    <w:rsid w:val="009025C2"/>
    <w:rsid w:val="00910070"/>
    <w:rsid w:val="009102B7"/>
    <w:rsid w:val="00910C95"/>
    <w:rsid w:val="00911ACF"/>
    <w:rsid w:val="00911C59"/>
    <w:rsid w:val="00912170"/>
    <w:rsid w:val="009124F0"/>
    <w:rsid w:val="00913512"/>
    <w:rsid w:val="009139B0"/>
    <w:rsid w:val="00914C85"/>
    <w:rsid w:val="00914CAC"/>
    <w:rsid w:val="0091535A"/>
    <w:rsid w:val="00915693"/>
    <w:rsid w:val="009167D2"/>
    <w:rsid w:val="00917E4B"/>
    <w:rsid w:val="00920316"/>
    <w:rsid w:val="009209BE"/>
    <w:rsid w:val="0092279B"/>
    <w:rsid w:val="00923BE7"/>
    <w:rsid w:val="00924243"/>
    <w:rsid w:val="00924A2E"/>
    <w:rsid w:val="009250A8"/>
    <w:rsid w:val="00925767"/>
    <w:rsid w:val="00926DCB"/>
    <w:rsid w:val="00930EE2"/>
    <w:rsid w:val="0093180B"/>
    <w:rsid w:val="00932136"/>
    <w:rsid w:val="009323D8"/>
    <w:rsid w:val="009325F4"/>
    <w:rsid w:val="00932943"/>
    <w:rsid w:val="009332EC"/>
    <w:rsid w:val="009341F9"/>
    <w:rsid w:val="00934A8B"/>
    <w:rsid w:val="009364DF"/>
    <w:rsid w:val="00941B01"/>
    <w:rsid w:val="00941DF4"/>
    <w:rsid w:val="00942742"/>
    <w:rsid w:val="00942E2E"/>
    <w:rsid w:val="00943B1D"/>
    <w:rsid w:val="0094477A"/>
    <w:rsid w:val="009451E2"/>
    <w:rsid w:val="00946443"/>
    <w:rsid w:val="00946E60"/>
    <w:rsid w:val="00947318"/>
    <w:rsid w:val="0095078B"/>
    <w:rsid w:val="0095129D"/>
    <w:rsid w:val="00952155"/>
    <w:rsid w:val="00953531"/>
    <w:rsid w:val="009542B2"/>
    <w:rsid w:val="00954547"/>
    <w:rsid w:val="00954696"/>
    <w:rsid w:val="00955B7B"/>
    <w:rsid w:val="0095792E"/>
    <w:rsid w:val="009617EA"/>
    <w:rsid w:val="0096462D"/>
    <w:rsid w:val="0096472E"/>
    <w:rsid w:val="00972ABE"/>
    <w:rsid w:val="009730D5"/>
    <w:rsid w:val="009742CE"/>
    <w:rsid w:val="009771C8"/>
    <w:rsid w:val="009778D0"/>
    <w:rsid w:val="0098016F"/>
    <w:rsid w:val="00983156"/>
    <w:rsid w:val="0098468A"/>
    <w:rsid w:val="00985794"/>
    <w:rsid w:val="00990CF2"/>
    <w:rsid w:val="00991F74"/>
    <w:rsid w:val="00992987"/>
    <w:rsid w:val="00993084"/>
    <w:rsid w:val="00994035"/>
    <w:rsid w:val="00994834"/>
    <w:rsid w:val="0099498F"/>
    <w:rsid w:val="00994B2C"/>
    <w:rsid w:val="009956E8"/>
    <w:rsid w:val="00996A2C"/>
    <w:rsid w:val="009970EF"/>
    <w:rsid w:val="009972D4"/>
    <w:rsid w:val="00997416"/>
    <w:rsid w:val="009975AA"/>
    <w:rsid w:val="009A05D6"/>
    <w:rsid w:val="009A3CF5"/>
    <w:rsid w:val="009A53D6"/>
    <w:rsid w:val="009A55FB"/>
    <w:rsid w:val="009A765F"/>
    <w:rsid w:val="009B1625"/>
    <w:rsid w:val="009B2BEB"/>
    <w:rsid w:val="009B2C88"/>
    <w:rsid w:val="009B459F"/>
    <w:rsid w:val="009B4B0E"/>
    <w:rsid w:val="009B5AF6"/>
    <w:rsid w:val="009C09AF"/>
    <w:rsid w:val="009D267E"/>
    <w:rsid w:val="009D2A5B"/>
    <w:rsid w:val="009D3119"/>
    <w:rsid w:val="009D32C2"/>
    <w:rsid w:val="009D420F"/>
    <w:rsid w:val="009D525A"/>
    <w:rsid w:val="009D7285"/>
    <w:rsid w:val="009D76D3"/>
    <w:rsid w:val="009D782A"/>
    <w:rsid w:val="009D7AC6"/>
    <w:rsid w:val="009E0157"/>
    <w:rsid w:val="009E054D"/>
    <w:rsid w:val="009E1F0A"/>
    <w:rsid w:val="009E4BC2"/>
    <w:rsid w:val="009E7FFE"/>
    <w:rsid w:val="009F0382"/>
    <w:rsid w:val="009F0C7E"/>
    <w:rsid w:val="009F3C3E"/>
    <w:rsid w:val="009F437B"/>
    <w:rsid w:val="009F55FB"/>
    <w:rsid w:val="009F5A81"/>
    <w:rsid w:val="009F6246"/>
    <w:rsid w:val="009F6A0A"/>
    <w:rsid w:val="009F6FC5"/>
    <w:rsid w:val="009F7B78"/>
    <w:rsid w:val="00A00870"/>
    <w:rsid w:val="00A01994"/>
    <w:rsid w:val="00A029D9"/>
    <w:rsid w:val="00A02DF4"/>
    <w:rsid w:val="00A038DC"/>
    <w:rsid w:val="00A04520"/>
    <w:rsid w:val="00A1173F"/>
    <w:rsid w:val="00A133B1"/>
    <w:rsid w:val="00A13C8F"/>
    <w:rsid w:val="00A13E1D"/>
    <w:rsid w:val="00A14010"/>
    <w:rsid w:val="00A148A1"/>
    <w:rsid w:val="00A15184"/>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713"/>
    <w:rsid w:val="00A33F93"/>
    <w:rsid w:val="00A35354"/>
    <w:rsid w:val="00A35C26"/>
    <w:rsid w:val="00A36C86"/>
    <w:rsid w:val="00A37330"/>
    <w:rsid w:val="00A37A44"/>
    <w:rsid w:val="00A41ABC"/>
    <w:rsid w:val="00A41C39"/>
    <w:rsid w:val="00A4269D"/>
    <w:rsid w:val="00A44834"/>
    <w:rsid w:val="00A45B8F"/>
    <w:rsid w:val="00A46A4C"/>
    <w:rsid w:val="00A46DB6"/>
    <w:rsid w:val="00A4715E"/>
    <w:rsid w:val="00A4743D"/>
    <w:rsid w:val="00A4770F"/>
    <w:rsid w:val="00A52547"/>
    <w:rsid w:val="00A52617"/>
    <w:rsid w:val="00A53201"/>
    <w:rsid w:val="00A549ED"/>
    <w:rsid w:val="00A54EFB"/>
    <w:rsid w:val="00A551AA"/>
    <w:rsid w:val="00A55E13"/>
    <w:rsid w:val="00A56081"/>
    <w:rsid w:val="00A56CCB"/>
    <w:rsid w:val="00A66E95"/>
    <w:rsid w:val="00A670F4"/>
    <w:rsid w:val="00A72ACB"/>
    <w:rsid w:val="00A7429B"/>
    <w:rsid w:val="00A7602C"/>
    <w:rsid w:val="00A76B70"/>
    <w:rsid w:val="00A774F1"/>
    <w:rsid w:val="00A80E39"/>
    <w:rsid w:val="00A80F08"/>
    <w:rsid w:val="00A8223B"/>
    <w:rsid w:val="00A82C59"/>
    <w:rsid w:val="00A82FCD"/>
    <w:rsid w:val="00A83A47"/>
    <w:rsid w:val="00A83AC1"/>
    <w:rsid w:val="00A83EA7"/>
    <w:rsid w:val="00A865DF"/>
    <w:rsid w:val="00A86B23"/>
    <w:rsid w:val="00A86E56"/>
    <w:rsid w:val="00A87DFD"/>
    <w:rsid w:val="00A91966"/>
    <w:rsid w:val="00A932C7"/>
    <w:rsid w:val="00A9347C"/>
    <w:rsid w:val="00A93B74"/>
    <w:rsid w:val="00A94003"/>
    <w:rsid w:val="00A945B1"/>
    <w:rsid w:val="00A94E44"/>
    <w:rsid w:val="00A96B61"/>
    <w:rsid w:val="00AA0583"/>
    <w:rsid w:val="00AA1AE0"/>
    <w:rsid w:val="00AA2245"/>
    <w:rsid w:val="00AA2B90"/>
    <w:rsid w:val="00AA4A40"/>
    <w:rsid w:val="00AA55ED"/>
    <w:rsid w:val="00AA6062"/>
    <w:rsid w:val="00AA64DE"/>
    <w:rsid w:val="00AA71B5"/>
    <w:rsid w:val="00AA7DF9"/>
    <w:rsid w:val="00AB109C"/>
    <w:rsid w:val="00AB2767"/>
    <w:rsid w:val="00AB35D1"/>
    <w:rsid w:val="00AB56E6"/>
    <w:rsid w:val="00AC03E6"/>
    <w:rsid w:val="00AC07A8"/>
    <w:rsid w:val="00AC14C9"/>
    <w:rsid w:val="00AC26E3"/>
    <w:rsid w:val="00AC52B9"/>
    <w:rsid w:val="00AC6F88"/>
    <w:rsid w:val="00AD224A"/>
    <w:rsid w:val="00AD3281"/>
    <w:rsid w:val="00AD336E"/>
    <w:rsid w:val="00AD3B92"/>
    <w:rsid w:val="00AD48EE"/>
    <w:rsid w:val="00AD4C35"/>
    <w:rsid w:val="00AD5083"/>
    <w:rsid w:val="00AD5091"/>
    <w:rsid w:val="00AE2A76"/>
    <w:rsid w:val="00AE5498"/>
    <w:rsid w:val="00AE6197"/>
    <w:rsid w:val="00AE7341"/>
    <w:rsid w:val="00AE73F6"/>
    <w:rsid w:val="00AF12C9"/>
    <w:rsid w:val="00AF1B74"/>
    <w:rsid w:val="00AF424C"/>
    <w:rsid w:val="00AF6C0F"/>
    <w:rsid w:val="00AF7261"/>
    <w:rsid w:val="00AF777E"/>
    <w:rsid w:val="00AF797B"/>
    <w:rsid w:val="00AF7A53"/>
    <w:rsid w:val="00AF7D21"/>
    <w:rsid w:val="00B00419"/>
    <w:rsid w:val="00B00AB1"/>
    <w:rsid w:val="00B042EA"/>
    <w:rsid w:val="00B04FE8"/>
    <w:rsid w:val="00B06721"/>
    <w:rsid w:val="00B103C5"/>
    <w:rsid w:val="00B133F5"/>
    <w:rsid w:val="00B144DA"/>
    <w:rsid w:val="00B146B4"/>
    <w:rsid w:val="00B15F8C"/>
    <w:rsid w:val="00B1740F"/>
    <w:rsid w:val="00B2293F"/>
    <w:rsid w:val="00B27CD2"/>
    <w:rsid w:val="00B3243D"/>
    <w:rsid w:val="00B32672"/>
    <w:rsid w:val="00B34B24"/>
    <w:rsid w:val="00B34F35"/>
    <w:rsid w:val="00B35A80"/>
    <w:rsid w:val="00B37571"/>
    <w:rsid w:val="00B406D5"/>
    <w:rsid w:val="00B40C3E"/>
    <w:rsid w:val="00B41DCF"/>
    <w:rsid w:val="00B437E7"/>
    <w:rsid w:val="00B47017"/>
    <w:rsid w:val="00B51362"/>
    <w:rsid w:val="00B5153C"/>
    <w:rsid w:val="00B52BA4"/>
    <w:rsid w:val="00B56081"/>
    <w:rsid w:val="00B561C6"/>
    <w:rsid w:val="00B5670A"/>
    <w:rsid w:val="00B577B5"/>
    <w:rsid w:val="00B5787B"/>
    <w:rsid w:val="00B57EF2"/>
    <w:rsid w:val="00B60F8D"/>
    <w:rsid w:val="00B62F13"/>
    <w:rsid w:val="00B63CEC"/>
    <w:rsid w:val="00B64662"/>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024D"/>
    <w:rsid w:val="00B9169C"/>
    <w:rsid w:val="00B93525"/>
    <w:rsid w:val="00B93B5E"/>
    <w:rsid w:val="00B949E6"/>
    <w:rsid w:val="00B94D48"/>
    <w:rsid w:val="00BA0EFA"/>
    <w:rsid w:val="00BA14F9"/>
    <w:rsid w:val="00BA1BAE"/>
    <w:rsid w:val="00BA26A8"/>
    <w:rsid w:val="00BA276F"/>
    <w:rsid w:val="00BA2E6A"/>
    <w:rsid w:val="00BA373C"/>
    <w:rsid w:val="00BA3AAE"/>
    <w:rsid w:val="00BA3B7B"/>
    <w:rsid w:val="00BA3E92"/>
    <w:rsid w:val="00BA730D"/>
    <w:rsid w:val="00BB23F2"/>
    <w:rsid w:val="00BB4308"/>
    <w:rsid w:val="00BB518C"/>
    <w:rsid w:val="00BB5854"/>
    <w:rsid w:val="00BB5A75"/>
    <w:rsid w:val="00BB6435"/>
    <w:rsid w:val="00BB6DAA"/>
    <w:rsid w:val="00BB70D6"/>
    <w:rsid w:val="00BB73C9"/>
    <w:rsid w:val="00BB7406"/>
    <w:rsid w:val="00BC4BFF"/>
    <w:rsid w:val="00BC56B1"/>
    <w:rsid w:val="00BC5719"/>
    <w:rsid w:val="00BC6BFC"/>
    <w:rsid w:val="00BC7121"/>
    <w:rsid w:val="00BC71D1"/>
    <w:rsid w:val="00BC7ED1"/>
    <w:rsid w:val="00BD151B"/>
    <w:rsid w:val="00BD1545"/>
    <w:rsid w:val="00BD4FC6"/>
    <w:rsid w:val="00BD5B7F"/>
    <w:rsid w:val="00BD7917"/>
    <w:rsid w:val="00BD7D43"/>
    <w:rsid w:val="00BE14CE"/>
    <w:rsid w:val="00BE1EFE"/>
    <w:rsid w:val="00BE23A5"/>
    <w:rsid w:val="00BE23A8"/>
    <w:rsid w:val="00BE304A"/>
    <w:rsid w:val="00BE3151"/>
    <w:rsid w:val="00BE3A87"/>
    <w:rsid w:val="00BE47B8"/>
    <w:rsid w:val="00BE4E97"/>
    <w:rsid w:val="00BE6899"/>
    <w:rsid w:val="00BE6911"/>
    <w:rsid w:val="00BE69F8"/>
    <w:rsid w:val="00BE7D71"/>
    <w:rsid w:val="00BF0566"/>
    <w:rsid w:val="00BF205F"/>
    <w:rsid w:val="00BF46A3"/>
    <w:rsid w:val="00BF550F"/>
    <w:rsid w:val="00BF5708"/>
    <w:rsid w:val="00BF7A70"/>
    <w:rsid w:val="00C02388"/>
    <w:rsid w:val="00C056D3"/>
    <w:rsid w:val="00C06C50"/>
    <w:rsid w:val="00C10C78"/>
    <w:rsid w:val="00C10D20"/>
    <w:rsid w:val="00C10E34"/>
    <w:rsid w:val="00C119C6"/>
    <w:rsid w:val="00C1405D"/>
    <w:rsid w:val="00C1516E"/>
    <w:rsid w:val="00C1535A"/>
    <w:rsid w:val="00C15681"/>
    <w:rsid w:val="00C15E8E"/>
    <w:rsid w:val="00C17166"/>
    <w:rsid w:val="00C17E34"/>
    <w:rsid w:val="00C2069A"/>
    <w:rsid w:val="00C21328"/>
    <w:rsid w:val="00C21DF5"/>
    <w:rsid w:val="00C21E5E"/>
    <w:rsid w:val="00C2267B"/>
    <w:rsid w:val="00C23353"/>
    <w:rsid w:val="00C307F5"/>
    <w:rsid w:val="00C31F5A"/>
    <w:rsid w:val="00C33232"/>
    <w:rsid w:val="00C3355B"/>
    <w:rsid w:val="00C339FC"/>
    <w:rsid w:val="00C34366"/>
    <w:rsid w:val="00C3465D"/>
    <w:rsid w:val="00C34F9E"/>
    <w:rsid w:val="00C362F3"/>
    <w:rsid w:val="00C365BD"/>
    <w:rsid w:val="00C41B0A"/>
    <w:rsid w:val="00C437C9"/>
    <w:rsid w:val="00C444B4"/>
    <w:rsid w:val="00C45063"/>
    <w:rsid w:val="00C458C6"/>
    <w:rsid w:val="00C46E15"/>
    <w:rsid w:val="00C47075"/>
    <w:rsid w:val="00C47183"/>
    <w:rsid w:val="00C50453"/>
    <w:rsid w:val="00C510CB"/>
    <w:rsid w:val="00C51B4C"/>
    <w:rsid w:val="00C53805"/>
    <w:rsid w:val="00C54C1C"/>
    <w:rsid w:val="00C551E5"/>
    <w:rsid w:val="00C553C1"/>
    <w:rsid w:val="00C55823"/>
    <w:rsid w:val="00C5592C"/>
    <w:rsid w:val="00C55F55"/>
    <w:rsid w:val="00C560E9"/>
    <w:rsid w:val="00C5625E"/>
    <w:rsid w:val="00C56E53"/>
    <w:rsid w:val="00C56EFE"/>
    <w:rsid w:val="00C57509"/>
    <w:rsid w:val="00C600D6"/>
    <w:rsid w:val="00C604C3"/>
    <w:rsid w:val="00C61DD4"/>
    <w:rsid w:val="00C622EE"/>
    <w:rsid w:val="00C6268C"/>
    <w:rsid w:val="00C63991"/>
    <w:rsid w:val="00C6452C"/>
    <w:rsid w:val="00C655EF"/>
    <w:rsid w:val="00C667DD"/>
    <w:rsid w:val="00C67005"/>
    <w:rsid w:val="00C71252"/>
    <w:rsid w:val="00C7137B"/>
    <w:rsid w:val="00C7473D"/>
    <w:rsid w:val="00C75BB1"/>
    <w:rsid w:val="00C766D5"/>
    <w:rsid w:val="00C770F3"/>
    <w:rsid w:val="00C77626"/>
    <w:rsid w:val="00C77E55"/>
    <w:rsid w:val="00C80A30"/>
    <w:rsid w:val="00C82182"/>
    <w:rsid w:val="00C825DE"/>
    <w:rsid w:val="00C82DCD"/>
    <w:rsid w:val="00C841D7"/>
    <w:rsid w:val="00C85D79"/>
    <w:rsid w:val="00C86273"/>
    <w:rsid w:val="00C86DF3"/>
    <w:rsid w:val="00C874E7"/>
    <w:rsid w:val="00C90122"/>
    <w:rsid w:val="00C910EE"/>
    <w:rsid w:val="00C91A73"/>
    <w:rsid w:val="00C92646"/>
    <w:rsid w:val="00C93A33"/>
    <w:rsid w:val="00C94178"/>
    <w:rsid w:val="00C96086"/>
    <w:rsid w:val="00CA3698"/>
    <w:rsid w:val="00CA372A"/>
    <w:rsid w:val="00CA7616"/>
    <w:rsid w:val="00CB18B2"/>
    <w:rsid w:val="00CB30C6"/>
    <w:rsid w:val="00CB5F93"/>
    <w:rsid w:val="00CB6EDF"/>
    <w:rsid w:val="00CC0F8A"/>
    <w:rsid w:val="00CC1493"/>
    <w:rsid w:val="00CC1692"/>
    <w:rsid w:val="00CC231D"/>
    <w:rsid w:val="00CC24D4"/>
    <w:rsid w:val="00CC2C35"/>
    <w:rsid w:val="00CC60B0"/>
    <w:rsid w:val="00CC68CA"/>
    <w:rsid w:val="00CD1489"/>
    <w:rsid w:val="00CD3399"/>
    <w:rsid w:val="00CD46B8"/>
    <w:rsid w:val="00CD5084"/>
    <w:rsid w:val="00CD5CE1"/>
    <w:rsid w:val="00CD64ED"/>
    <w:rsid w:val="00CD7B40"/>
    <w:rsid w:val="00CE3F44"/>
    <w:rsid w:val="00CE5036"/>
    <w:rsid w:val="00CE5A49"/>
    <w:rsid w:val="00CE5F5F"/>
    <w:rsid w:val="00CE63E3"/>
    <w:rsid w:val="00CE687D"/>
    <w:rsid w:val="00CF06A4"/>
    <w:rsid w:val="00CF0A11"/>
    <w:rsid w:val="00CF1951"/>
    <w:rsid w:val="00CF2164"/>
    <w:rsid w:val="00CF2BAE"/>
    <w:rsid w:val="00CF334C"/>
    <w:rsid w:val="00CF3DA6"/>
    <w:rsid w:val="00CF491E"/>
    <w:rsid w:val="00CF536F"/>
    <w:rsid w:val="00CF608A"/>
    <w:rsid w:val="00CF6763"/>
    <w:rsid w:val="00CF7BF4"/>
    <w:rsid w:val="00D00F18"/>
    <w:rsid w:val="00D00FF6"/>
    <w:rsid w:val="00D02596"/>
    <w:rsid w:val="00D03947"/>
    <w:rsid w:val="00D03A7D"/>
    <w:rsid w:val="00D04FD1"/>
    <w:rsid w:val="00D0605F"/>
    <w:rsid w:val="00D07A72"/>
    <w:rsid w:val="00D11871"/>
    <w:rsid w:val="00D127EC"/>
    <w:rsid w:val="00D12CDE"/>
    <w:rsid w:val="00D13441"/>
    <w:rsid w:val="00D13F6F"/>
    <w:rsid w:val="00D140CA"/>
    <w:rsid w:val="00D15283"/>
    <w:rsid w:val="00D16208"/>
    <w:rsid w:val="00D16ECA"/>
    <w:rsid w:val="00D21D10"/>
    <w:rsid w:val="00D222E8"/>
    <w:rsid w:val="00D22CED"/>
    <w:rsid w:val="00D23A7B"/>
    <w:rsid w:val="00D2444F"/>
    <w:rsid w:val="00D250D7"/>
    <w:rsid w:val="00D265DA"/>
    <w:rsid w:val="00D302C3"/>
    <w:rsid w:val="00D31644"/>
    <w:rsid w:val="00D355BA"/>
    <w:rsid w:val="00D36507"/>
    <w:rsid w:val="00D37339"/>
    <w:rsid w:val="00D376F7"/>
    <w:rsid w:val="00D37A78"/>
    <w:rsid w:val="00D4005A"/>
    <w:rsid w:val="00D404CC"/>
    <w:rsid w:val="00D414FA"/>
    <w:rsid w:val="00D429A6"/>
    <w:rsid w:val="00D43F68"/>
    <w:rsid w:val="00D4458B"/>
    <w:rsid w:val="00D4596F"/>
    <w:rsid w:val="00D45B5B"/>
    <w:rsid w:val="00D46FDA"/>
    <w:rsid w:val="00D501DF"/>
    <w:rsid w:val="00D50CB8"/>
    <w:rsid w:val="00D50E0E"/>
    <w:rsid w:val="00D51319"/>
    <w:rsid w:val="00D53E2A"/>
    <w:rsid w:val="00D54CD2"/>
    <w:rsid w:val="00D54F1E"/>
    <w:rsid w:val="00D566AE"/>
    <w:rsid w:val="00D6071B"/>
    <w:rsid w:val="00D650B0"/>
    <w:rsid w:val="00D658DC"/>
    <w:rsid w:val="00D67202"/>
    <w:rsid w:val="00D73A39"/>
    <w:rsid w:val="00D754D1"/>
    <w:rsid w:val="00D75B11"/>
    <w:rsid w:val="00D7636E"/>
    <w:rsid w:val="00D777C9"/>
    <w:rsid w:val="00D77DE3"/>
    <w:rsid w:val="00D82264"/>
    <w:rsid w:val="00D823DA"/>
    <w:rsid w:val="00D84559"/>
    <w:rsid w:val="00D87029"/>
    <w:rsid w:val="00D875C8"/>
    <w:rsid w:val="00D87E53"/>
    <w:rsid w:val="00D91580"/>
    <w:rsid w:val="00D91C88"/>
    <w:rsid w:val="00D9263A"/>
    <w:rsid w:val="00D941F9"/>
    <w:rsid w:val="00D948C6"/>
    <w:rsid w:val="00D95F4F"/>
    <w:rsid w:val="00DA105A"/>
    <w:rsid w:val="00DA17E6"/>
    <w:rsid w:val="00DA4C7E"/>
    <w:rsid w:val="00DA7A06"/>
    <w:rsid w:val="00DA7DCB"/>
    <w:rsid w:val="00DB066B"/>
    <w:rsid w:val="00DB07DF"/>
    <w:rsid w:val="00DB0B53"/>
    <w:rsid w:val="00DB2B75"/>
    <w:rsid w:val="00DB2D65"/>
    <w:rsid w:val="00DB3290"/>
    <w:rsid w:val="00DC08AE"/>
    <w:rsid w:val="00DC0F67"/>
    <w:rsid w:val="00DC1A7C"/>
    <w:rsid w:val="00DC2028"/>
    <w:rsid w:val="00DC241A"/>
    <w:rsid w:val="00DC2A45"/>
    <w:rsid w:val="00DC31D4"/>
    <w:rsid w:val="00DC3ECA"/>
    <w:rsid w:val="00DC45F9"/>
    <w:rsid w:val="00DC4E14"/>
    <w:rsid w:val="00DC517D"/>
    <w:rsid w:val="00DC549B"/>
    <w:rsid w:val="00DC67D3"/>
    <w:rsid w:val="00DD0E28"/>
    <w:rsid w:val="00DD10D7"/>
    <w:rsid w:val="00DD1128"/>
    <w:rsid w:val="00DD1A2D"/>
    <w:rsid w:val="00DD1EBC"/>
    <w:rsid w:val="00DD2707"/>
    <w:rsid w:val="00DD34B1"/>
    <w:rsid w:val="00DD3AEC"/>
    <w:rsid w:val="00DD5483"/>
    <w:rsid w:val="00DD6535"/>
    <w:rsid w:val="00DD6E3D"/>
    <w:rsid w:val="00DD7A97"/>
    <w:rsid w:val="00DE0A89"/>
    <w:rsid w:val="00DE3B09"/>
    <w:rsid w:val="00DE4867"/>
    <w:rsid w:val="00DE5941"/>
    <w:rsid w:val="00DE60AD"/>
    <w:rsid w:val="00DE7B72"/>
    <w:rsid w:val="00DF0484"/>
    <w:rsid w:val="00DF3C8D"/>
    <w:rsid w:val="00DF4ABC"/>
    <w:rsid w:val="00DF55CE"/>
    <w:rsid w:val="00DF5779"/>
    <w:rsid w:val="00DF72BD"/>
    <w:rsid w:val="00DF7482"/>
    <w:rsid w:val="00DF7907"/>
    <w:rsid w:val="00DF79C7"/>
    <w:rsid w:val="00DF7E2D"/>
    <w:rsid w:val="00E00263"/>
    <w:rsid w:val="00E01680"/>
    <w:rsid w:val="00E02031"/>
    <w:rsid w:val="00E02CD4"/>
    <w:rsid w:val="00E0308D"/>
    <w:rsid w:val="00E03120"/>
    <w:rsid w:val="00E036EF"/>
    <w:rsid w:val="00E0453B"/>
    <w:rsid w:val="00E117C8"/>
    <w:rsid w:val="00E11F0A"/>
    <w:rsid w:val="00E13802"/>
    <w:rsid w:val="00E14D0B"/>
    <w:rsid w:val="00E17705"/>
    <w:rsid w:val="00E2052A"/>
    <w:rsid w:val="00E21C77"/>
    <w:rsid w:val="00E22D5E"/>
    <w:rsid w:val="00E2305E"/>
    <w:rsid w:val="00E23659"/>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242C"/>
    <w:rsid w:val="00E4522D"/>
    <w:rsid w:val="00E4568D"/>
    <w:rsid w:val="00E46173"/>
    <w:rsid w:val="00E464E4"/>
    <w:rsid w:val="00E46C2B"/>
    <w:rsid w:val="00E51155"/>
    <w:rsid w:val="00E55323"/>
    <w:rsid w:val="00E56812"/>
    <w:rsid w:val="00E571A3"/>
    <w:rsid w:val="00E572B5"/>
    <w:rsid w:val="00E574A2"/>
    <w:rsid w:val="00E57BF7"/>
    <w:rsid w:val="00E605F7"/>
    <w:rsid w:val="00E61DD3"/>
    <w:rsid w:val="00E62605"/>
    <w:rsid w:val="00E635CA"/>
    <w:rsid w:val="00E63E07"/>
    <w:rsid w:val="00E64880"/>
    <w:rsid w:val="00E6536D"/>
    <w:rsid w:val="00E6643B"/>
    <w:rsid w:val="00E67AAC"/>
    <w:rsid w:val="00E701D5"/>
    <w:rsid w:val="00E720F3"/>
    <w:rsid w:val="00E72901"/>
    <w:rsid w:val="00E73509"/>
    <w:rsid w:val="00E74767"/>
    <w:rsid w:val="00E77165"/>
    <w:rsid w:val="00E802B7"/>
    <w:rsid w:val="00E8064F"/>
    <w:rsid w:val="00E80FBF"/>
    <w:rsid w:val="00E824F2"/>
    <w:rsid w:val="00E826E1"/>
    <w:rsid w:val="00E85E77"/>
    <w:rsid w:val="00E86578"/>
    <w:rsid w:val="00E86A08"/>
    <w:rsid w:val="00E8785C"/>
    <w:rsid w:val="00E87C51"/>
    <w:rsid w:val="00E900CD"/>
    <w:rsid w:val="00E91DE8"/>
    <w:rsid w:val="00E9218E"/>
    <w:rsid w:val="00E930C6"/>
    <w:rsid w:val="00E93C56"/>
    <w:rsid w:val="00E95A3B"/>
    <w:rsid w:val="00E96334"/>
    <w:rsid w:val="00E97515"/>
    <w:rsid w:val="00EA036E"/>
    <w:rsid w:val="00EA469C"/>
    <w:rsid w:val="00EA498D"/>
    <w:rsid w:val="00EA57B8"/>
    <w:rsid w:val="00EB0A3C"/>
    <w:rsid w:val="00EB4508"/>
    <w:rsid w:val="00EB79AD"/>
    <w:rsid w:val="00EC0F35"/>
    <w:rsid w:val="00EC0FBA"/>
    <w:rsid w:val="00EC4842"/>
    <w:rsid w:val="00EC56BA"/>
    <w:rsid w:val="00EC6CB4"/>
    <w:rsid w:val="00EC7616"/>
    <w:rsid w:val="00ED034A"/>
    <w:rsid w:val="00ED0EEB"/>
    <w:rsid w:val="00ED2A4B"/>
    <w:rsid w:val="00ED359A"/>
    <w:rsid w:val="00ED3EEE"/>
    <w:rsid w:val="00ED58BE"/>
    <w:rsid w:val="00ED68E4"/>
    <w:rsid w:val="00ED7744"/>
    <w:rsid w:val="00EE0EF0"/>
    <w:rsid w:val="00EE21B2"/>
    <w:rsid w:val="00EE3A4C"/>
    <w:rsid w:val="00EE3A55"/>
    <w:rsid w:val="00EE4300"/>
    <w:rsid w:val="00EE4FE2"/>
    <w:rsid w:val="00EE5112"/>
    <w:rsid w:val="00EE7A5F"/>
    <w:rsid w:val="00EE7E32"/>
    <w:rsid w:val="00EF0DBC"/>
    <w:rsid w:val="00EF0E24"/>
    <w:rsid w:val="00EF2D31"/>
    <w:rsid w:val="00EF3094"/>
    <w:rsid w:val="00EF33E7"/>
    <w:rsid w:val="00EF581B"/>
    <w:rsid w:val="00EF6712"/>
    <w:rsid w:val="00EF69AA"/>
    <w:rsid w:val="00EF72C5"/>
    <w:rsid w:val="00F002D8"/>
    <w:rsid w:val="00F00C6A"/>
    <w:rsid w:val="00F029EA"/>
    <w:rsid w:val="00F04810"/>
    <w:rsid w:val="00F05890"/>
    <w:rsid w:val="00F10B18"/>
    <w:rsid w:val="00F11097"/>
    <w:rsid w:val="00F1112F"/>
    <w:rsid w:val="00F118CF"/>
    <w:rsid w:val="00F12558"/>
    <w:rsid w:val="00F142C7"/>
    <w:rsid w:val="00F14430"/>
    <w:rsid w:val="00F158D4"/>
    <w:rsid w:val="00F1631B"/>
    <w:rsid w:val="00F2052C"/>
    <w:rsid w:val="00F2124E"/>
    <w:rsid w:val="00F23926"/>
    <w:rsid w:val="00F23F78"/>
    <w:rsid w:val="00F249DC"/>
    <w:rsid w:val="00F24C58"/>
    <w:rsid w:val="00F2549B"/>
    <w:rsid w:val="00F26264"/>
    <w:rsid w:val="00F31649"/>
    <w:rsid w:val="00F31AAD"/>
    <w:rsid w:val="00F32FD5"/>
    <w:rsid w:val="00F338D5"/>
    <w:rsid w:val="00F34FA5"/>
    <w:rsid w:val="00F359D2"/>
    <w:rsid w:val="00F37AD1"/>
    <w:rsid w:val="00F41D34"/>
    <w:rsid w:val="00F445DC"/>
    <w:rsid w:val="00F46341"/>
    <w:rsid w:val="00F466F2"/>
    <w:rsid w:val="00F472F5"/>
    <w:rsid w:val="00F50EB9"/>
    <w:rsid w:val="00F51AFB"/>
    <w:rsid w:val="00F52CA7"/>
    <w:rsid w:val="00F52D11"/>
    <w:rsid w:val="00F54DF4"/>
    <w:rsid w:val="00F54FE3"/>
    <w:rsid w:val="00F55021"/>
    <w:rsid w:val="00F57344"/>
    <w:rsid w:val="00F602B0"/>
    <w:rsid w:val="00F61FB2"/>
    <w:rsid w:val="00F62318"/>
    <w:rsid w:val="00F627BC"/>
    <w:rsid w:val="00F62C44"/>
    <w:rsid w:val="00F632D7"/>
    <w:rsid w:val="00F64964"/>
    <w:rsid w:val="00F64AE5"/>
    <w:rsid w:val="00F666D0"/>
    <w:rsid w:val="00F66943"/>
    <w:rsid w:val="00F670E2"/>
    <w:rsid w:val="00F675CA"/>
    <w:rsid w:val="00F7196D"/>
    <w:rsid w:val="00F72BFD"/>
    <w:rsid w:val="00F758C2"/>
    <w:rsid w:val="00F8106B"/>
    <w:rsid w:val="00F81789"/>
    <w:rsid w:val="00F81978"/>
    <w:rsid w:val="00F82C71"/>
    <w:rsid w:val="00F82ED9"/>
    <w:rsid w:val="00F830CF"/>
    <w:rsid w:val="00F833D0"/>
    <w:rsid w:val="00F85901"/>
    <w:rsid w:val="00F86749"/>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A6787"/>
    <w:rsid w:val="00FB17BA"/>
    <w:rsid w:val="00FB26A1"/>
    <w:rsid w:val="00FB3139"/>
    <w:rsid w:val="00FB4821"/>
    <w:rsid w:val="00FB6051"/>
    <w:rsid w:val="00FB7697"/>
    <w:rsid w:val="00FC041B"/>
    <w:rsid w:val="00FC0F18"/>
    <w:rsid w:val="00FC1463"/>
    <w:rsid w:val="00FC171A"/>
    <w:rsid w:val="00FC3488"/>
    <w:rsid w:val="00FC70E3"/>
    <w:rsid w:val="00FC71EB"/>
    <w:rsid w:val="00FD03E6"/>
    <w:rsid w:val="00FD0D9D"/>
    <w:rsid w:val="00FD10CF"/>
    <w:rsid w:val="00FD110E"/>
    <w:rsid w:val="00FD3386"/>
    <w:rsid w:val="00FD51E1"/>
    <w:rsid w:val="00FD6208"/>
    <w:rsid w:val="00FD6D11"/>
    <w:rsid w:val="00FE01B4"/>
    <w:rsid w:val="00FE08AF"/>
    <w:rsid w:val="00FE2FA3"/>
    <w:rsid w:val="00FE3FC9"/>
    <w:rsid w:val="00FE5EC9"/>
    <w:rsid w:val="00FE6249"/>
    <w:rsid w:val="00FE69FD"/>
    <w:rsid w:val="00FE706E"/>
    <w:rsid w:val="00FE7278"/>
    <w:rsid w:val="00FE74A7"/>
    <w:rsid w:val="00FF023A"/>
    <w:rsid w:val="00FF0C2C"/>
    <w:rsid w:val="00FF0CF3"/>
    <w:rsid w:val="00FF11F5"/>
    <w:rsid w:val="00FF2E38"/>
    <w:rsid w:val="00FF2E75"/>
    <w:rsid w:val="00FF318F"/>
    <w:rsid w:val="00FF4119"/>
    <w:rsid w:val="00FF4914"/>
    <w:rsid w:val="00FF4C8E"/>
    <w:rsid w:val="00FF5688"/>
    <w:rsid w:val="00FF75A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DEABF"/>
  <w15:docId w15:val="{07960FE9-E0E2-4BCA-BBD1-E8AB34B4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
    <w:basedOn w:val="a0"/>
    <w:link w:val="a5"/>
    <w:uiPriority w:val="99"/>
    <w:unhideWhenUsed/>
    <w:rsid w:val="00A251DD"/>
    <w:pPr>
      <w:spacing w:line="240" w:lineRule="auto"/>
    </w:pPr>
    <w:rPr>
      <w:sz w:val="20"/>
      <w:szCs w:val="20"/>
    </w:rPr>
  </w:style>
  <w:style w:type="character" w:customStyle="1" w:styleId="a5">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1"/>
    <w:link w:val="a4"/>
    <w:uiPriority w:val="99"/>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 w:type="character" w:customStyle="1" w:styleId="ui-provider">
    <w:name w:val="ui-provider"/>
    <w:basedOn w:val="a1"/>
    <w:rsid w:val="00E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324937829">
          <w:marLeft w:val="0"/>
          <w:marRight w:val="360"/>
          <w:marTop w:val="240"/>
          <w:marBottom w:val="0"/>
          <w:divBdr>
            <w:top w:val="none" w:sz="0" w:space="0" w:color="auto"/>
            <w:left w:val="none" w:sz="0" w:space="0" w:color="auto"/>
            <w:bottom w:val="none" w:sz="0" w:space="0" w:color="auto"/>
            <w:right w:val="none" w:sz="0" w:space="0" w:color="auto"/>
          </w:divBdr>
        </w:div>
        <w:div w:id="587084012">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323171424">
      <w:bodyDiv w:val="1"/>
      <w:marLeft w:val="0"/>
      <w:marRight w:val="0"/>
      <w:marTop w:val="0"/>
      <w:marBottom w:val="0"/>
      <w:divBdr>
        <w:top w:val="none" w:sz="0" w:space="0" w:color="auto"/>
        <w:left w:val="none" w:sz="0" w:space="0" w:color="auto"/>
        <w:bottom w:val="none" w:sz="0" w:space="0" w:color="auto"/>
        <w:right w:val="none" w:sz="0" w:space="0" w:color="auto"/>
      </w:divBdr>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498543810">
      <w:bodyDiv w:val="1"/>
      <w:marLeft w:val="0"/>
      <w:marRight w:val="0"/>
      <w:marTop w:val="0"/>
      <w:marBottom w:val="0"/>
      <w:divBdr>
        <w:top w:val="none" w:sz="0" w:space="0" w:color="auto"/>
        <w:left w:val="none" w:sz="0" w:space="0" w:color="auto"/>
        <w:bottom w:val="none" w:sz="0" w:space="0" w:color="auto"/>
        <w:right w:val="none" w:sz="0" w:space="0" w:color="auto"/>
      </w:divBdr>
    </w:div>
    <w:div w:id="518394452">
      <w:bodyDiv w:val="1"/>
      <w:marLeft w:val="0"/>
      <w:marRight w:val="0"/>
      <w:marTop w:val="0"/>
      <w:marBottom w:val="0"/>
      <w:divBdr>
        <w:top w:val="none" w:sz="0" w:space="0" w:color="auto"/>
        <w:left w:val="none" w:sz="0" w:space="0" w:color="auto"/>
        <w:bottom w:val="none" w:sz="0" w:space="0" w:color="auto"/>
        <w:right w:val="none" w:sz="0" w:space="0" w:color="auto"/>
      </w:divBdr>
    </w:div>
    <w:div w:id="57633189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136025683">
      <w:bodyDiv w:val="1"/>
      <w:marLeft w:val="0"/>
      <w:marRight w:val="0"/>
      <w:marTop w:val="0"/>
      <w:marBottom w:val="0"/>
      <w:divBdr>
        <w:top w:val="none" w:sz="0" w:space="0" w:color="auto"/>
        <w:left w:val="none" w:sz="0" w:space="0" w:color="auto"/>
        <w:bottom w:val="none" w:sz="0" w:space="0" w:color="auto"/>
        <w:right w:val="none" w:sz="0" w:space="0" w:color="auto"/>
      </w:divBdr>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351033415">
      <w:bodyDiv w:val="1"/>
      <w:marLeft w:val="0"/>
      <w:marRight w:val="0"/>
      <w:marTop w:val="0"/>
      <w:marBottom w:val="0"/>
      <w:divBdr>
        <w:top w:val="none" w:sz="0" w:space="0" w:color="auto"/>
        <w:left w:val="none" w:sz="0" w:space="0" w:color="auto"/>
        <w:bottom w:val="none" w:sz="0" w:space="0" w:color="auto"/>
        <w:right w:val="none" w:sz="0" w:space="0" w:color="auto"/>
      </w:divBdr>
    </w:div>
    <w:div w:id="1549761150">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9265836">
          <w:marLeft w:val="0"/>
          <w:marRight w:val="360"/>
          <w:marTop w:val="240"/>
          <w:marBottom w:val="0"/>
          <w:divBdr>
            <w:top w:val="none" w:sz="0" w:space="0" w:color="auto"/>
            <w:left w:val="none" w:sz="0" w:space="0" w:color="auto"/>
            <w:bottom w:val="none" w:sz="0" w:space="0" w:color="auto"/>
            <w:right w:val="none" w:sz="0" w:space="0" w:color="auto"/>
          </w:divBdr>
        </w:div>
        <w:div w:id="2061784408">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781798376">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5464625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image" Target="media/image5.png"/><Relationship Id="rId3" Type="http://schemas.openxmlformats.org/officeDocument/2006/relationships/hyperlink" Target="https://www.boi.org.il/" TargetMode="External"/><Relationship Id="rId7" Type="http://schemas.openxmlformats.org/officeDocument/2006/relationships/hyperlink" Target="https://did.li/spotify-third-side-of-coin" TargetMode="External"/><Relationship Id="rId12" Type="http://schemas.openxmlformats.org/officeDocument/2006/relationships/hyperlink" Target="https://www.youtube.com/user/thebankofisrael" TargetMode="External"/><Relationship Id="rId2" Type="http://schemas.openxmlformats.org/officeDocument/2006/relationships/hyperlink" Target="https://www.boi.org.il/" TargetMode="External"/><Relationship Id="rId1" Type="http://schemas.openxmlformats.org/officeDocument/2006/relationships/image" Target="media/image2.png"/><Relationship Id="rId6" Type="http://schemas.openxmlformats.org/officeDocument/2006/relationships/image" Target="media/image3.png"/><Relationship Id="rId11" Type="http://schemas.openxmlformats.org/officeDocument/2006/relationships/hyperlink" Target="https://www.youtube.com/user/thebankofisrael" TargetMode="External"/><Relationship Id="rId5" Type="http://schemas.openxmlformats.org/officeDocument/2006/relationships/hyperlink" Target="https://www.facebook.com/bankisraelvc" TargetMode="External"/><Relationship Id="rId10" Type="http://schemas.microsoft.com/office/2007/relationships/hdphoto" Target="media/hdphoto1.wdp"/><Relationship Id="rId4" Type="http://schemas.openxmlformats.org/officeDocument/2006/relationships/hyperlink" Target="https://www.facebook.com/bankisraelvc" TargetMode="External"/><Relationship Id="rId9" Type="http://schemas.openxmlformats.org/officeDocument/2006/relationships/image" Target="media/image4.png"/><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E6DA-A381-4C08-B3CA-FFA67526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9158</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חן ציון</dc:creator>
  <cp:keywords/>
  <dc:description/>
  <cp:lastModifiedBy>לירון דהן</cp:lastModifiedBy>
  <cp:revision>3</cp:revision>
  <dcterms:created xsi:type="dcterms:W3CDTF">2024-07-08T11:35:00Z</dcterms:created>
  <dcterms:modified xsi:type="dcterms:W3CDTF">2024-07-08T11:36:00Z</dcterms:modified>
</cp:coreProperties>
</file>