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071" w:type="dxa"/>
        <w:jc w:val="center"/>
        <w:tblLayout w:type="fixed"/>
        <w:tblLook w:val="0000" w:firstRow="0" w:lastRow="0" w:firstColumn="0" w:lastColumn="0" w:noHBand="0" w:noVBand="0"/>
      </w:tblPr>
      <w:tblGrid>
        <w:gridCol w:w="2840"/>
        <w:gridCol w:w="3184"/>
        <w:gridCol w:w="3047"/>
      </w:tblGrid>
      <w:tr w:rsidR="00DD5923" w:rsidRPr="00DB1CBC" w:rsidTr="0083753A">
        <w:trPr>
          <w:jc w:val="center"/>
        </w:trPr>
        <w:tc>
          <w:tcPr>
            <w:tcW w:w="2840" w:type="dxa"/>
            <w:tcBorders>
              <w:top w:val="nil"/>
              <w:left w:val="nil"/>
              <w:bottom w:val="nil"/>
              <w:right w:val="nil"/>
            </w:tcBorders>
            <w:vAlign w:val="center"/>
          </w:tcPr>
          <w:p w:rsidR="00DD5923" w:rsidRPr="00520BB4" w:rsidRDefault="00DD5923" w:rsidP="00BD5207">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BD5207">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3184" w:type="dxa"/>
            <w:tcBorders>
              <w:top w:val="nil"/>
              <w:left w:val="nil"/>
              <w:bottom w:val="nil"/>
              <w:right w:val="nil"/>
            </w:tcBorders>
          </w:tcPr>
          <w:p w:rsidR="00DD5923" w:rsidRDefault="0047627F" w:rsidP="00BD5207">
            <w:pPr>
              <w:bidi/>
              <w:jc w:val="center"/>
            </w:pPr>
            <w:r>
              <w:rPr>
                <w:rFonts w:cs="David"/>
                <w:noProof/>
                <w:lang w:eastAsia="en-US"/>
              </w:rPr>
              <w:drawing>
                <wp:inline distT="0" distB="0" distL="0" distR="0" wp14:anchorId="7D6F98F2" wp14:editId="3D4B778C">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47" w:type="dxa"/>
            <w:tcBorders>
              <w:top w:val="nil"/>
              <w:left w:val="nil"/>
              <w:bottom w:val="nil"/>
              <w:right w:val="nil"/>
            </w:tcBorders>
            <w:vAlign w:val="center"/>
          </w:tcPr>
          <w:p w:rsidR="00DD5923" w:rsidRDefault="00DD5923" w:rsidP="00FA2BB4">
            <w:pPr>
              <w:bidi/>
              <w:spacing w:line="480" w:lineRule="auto"/>
              <w:jc w:val="right"/>
              <w:rPr>
                <w:rFonts w:cs="David"/>
                <w:sz w:val="24"/>
                <w:szCs w:val="24"/>
              </w:rPr>
            </w:pPr>
            <w:r>
              <w:rPr>
                <w:rFonts w:cs="David" w:hint="eastAsia"/>
                <w:sz w:val="24"/>
                <w:szCs w:val="24"/>
                <w:rtl/>
              </w:rPr>
              <w:t>‏</w:t>
            </w:r>
            <w:r w:rsidR="00100FEE">
              <w:rPr>
                <w:rFonts w:cs="David" w:hint="cs"/>
                <w:sz w:val="24"/>
                <w:szCs w:val="24"/>
                <w:rtl/>
              </w:rPr>
              <w:t xml:space="preserve">ירושלים, </w:t>
            </w:r>
            <w:r w:rsidR="0030777A">
              <w:rPr>
                <w:rFonts w:cs="David" w:hint="cs"/>
                <w:sz w:val="24"/>
                <w:szCs w:val="24"/>
                <w:rtl/>
              </w:rPr>
              <w:t>ט"ז</w:t>
            </w:r>
            <w:bookmarkStart w:id="0" w:name="_GoBack"/>
            <w:bookmarkEnd w:id="0"/>
            <w:r w:rsidR="000A3EB8">
              <w:rPr>
                <w:rFonts w:cs="David" w:hint="cs"/>
                <w:sz w:val="24"/>
                <w:szCs w:val="24"/>
                <w:rtl/>
              </w:rPr>
              <w:t xml:space="preserve"> בתמוז</w:t>
            </w:r>
            <w:r w:rsidR="00441E07">
              <w:rPr>
                <w:rFonts w:cs="David" w:hint="cs"/>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30777A">
            <w:pPr>
              <w:bidi/>
              <w:spacing w:line="480" w:lineRule="auto"/>
              <w:jc w:val="right"/>
              <w:rPr>
                <w:rFonts w:cs="David"/>
                <w:sz w:val="24"/>
                <w:szCs w:val="24"/>
              </w:rPr>
            </w:pPr>
            <w:r>
              <w:rPr>
                <w:rFonts w:cs="David" w:hint="eastAsia"/>
                <w:sz w:val="24"/>
                <w:szCs w:val="24"/>
                <w:rtl/>
              </w:rPr>
              <w:t>‏‏</w:t>
            </w:r>
            <w:r w:rsidR="0030777A">
              <w:rPr>
                <w:rFonts w:cs="David" w:hint="cs"/>
                <w:sz w:val="24"/>
                <w:szCs w:val="24"/>
                <w:rtl/>
              </w:rPr>
              <w:t>14</w:t>
            </w:r>
            <w:r w:rsidR="00100FEE">
              <w:rPr>
                <w:rFonts w:cs="David" w:hint="cs"/>
                <w:sz w:val="24"/>
                <w:szCs w:val="24"/>
                <w:rtl/>
              </w:rPr>
              <w:t xml:space="preserve"> ביולי</w:t>
            </w:r>
            <w:r w:rsidR="00D81EC3">
              <w:rPr>
                <w:rFonts w:cs="David" w:hint="cs"/>
                <w:sz w:val="24"/>
                <w:szCs w:val="24"/>
                <w:rtl/>
              </w:rPr>
              <w:t xml:space="preserve"> 2014</w:t>
            </w:r>
          </w:p>
        </w:tc>
      </w:tr>
    </w:tbl>
    <w:p w:rsidR="00FE034E" w:rsidRDefault="00FE034E" w:rsidP="00BD5207">
      <w:pPr>
        <w:bidi/>
        <w:rPr>
          <w:rtl/>
        </w:rPr>
      </w:pPr>
    </w:p>
    <w:p w:rsidR="00FE0338" w:rsidRDefault="00FE0338" w:rsidP="00FE0338">
      <w:pPr>
        <w:bidi/>
        <w:spacing w:line="360" w:lineRule="auto"/>
        <w:ind w:left="-942" w:right="-101"/>
        <w:rPr>
          <w:rFonts w:cs="David"/>
          <w:sz w:val="24"/>
          <w:szCs w:val="24"/>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036E25" w:rsidRDefault="00036E25" w:rsidP="00036E25">
      <w:pPr>
        <w:bidi/>
        <w:spacing w:line="360" w:lineRule="auto"/>
        <w:jc w:val="center"/>
        <w:rPr>
          <w:rFonts w:cs="David"/>
          <w:b/>
          <w:bCs/>
          <w:sz w:val="26"/>
          <w:szCs w:val="26"/>
          <w:u w:val="single"/>
          <w:rtl/>
        </w:rPr>
      </w:pPr>
    </w:p>
    <w:p w:rsidR="00036E25" w:rsidRPr="00A05A2B" w:rsidRDefault="00036E25" w:rsidP="00036E25">
      <w:pPr>
        <w:bidi/>
        <w:spacing w:line="360" w:lineRule="auto"/>
        <w:jc w:val="center"/>
        <w:rPr>
          <w:rFonts w:cs="David"/>
          <w:b/>
          <w:bCs/>
          <w:sz w:val="28"/>
          <w:szCs w:val="28"/>
          <w:u w:val="single"/>
          <w:rtl/>
        </w:rPr>
      </w:pPr>
      <w:r w:rsidRPr="00A05A2B">
        <w:rPr>
          <w:rFonts w:cs="David" w:hint="cs"/>
          <w:b/>
          <w:bCs/>
          <w:sz w:val="28"/>
          <w:szCs w:val="28"/>
          <w:u w:val="single"/>
          <w:rtl/>
        </w:rPr>
        <w:t xml:space="preserve">בנק ישראל החל לפרסם דוח תקופתי על היציבות הפיננסית </w:t>
      </w:r>
    </w:p>
    <w:p w:rsidR="00036E25" w:rsidRPr="00036E25" w:rsidRDefault="00036E25" w:rsidP="00036E25">
      <w:pPr>
        <w:bidi/>
        <w:spacing w:line="360" w:lineRule="auto"/>
        <w:jc w:val="center"/>
        <w:rPr>
          <w:rFonts w:cs="David"/>
          <w:b/>
          <w:bCs/>
          <w:sz w:val="24"/>
          <w:szCs w:val="24"/>
          <w:rtl/>
        </w:rPr>
      </w:pPr>
    </w:p>
    <w:p w:rsidR="00036E25" w:rsidRPr="00036E25" w:rsidRDefault="00036E25" w:rsidP="00036E25">
      <w:pPr>
        <w:bidi/>
        <w:spacing w:line="360" w:lineRule="auto"/>
        <w:jc w:val="both"/>
        <w:rPr>
          <w:rFonts w:cs="David"/>
          <w:sz w:val="24"/>
          <w:szCs w:val="24"/>
          <w:rtl/>
        </w:rPr>
      </w:pPr>
      <w:r w:rsidRPr="00036E25">
        <w:rPr>
          <w:rFonts w:cs="David" w:hint="cs"/>
          <w:sz w:val="24"/>
          <w:szCs w:val="24"/>
          <w:rtl/>
        </w:rPr>
        <w:t xml:space="preserve">בנק ישראל החליט לפרסם דוח תקופתי על יציבותה של המערכת הפיננסית המקומית, כמקובל בבנקים המרכזיים של המדינות המפותחות. החלטה זו מעוגנת בהגדרת התפקיד של בנק ישראל על פי חוק בנק ישראל, התש"ע-2010. הניתוח בדוח זה מתייחס לאירועים שהתרחשו עד סוף יוני 2014.  </w:t>
      </w:r>
    </w:p>
    <w:p w:rsidR="00036E25" w:rsidRPr="00036E25" w:rsidRDefault="00036E25" w:rsidP="00036E25">
      <w:pPr>
        <w:bidi/>
        <w:spacing w:line="360" w:lineRule="auto"/>
        <w:jc w:val="both"/>
        <w:rPr>
          <w:rFonts w:cs="David"/>
          <w:sz w:val="24"/>
          <w:szCs w:val="24"/>
          <w:rtl/>
        </w:rPr>
      </w:pPr>
    </w:p>
    <w:p w:rsidR="00036E25" w:rsidRPr="00036E25" w:rsidRDefault="00036E25" w:rsidP="00036E25">
      <w:pPr>
        <w:bidi/>
        <w:spacing w:line="360" w:lineRule="auto"/>
        <w:jc w:val="both"/>
        <w:rPr>
          <w:rFonts w:cs="David"/>
          <w:sz w:val="24"/>
          <w:szCs w:val="24"/>
          <w:rtl/>
        </w:rPr>
      </w:pPr>
      <w:r w:rsidRPr="00036E25">
        <w:rPr>
          <w:rFonts w:cs="David" w:hint="cs"/>
          <w:sz w:val="24"/>
          <w:szCs w:val="24"/>
          <w:rtl/>
        </w:rPr>
        <w:t xml:space="preserve">המערכת הפיננסית המקומית הפגינה עמידות מרשימה הן בתקופת המשבר הפיננסי העולמי של 2008 והן לאחריו. אולם בדומה למדינות אחרות בעולם, גם בישראל יש צורך לזהות ולהעריך את הסיכונים המערכתיים הנשקפים למערכת הפיננסית ולהתריע מפניהם, ודוח היציבות נועד לשרת מטרה זו. </w:t>
      </w:r>
    </w:p>
    <w:p w:rsidR="00036E25" w:rsidRPr="00036E25" w:rsidRDefault="00036E25" w:rsidP="00036E25">
      <w:pPr>
        <w:bidi/>
        <w:spacing w:line="360" w:lineRule="auto"/>
        <w:jc w:val="both"/>
        <w:rPr>
          <w:rFonts w:cs="David"/>
          <w:sz w:val="24"/>
          <w:szCs w:val="24"/>
          <w:rtl/>
        </w:rPr>
      </w:pPr>
    </w:p>
    <w:p w:rsidR="00036E25" w:rsidRPr="00036E25" w:rsidRDefault="00036E25" w:rsidP="00036E25">
      <w:pPr>
        <w:bidi/>
        <w:spacing w:line="360" w:lineRule="auto"/>
        <w:jc w:val="both"/>
        <w:rPr>
          <w:rFonts w:cs="David"/>
          <w:sz w:val="24"/>
          <w:szCs w:val="24"/>
        </w:rPr>
      </w:pPr>
      <w:r w:rsidRPr="00036E25">
        <w:rPr>
          <w:rFonts w:cs="David" w:hint="cs"/>
          <w:sz w:val="24"/>
          <w:szCs w:val="24"/>
          <w:rtl/>
        </w:rPr>
        <w:t xml:space="preserve">ההתמקדות בסיכונים המערכתיים המתפתחים במערכת הפיננסית – כלומר הסיכונים שגלום בהם פוטנציאל להשפיע באופן משמעותי על הפעילות הריאלית – מבטאת את אחד הלקחים העיקריים שהופקו בעולם מהמשבר של 2008, היות שמשבר זה הדגיש עד כמה חשוב לחזק את עמידותה של המערכת הפיננסית בפני זעזועים ולמתן את השפעתם של הזעזועים בה על הפעילות הכלכלית. </w:t>
      </w:r>
    </w:p>
    <w:p w:rsidR="00036E25" w:rsidRPr="00036E25" w:rsidRDefault="00036E25" w:rsidP="00036E25">
      <w:pPr>
        <w:bidi/>
        <w:spacing w:line="360" w:lineRule="auto"/>
        <w:jc w:val="both"/>
        <w:rPr>
          <w:rFonts w:cs="David"/>
          <w:sz w:val="24"/>
          <w:szCs w:val="24"/>
          <w:rtl/>
        </w:rPr>
      </w:pPr>
    </w:p>
    <w:p w:rsidR="00036E25" w:rsidRPr="00036E25" w:rsidRDefault="00036E25" w:rsidP="00036E25">
      <w:pPr>
        <w:bidi/>
        <w:spacing w:line="360" w:lineRule="auto"/>
        <w:jc w:val="both"/>
        <w:rPr>
          <w:rFonts w:cs="David"/>
          <w:sz w:val="24"/>
          <w:szCs w:val="24"/>
          <w:rtl/>
        </w:rPr>
      </w:pPr>
      <w:r w:rsidRPr="00036E25">
        <w:rPr>
          <w:rFonts w:cs="David" w:hint="cs"/>
          <w:sz w:val="24"/>
          <w:szCs w:val="24"/>
          <w:rtl/>
        </w:rPr>
        <w:t xml:space="preserve">גם במשק הישראלי נערכו בעקבות המשבר כמה שינויים במטרה לזהות סיכונים מערכתיים במערכת הפיננסית וכך לשפר את היכולת להתמודד עמם במקרה הצורך: הרשויות המפקחות על המערכת הפיננסית הידקו את שיתוף הפעולה ביניהן; הוגבר השימוש בכלים מקרו-יציבותיים לזיהוי סיכונים מערכתיים ולטיפול בהם; המפקח על הבנקים הקדים להפעיל כלי מדיניות כדי להפחית את חשיפתם של הבנקים לעלייה המהירה בהיקף המשכנתאות, ולצד זאת השתמש במבחני קיצון לבנקים כדי להעריך את מוקדי הסיכון במערכת הבנקאית. המשך הגברת התיאום בין כל הרגולטורים האחראים על תפקודה של המערכת הפיננסית נחוץ לצורך יישום מדיניות מקרו-יציבותית אפקטיבית, ולכך עשויה לתרום הקמת ועדה משותפת ליציבות פיננסית, כפי שהמליצה קרן המטבע הבין-לאומית.  </w:t>
      </w:r>
    </w:p>
    <w:p w:rsidR="00036E25" w:rsidRPr="00036E25" w:rsidRDefault="00036E25" w:rsidP="00036E25">
      <w:pPr>
        <w:bidi/>
        <w:spacing w:line="360" w:lineRule="auto"/>
        <w:jc w:val="both"/>
        <w:rPr>
          <w:rFonts w:cs="David"/>
          <w:sz w:val="24"/>
          <w:szCs w:val="24"/>
          <w:rtl/>
        </w:rPr>
      </w:pPr>
    </w:p>
    <w:p w:rsidR="00036E25" w:rsidRPr="00036E25" w:rsidRDefault="00036E25" w:rsidP="00036E25">
      <w:pPr>
        <w:bidi/>
        <w:spacing w:line="360" w:lineRule="auto"/>
        <w:jc w:val="both"/>
        <w:rPr>
          <w:rFonts w:cs="David"/>
          <w:sz w:val="24"/>
          <w:szCs w:val="24"/>
          <w:rtl/>
        </w:rPr>
      </w:pPr>
      <w:r w:rsidRPr="00036E25">
        <w:rPr>
          <w:rFonts w:cs="David" w:hint="cs"/>
          <w:sz w:val="24"/>
          <w:szCs w:val="24"/>
          <w:rtl/>
        </w:rPr>
        <w:t>הדוח המתפרסם עתה כולל תיאור של הסיכונים העיקריים שבנק ישראל זיהה במערכת הפיננסית. יש בו סקירה של הסיכונים ברכיביה השונים של המערכת הפיננסית – הבנקים, חברות הביטוח, הגופים המוסדיים, השווקים הפיננסיים, ומערכות התשלומים והסליקה – וכן ארבע תיבות שעוסקות במגזר משקי הבית, במגזר העסקי, בהלוואות הישירות שמעמידים הגופים המוסדיים, ובשוק תעודות הסל.</w:t>
      </w:r>
    </w:p>
    <w:p w:rsidR="00A05A2B" w:rsidRDefault="00A05A2B">
      <w:pPr>
        <w:spacing w:after="200" w:line="276" w:lineRule="auto"/>
        <w:rPr>
          <w:rFonts w:cs="David"/>
          <w:sz w:val="24"/>
          <w:szCs w:val="24"/>
          <w:rtl/>
        </w:rPr>
      </w:pPr>
      <w:r>
        <w:rPr>
          <w:rFonts w:cs="David"/>
          <w:sz w:val="24"/>
          <w:szCs w:val="24"/>
          <w:rtl/>
        </w:rPr>
        <w:br w:type="page"/>
      </w:r>
    </w:p>
    <w:p w:rsidR="00036E25" w:rsidRPr="00036E25" w:rsidRDefault="00036E25" w:rsidP="00036E25">
      <w:pPr>
        <w:bidi/>
        <w:spacing w:line="360" w:lineRule="auto"/>
        <w:jc w:val="both"/>
        <w:rPr>
          <w:rFonts w:cs="David"/>
          <w:sz w:val="24"/>
          <w:szCs w:val="24"/>
          <w:rtl/>
        </w:rPr>
      </w:pPr>
    </w:p>
    <w:p w:rsidR="00036E25" w:rsidRPr="00036E25" w:rsidRDefault="00036E25" w:rsidP="00036E25">
      <w:pPr>
        <w:bidi/>
        <w:spacing w:line="360" w:lineRule="auto"/>
        <w:jc w:val="both"/>
        <w:rPr>
          <w:rFonts w:cs="David"/>
          <w:sz w:val="24"/>
          <w:szCs w:val="24"/>
          <w:rtl/>
        </w:rPr>
      </w:pPr>
      <w:r w:rsidRPr="00036E25">
        <w:rPr>
          <w:rFonts w:cs="David" w:hint="cs"/>
          <w:sz w:val="24"/>
          <w:szCs w:val="24"/>
          <w:rtl/>
        </w:rPr>
        <w:t xml:space="preserve">הדוח מצביע על כך שהמערכת הפיננסית המקומית המשיכה להפגין יציבות גם בחודשים האחרונים, בסביבה גלובלית מאתגרת ולנוכח שיעורי ריבית נמוכים בארץ ובחו"ל, והוא מתריע מפני שני סיכונים עיקריים: </w:t>
      </w:r>
    </w:p>
    <w:p w:rsidR="00036E25" w:rsidRPr="00036E25" w:rsidRDefault="00036E25" w:rsidP="00036E25">
      <w:pPr>
        <w:bidi/>
        <w:spacing w:line="360" w:lineRule="auto"/>
        <w:jc w:val="both"/>
        <w:rPr>
          <w:rFonts w:cs="David"/>
          <w:sz w:val="24"/>
          <w:szCs w:val="24"/>
          <w:rtl/>
        </w:rPr>
      </w:pPr>
    </w:p>
    <w:p w:rsidR="00036E25" w:rsidRPr="00036E25" w:rsidRDefault="00036E25" w:rsidP="00036E25">
      <w:pPr>
        <w:pStyle w:val="aa"/>
        <w:numPr>
          <w:ilvl w:val="0"/>
          <w:numId w:val="2"/>
        </w:numPr>
        <w:spacing w:line="360" w:lineRule="auto"/>
        <w:jc w:val="both"/>
        <w:rPr>
          <w:rtl/>
        </w:rPr>
      </w:pPr>
      <w:r w:rsidRPr="00036E25">
        <w:rPr>
          <w:rFonts w:hint="cs"/>
          <w:rtl/>
        </w:rPr>
        <w:t xml:space="preserve">על רקע החשיפה הגבוהה של הבנקים לענף הבינוי והנדל"ן ולמשכנתאות, ועל רקע חלקו המרכזי של הדיור בתיק הנכסים של משקי הבית, הסיכון המרכזי שהמערכת הפיננסית חשופה אליו נובע מהאפשרות שיתרחש זעזוע מקומי ו/ או חיצוני שיוביל לעליית ריביות חדה ו/ או למיתון ופגיעה בהכנסות הלווים וילוּוה בתפנית חדה בשוק הדיור. בתרחיש כזה תיווצר הכבדה בנטל ההחזר שמוטל על משקי הבית,  ירידה באיכות הלווים ופגיעה ביחסי ההון של הבנקים וברווחיותם. תרחיש כזה צפוי להשפיע גם על הקבלנים ולפגוע עוד יותר בתוצאות הכספיות של הבנקים. </w:t>
      </w:r>
    </w:p>
    <w:p w:rsidR="00036E25" w:rsidRPr="00036E25" w:rsidRDefault="00036E25" w:rsidP="00036E25">
      <w:pPr>
        <w:bidi/>
        <w:spacing w:line="360" w:lineRule="auto"/>
        <w:jc w:val="both"/>
        <w:rPr>
          <w:rFonts w:cs="David"/>
          <w:sz w:val="24"/>
          <w:szCs w:val="24"/>
          <w:rtl/>
        </w:rPr>
      </w:pPr>
    </w:p>
    <w:p w:rsidR="00036E25" w:rsidRPr="00036E25" w:rsidRDefault="00036E25" w:rsidP="00036E25">
      <w:pPr>
        <w:pStyle w:val="aa"/>
        <w:numPr>
          <w:ilvl w:val="0"/>
          <w:numId w:val="2"/>
        </w:numPr>
        <w:spacing w:line="360" w:lineRule="auto"/>
        <w:jc w:val="both"/>
        <w:rPr>
          <w:rtl/>
        </w:rPr>
      </w:pPr>
      <w:r w:rsidRPr="00036E25">
        <w:rPr>
          <w:rFonts w:hint="cs"/>
          <w:rtl/>
        </w:rPr>
        <w:t>הסיכון הנוסף שהמערכת הפיננסית חשופה אליו, על פי הדוח, נוגע לתמחור חסר של סיכונים בשוק אג"ח החברות. סיכון זה עלול לפגוע בתהליך הקצאת המקורות במשק, ובמקרה של תפנית חדה בשווקים – הוא עלול לפגוע בחוסכים באפיק החיסכון הפנסיוני, בבנקים החשופים לאותן חברות שהנפיקו אג"ח, ובהיצע האשראי בשוק החוץ בנקאי.</w:t>
      </w:r>
    </w:p>
    <w:p w:rsidR="00036E25" w:rsidRPr="00036E25" w:rsidRDefault="00036E25" w:rsidP="00036E25">
      <w:pPr>
        <w:bidi/>
        <w:rPr>
          <w:rFonts w:cs="David"/>
          <w:sz w:val="24"/>
          <w:szCs w:val="24"/>
          <w:rtl/>
        </w:rPr>
      </w:pPr>
    </w:p>
    <w:p w:rsidR="00036E25" w:rsidRPr="00E361B9" w:rsidRDefault="00036E25" w:rsidP="00036E25">
      <w:pPr>
        <w:bidi/>
        <w:spacing w:line="360" w:lineRule="auto"/>
        <w:ind w:right="-101"/>
        <w:rPr>
          <w:rFonts w:cs="David"/>
          <w:sz w:val="24"/>
          <w:szCs w:val="24"/>
        </w:rPr>
      </w:pPr>
    </w:p>
    <w:sectPr w:rsidR="00036E25" w:rsidRPr="00E361B9" w:rsidSect="00A05A2B">
      <w:headerReference w:type="even" r:id="rId9"/>
      <w:headerReference w:type="default" r:id="rId10"/>
      <w:footerReference w:type="even" r:id="rId11"/>
      <w:footerReference w:type="default" r:id="rId12"/>
      <w:headerReference w:type="first" r:id="rId13"/>
      <w:footerReference w:type="first" r:id="rId14"/>
      <w:pgSz w:w="11906" w:h="16838"/>
      <w:pgMar w:top="1440" w:right="1558" w:bottom="1440" w:left="1701" w:header="709" w:footer="5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43" w:rsidRDefault="00902F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lang w:val="he-IL"/>
      </w:rPr>
      <w:id w:val="-1817257504"/>
      <w:docPartObj>
        <w:docPartGallery w:val="Page Numbers (Bottom of Page)"/>
        <w:docPartUnique/>
      </w:docPartObj>
    </w:sdtPr>
    <w:sdtEndPr>
      <w:rPr>
        <w:cs/>
        <w:lang w:val="en-US"/>
      </w:rPr>
    </w:sdtEndPr>
    <w:sdtContent>
      <w:sdt>
        <w:sdtPr>
          <w:rPr>
            <w:rFonts w:cs="David"/>
            <w:sz w:val="18"/>
            <w:szCs w:val="18"/>
            <w:rtl/>
            <w:lang w:val="he-IL"/>
          </w:rPr>
          <w:id w:val="860082579"/>
          <w:docPartObj>
            <w:docPartGallery w:val="Page Numbers (Top of Page)"/>
            <w:docPartUnique/>
          </w:docPartObj>
        </w:sdtPr>
        <w:sdtEndPr>
          <w:rPr>
            <w:lang w:val="en-US"/>
          </w:rPr>
        </w:sdtEndPr>
        <w:sdtContent>
          <w:p w:rsidR="00301815" w:rsidRPr="00301815" w:rsidRDefault="00301815" w:rsidP="00A05A2B">
            <w:pPr>
              <w:bidi/>
              <w:spacing w:line="360" w:lineRule="auto"/>
              <w:ind w:right="-284"/>
              <w:rPr>
                <w:rFonts w:cs="David"/>
                <w:sz w:val="18"/>
                <w:szCs w:val="18"/>
                <w:rtl/>
                <w:cs/>
              </w:rPr>
            </w:pPr>
            <w:r>
              <w:rPr>
                <w:rFonts w:cs="David" w:hint="cs"/>
                <w:sz w:val="18"/>
                <w:szCs w:val="18"/>
                <w:rtl/>
                <w:lang w:val="he-IL"/>
              </w:rPr>
              <w:t xml:space="preserve">בנק ישראל - </w:t>
            </w:r>
            <w:r w:rsidR="00A05A2B" w:rsidRPr="00A05A2B">
              <w:rPr>
                <w:rFonts w:cs="David" w:hint="cs"/>
                <w:sz w:val="18"/>
                <w:szCs w:val="18"/>
                <w:rtl/>
                <w:lang w:val="he-IL"/>
              </w:rPr>
              <w:t xml:space="preserve">בנק ישראל החל לפרסם דוח תקופתי על היציבות הפיננסית </w:t>
            </w:r>
            <w:r w:rsidR="00A05A2B">
              <w:rPr>
                <w:rFonts w:cs="David" w:hint="cs"/>
                <w:sz w:val="18"/>
                <w:szCs w:val="18"/>
                <w:rtl/>
                <w:lang w:val="he-IL"/>
              </w:rPr>
              <w:t>(יולי 2014)</w:t>
            </w:r>
            <w:r w:rsidR="00A05A2B">
              <w:rPr>
                <w:rFonts w:cs="David" w:hint="cs"/>
                <w:sz w:val="18"/>
                <w:szCs w:val="18"/>
                <w:rtl/>
                <w:lang w:val="he-IL"/>
              </w:rPr>
              <w:tab/>
            </w:r>
            <w:r>
              <w:rPr>
                <w:rFonts w:cs="David" w:hint="cs"/>
                <w:sz w:val="18"/>
                <w:szCs w:val="18"/>
                <w:rtl/>
                <w:lang w:val="he-IL"/>
              </w:rPr>
              <w:tab/>
            </w:r>
            <w:r>
              <w:rPr>
                <w:rFonts w:cs="David"/>
                <w:sz w:val="18"/>
                <w:szCs w:val="18"/>
                <w:rtl/>
                <w:lang w:val="he-IL"/>
              </w:rPr>
              <w:tab/>
            </w:r>
            <w:r>
              <w:rPr>
                <w:rFonts w:cs="David"/>
                <w:sz w:val="18"/>
                <w:szCs w:val="18"/>
                <w:rtl/>
                <w:lang w:val="he-IL"/>
              </w:rPr>
              <w:tab/>
            </w:r>
            <w:r w:rsidRPr="00301815">
              <w:rPr>
                <w:rFonts w:cs="David"/>
                <w:sz w:val="18"/>
                <w:szCs w:val="18"/>
                <w:rtl/>
                <w:cs/>
                <w:lang w:val="he-IL"/>
              </w:rPr>
              <w:t xml:space="preserve">עמוד </w:t>
            </w:r>
            <w:r w:rsidRPr="00301815">
              <w:rPr>
                <w:rFonts w:cs="David"/>
                <w:b/>
                <w:bCs/>
                <w:sz w:val="18"/>
                <w:szCs w:val="18"/>
              </w:rPr>
              <w:fldChar w:fldCharType="begin"/>
            </w:r>
            <w:r w:rsidRPr="00301815">
              <w:rPr>
                <w:rFonts w:cs="David"/>
                <w:b/>
                <w:bCs/>
                <w:sz w:val="18"/>
                <w:szCs w:val="18"/>
                <w:rtl/>
                <w:cs/>
              </w:rPr>
              <w:instrText>PAGE</w:instrText>
            </w:r>
            <w:r w:rsidRPr="00301815">
              <w:rPr>
                <w:rFonts w:cs="David"/>
                <w:b/>
                <w:bCs/>
                <w:sz w:val="18"/>
                <w:szCs w:val="18"/>
              </w:rPr>
              <w:fldChar w:fldCharType="separate"/>
            </w:r>
            <w:r w:rsidR="0030777A">
              <w:rPr>
                <w:rFonts w:cs="David"/>
                <w:b/>
                <w:bCs/>
                <w:noProof/>
                <w:sz w:val="18"/>
                <w:szCs w:val="18"/>
                <w:rtl/>
              </w:rPr>
              <w:t>1</w:t>
            </w:r>
            <w:r w:rsidRPr="00301815">
              <w:rPr>
                <w:rFonts w:cs="David"/>
                <w:b/>
                <w:bCs/>
                <w:sz w:val="18"/>
                <w:szCs w:val="18"/>
              </w:rPr>
              <w:fldChar w:fldCharType="end"/>
            </w:r>
            <w:r w:rsidRPr="00301815">
              <w:rPr>
                <w:rFonts w:cs="David"/>
                <w:sz w:val="18"/>
                <w:szCs w:val="18"/>
                <w:rtl/>
                <w:cs/>
                <w:lang w:val="he-IL"/>
              </w:rPr>
              <w:t xml:space="preserve"> מתוך </w:t>
            </w:r>
            <w:r w:rsidRPr="00301815">
              <w:rPr>
                <w:rFonts w:cs="David"/>
                <w:b/>
                <w:bCs/>
                <w:sz w:val="18"/>
                <w:szCs w:val="18"/>
              </w:rPr>
              <w:fldChar w:fldCharType="begin"/>
            </w:r>
            <w:r w:rsidRPr="00301815">
              <w:rPr>
                <w:rFonts w:cs="David"/>
                <w:b/>
                <w:bCs/>
                <w:sz w:val="18"/>
                <w:szCs w:val="18"/>
                <w:rtl/>
                <w:cs/>
              </w:rPr>
              <w:instrText>NUMPAGES</w:instrText>
            </w:r>
            <w:r w:rsidRPr="00301815">
              <w:rPr>
                <w:rFonts w:cs="David"/>
                <w:b/>
                <w:bCs/>
                <w:sz w:val="18"/>
                <w:szCs w:val="18"/>
              </w:rPr>
              <w:fldChar w:fldCharType="separate"/>
            </w:r>
            <w:r w:rsidR="0030777A">
              <w:rPr>
                <w:rFonts w:cs="David"/>
                <w:b/>
                <w:bCs/>
                <w:noProof/>
                <w:sz w:val="18"/>
                <w:szCs w:val="18"/>
                <w:rtl/>
              </w:rPr>
              <w:t>2</w:t>
            </w:r>
            <w:r w:rsidRPr="00301815">
              <w:rPr>
                <w:rFonts w:cs="David"/>
                <w:b/>
                <w:bCs/>
                <w:sz w:val="18"/>
                <w:szCs w:val="18"/>
              </w:rPr>
              <w:fldChar w:fldCharType="end"/>
            </w:r>
          </w:p>
        </w:sdtContent>
      </w:sdt>
    </w:sdtContent>
  </w:sdt>
  <w:p w:rsidR="00A15F57" w:rsidRDefault="00A15F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43" w:rsidRDefault="00902F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43" w:rsidRDefault="00902F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43" w:rsidRDefault="00902F4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43" w:rsidRDefault="00902F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6895"/>
    <w:multiLevelType w:val="hybridMultilevel"/>
    <w:tmpl w:val="63E02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36E25"/>
    <w:rsid w:val="00081BCE"/>
    <w:rsid w:val="000A3EB8"/>
    <w:rsid w:val="00100FEE"/>
    <w:rsid w:val="00115A82"/>
    <w:rsid w:val="00177686"/>
    <w:rsid w:val="00180E8A"/>
    <w:rsid w:val="001B4567"/>
    <w:rsid w:val="001B5E0C"/>
    <w:rsid w:val="001C0337"/>
    <w:rsid w:val="001D7646"/>
    <w:rsid w:val="001E5A00"/>
    <w:rsid w:val="00225A9F"/>
    <w:rsid w:val="002409CC"/>
    <w:rsid w:val="002438E2"/>
    <w:rsid w:val="002630B7"/>
    <w:rsid w:val="00285850"/>
    <w:rsid w:val="002B3FB0"/>
    <w:rsid w:val="002D510A"/>
    <w:rsid w:val="00301815"/>
    <w:rsid w:val="0030777A"/>
    <w:rsid w:val="0031161D"/>
    <w:rsid w:val="003537B9"/>
    <w:rsid w:val="003810D6"/>
    <w:rsid w:val="003901E0"/>
    <w:rsid w:val="003A4EDC"/>
    <w:rsid w:val="003B5DE7"/>
    <w:rsid w:val="003D651A"/>
    <w:rsid w:val="0041690A"/>
    <w:rsid w:val="00417FB6"/>
    <w:rsid w:val="00420F93"/>
    <w:rsid w:val="00421F80"/>
    <w:rsid w:val="00441E07"/>
    <w:rsid w:val="0044713E"/>
    <w:rsid w:val="004625EB"/>
    <w:rsid w:val="0047627F"/>
    <w:rsid w:val="004A5826"/>
    <w:rsid w:val="004B11CB"/>
    <w:rsid w:val="004B5D8D"/>
    <w:rsid w:val="004E23AC"/>
    <w:rsid w:val="004F06E0"/>
    <w:rsid w:val="00500487"/>
    <w:rsid w:val="00502068"/>
    <w:rsid w:val="00515549"/>
    <w:rsid w:val="00520BB4"/>
    <w:rsid w:val="00614095"/>
    <w:rsid w:val="0064287F"/>
    <w:rsid w:val="00651CB7"/>
    <w:rsid w:val="00661ADC"/>
    <w:rsid w:val="006C01FB"/>
    <w:rsid w:val="006C2B75"/>
    <w:rsid w:val="00706E3E"/>
    <w:rsid w:val="00762D5A"/>
    <w:rsid w:val="007E18EE"/>
    <w:rsid w:val="007F013B"/>
    <w:rsid w:val="00826810"/>
    <w:rsid w:val="0083753A"/>
    <w:rsid w:val="00837763"/>
    <w:rsid w:val="00852D44"/>
    <w:rsid w:val="0086330B"/>
    <w:rsid w:val="00881EF7"/>
    <w:rsid w:val="008928BC"/>
    <w:rsid w:val="008B55E9"/>
    <w:rsid w:val="008B5665"/>
    <w:rsid w:val="008D1016"/>
    <w:rsid w:val="00902F43"/>
    <w:rsid w:val="00923E37"/>
    <w:rsid w:val="00961EFC"/>
    <w:rsid w:val="00972F89"/>
    <w:rsid w:val="009818C2"/>
    <w:rsid w:val="009B71E4"/>
    <w:rsid w:val="009C16BD"/>
    <w:rsid w:val="00A05A2B"/>
    <w:rsid w:val="00A13688"/>
    <w:rsid w:val="00A15F57"/>
    <w:rsid w:val="00A57161"/>
    <w:rsid w:val="00A6707D"/>
    <w:rsid w:val="00AA51B0"/>
    <w:rsid w:val="00AA7ED7"/>
    <w:rsid w:val="00AB409F"/>
    <w:rsid w:val="00AC2075"/>
    <w:rsid w:val="00AD759C"/>
    <w:rsid w:val="00AE591E"/>
    <w:rsid w:val="00B058F3"/>
    <w:rsid w:val="00B2503D"/>
    <w:rsid w:val="00B45A8A"/>
    <w:rsid w:val="00B77C1D"/>
    <w:rsid w:val="00B84BD7"/>
    <w:rsid w:val="00BC41DB"/>
    <w:rsid w:val="00BC5A6D"/>
    <w:rsid w:val="00BD5207"/>
    <w:rsid w:val="00BE235C"/>
    <w:rsid w:val="00BE49A2"/>
    <w:rsid w:val="00C04A6B"/>
    <w:rsid w:val="00C22C24"/>
    <w:rsid w:val="00C25C1C"/>
    <w:rsid w:val="00C45C9C"/>
    <w:rsid w:val="00C656C3"/>
    <w:rsid w:val="00C84B20"/>
    <w:rsid w:val="00CB1B2B"/>
    <w:rsid w:val="00CB5842"/>
    <w:rsid w:val="00D15A8B"/>
    <w:rsid w:val="00D3721C"/>
    <w:rsid w:val="00D81EC3"/>
    <w:rsid w:val="00D87DC1"/>
    <w:rsid w:val="00D969AD"/>
    <w:rsid w:val="00DD5923"/>
    <w:rsid w:val="00E361B9"/>
    <w:rsid w:val="00E72A42"/>
    <w:rsid w:val="00E85E11"/>
    <w:rsid w:val="00EA052D"/>
    <w:rsid w:val="00ED153D"/>
    <w:rsid w:val="00ED5B1D"/>
    <w:rsid w:val="00EF5DC9"/>
    <w:rsid w:val="00F13573"/>
    <w:rsid w:val="00F36470"/>
    <w:rsid w:val="00F75061"/>
    <w:rsid w:val="00F96916"/>
    <w:rsid w:val="00FA0AA7"/>
    <w:rsid w:val="00FA2BB4"/>
    <w:rsid w:val="00FD4DC2"/>
    <w:rsid w:val="00FE0338"/>
    <w:rsid w:val="00FE034E"/>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036E25"/>
    <w:pPr>
      <w:bidi/>
      <w:ind w:left="720"/>
      <w:contextualSpacing/>
    </w:pPr>
    <w:rPr>
      <w:rFonts w:cs="David"/>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036E25"/>
    <w:pPr>
      <w:bidi/>
      <w:ind w:left="720"/>
      <w:contextualSpacing/>
    </w:pPr>
    <w:rPr>
      <w:rFonts w:cs="Davi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282E0-0C01-44B5-8680-8600184D9FBF}"/>
</file>

<file path=customXml/itemProps2.xml><?xml version="1.0" encoding="utf-8"?>
<ds:datastoreItem xmlns:ds="http://schemas.openxmlformats.org/officeDocument/2006/customXml" ds:itemID="{C1DACF9D-FD81-44F3-8820-A42F66598487}"/>
</file>

<file path=customXml/itemProps3.xml><?xml version="1.0" encoding="utf-8"?>
<ds:datastoreItem xmlns:ds="http://schemas.openxmlformats.org/officeDocument/2006/customXml" ds:itemID="{A999CE60-539B-45FE-A021-D18DA327D747}"/>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2470</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2014-07-13T11:45:00Z</dcterms:created>
  <dcterms:modified xsi:type="dcterms:W3CDTF">2014-07-13T12:17:00Z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