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19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61500C" w:rsidRPr="006858A0" w:rsidTr="00C43711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00C" w:rsidRPr="006858A0" w:rsidRDefault="0061500C" w:rsidP="00C4371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6858A0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6858A0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6858A0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6858A0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61500C" w:rsidRPr="006858A0" w:rsidRDefault="0061500C" w:rsidP="00C43711">
            <w:pPr>
              <w:spacing w:line="360" w:lineRule="auto"/>
              <w:ind w:right="-101"/>
              <w:jc w:val="center"/>
              <w:rPr>
                <w:rFonts w:cs="David"/>
              </w:rPr>
            </w:pPr>
            <w:r w:rsidRPr="006858A0">
              <w:rPr>
                <w:rFonts w:cs="David"/>
                <w:rtl/>
              </w:rPr>
              <w:t>דו</w:t>
            </w:r>
            <w:r w:rsidRPr="006858A0">
              <w:rPr>
                <w:rFonts w:cs="David" w:hint="cs"/>
                <w:rtl/>
              </w:rPr>
              <w:t>בר</w:t>
            </w:r>
            <w:r w:rsidRPr="006858A0">
              <w:rPr>
                <w:rFonts w:cs="David"/>
                <w:rtl/>
              </w:rPr>
              <w:t>ות</w:t>
            </w:r>
            <w:r w:rsidRPr="006858A0"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61500C" w:rsidRPr="006858A0" w:rsidRDefault="0061500C" w:rsidP="00C43711">
            <w:pPr>
              <w:spacing w:line="360" w:lineRule="auto"/>
              <w:jc w:val="center"/>
              <w:rPr>
                <w:rFonts w:cs="David"/>
              </w:rPr>
            </w:pPr>
            <w:r w:rsidRPr="006858A0">
              <w:rPr>
                <w:rFonts w:cs="David"/>
                <w:noProof/>
              </w:rPr>
              <w:drawing>
                <wp:inline distT="0" distB="0" distL="0" distR="0" wp14:anchorId="772086DA" wp14:editId="35E262FD">
                  <wp:extent cx="887105" cy="887105"/>
                  <wp:effectExtent l="0" t="0" r="8255" b="8255"/>
                  <wp:docPr id="4" name="תמונה 4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00C" w:rsidRPr="006858A0" w:rsidRDefault="0061500C" w:rsidP="00C43711">
            <w:pPr>
              <w:spacing w:line="360" w:lineRule="auto"/>
              <w:jc w:val="right"/>
              <w:rPr>
                <w:rFonts w:cs="David"/>
              </w:rPr>
            </w:pPr>
            <w:r w:rsidRPr="006858A0">
              <w:rPr>
                <w:rFonts w:cs="David" w:hint="eastAsia"/>
                <w:rtl/>
              </w:rPr>
              <w:t>‏</w:t>
            </w:r>
            <w:r w:rsidRPr="006858A0">
              <w:rPr>
                <w:rFonts w:cs="David" w:hint="cs"/>
                <w:rtl/>
              </w:rPr>
              <w:t xml:space="preserve">ירושלים, </w:t>
            </w:r>
            <w:r>
              <w:rPr>
                <w:rFonts w:cs="David" w:hint="cs"/>
                <w:rtl/>
              </w:rPr>
              <w:t>כ"ד</w:t>
            </w:r>
            <w:r w:rsidRPr="006858A0">
              <w:rPr>
                <w:rFonts w:cs="David" w:hint="cs"/>
                <w:rtl/>
              </w:rPr>
              <w:t xml:space="preserve"> בטבת, </w:t>
            </w:r>
            <w:proofErr w:type="spellStart"/>
            <w:r w:rsidRPr="006858A0">
              <w:rPr>
                <w:rFonts w:cs="David" w:hint="cs"/>
                <w:rtl/>
              </w:rPr>
              <w:t>התשע"ט</w:t>
            </w:r>
            <w:proofErr w:type="spellEnd"/>
          </w:p>
          <w:p w:rsidR="0061500C" w:rsidRPr="006858A0" w:rsidRDefault="0061500C" w:rsidP="00C43711">
            <w:pPr>
              <w:bidi w:val="0"/>
              <w:spacing w:line="360" w:lineRule="auto"/>
              <w:rPr>
                <w:rFonts w:cs="David"/>
              </w:rPr>
            </w:pPr>
            <w:r w:rsidRPr="006858A0">
              <w:rPr>
                <w:rFonts w:cs="David" w:hint="eastAsia"/>
                <w:rtl/>
              </w:rPr>
              <w:t>‏‏</w:t>
            </w:r>
            <w:r>
              <w:rPr>
                <w:rFonts w:cs="David" w:hint="cs"/>
                <w:rtl/>
              </w:rPr>
              <w:t>1</w:t>
            </w:r>
            <w:r w:rsidRPr="006858A0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ינוא</w:t>
            </w:r>
            <w:r w:rsidRPr="006858A0">
              <w:rPr>
                <w:rFonts w:cs="David" w:hint="cs"/>
                <w:rtl/>
              </w:rPr>
              <w:t>ר</w:t>
            </w:r>
            <w:r>
              <w:rPr>
                <w:rFonts w:cs="David" w:hint="cs"/>
                <w:rtl/>
              </w:rPr>
              <w:t xml:space="preserve"> 2019</w:t>
            </w:r>
          </w:p>
        </w:tc>
      </w:tr>
    </w:tbl>
    <w:p w:rsidR="003376FC" w:rsidRDefault="003376FC" w:rsidP="0061500C">
      <w:pPr>
        <w:spacing w:line="360" w:lineRule="auto"/>
        <w:rPr>
          <w:rFonts w:ascii="Times New Roman" w:hAnsi="Times New Roman" w:cs="David" w:hint="cs"/>
          <w:sz w:val="24"/>
          <w:szCs w:val="24"/>
          <w:rtl/>
        </w:rPr>
      </w:pPr>
      <w:r w:rsidRPr="0061500C">
        <w:rPr>
          <w:rFonts w:ascii="Times New Roman" w:hAnsi="Times New Roman" w:cs="David" w:hint="cs"/>
          <w:sz w:val="24"/>
          <w:szCs w:val="24"/>
          <w:rtl/>
        </w:rPr>
        <w:t>הודעה לעיתונות</w:t>
      </w:r>
      <w:r w:rsidR="0061500C">
        <w:rPr>
          <w:rFonts w:ascii="Times New Roman" w:hAnsi="Times New Roman" w:cs="David" w:hint="cs"/>
          <w:sz w:val="24"/>
          <w:szCs w:val="24"/>
          <w:rtl/>
        </w:rPr>
        <w:t>:</w:t>
      </w:r>
    </w:p>
    <w:p w:rsidR="0061500C" w:rsidRPr="0061500C" w:rsidRDefault="0061500C" w:rsidP="0061500C">
      <w:pPr>
        <w:spacing w:line="360" w:lineRule="auto"/>
        <w:jc w:val="center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מחקר חדש:</w:t>
      </w:r>
    </w:p>
    <w:p w:rsidR="000F1414" w:rsidRPr="0061500C" w:rsidRDefault="000F1414" w:rsidP="008B7F42">
      <w:pPr>
        <w:spacing w:line="360" w:lineRule="auto"/>
        <w:jc w:val="center"/>
        <w:rPr>
          <w:rFonts w:ascii="Times New Roman" w:hAnsi="Times New Roman" w:cs="David"/>
          <w:b/>
          <w:bCs/>
          <w:sz w:val="28"/>
          <w:szCs w:val="28"/>
          <w:rtl/>
        </w:rPr>
      </w:pPr>
      <w:bookmarkStart w:id="0" w:name="_GoBack"/>
      <w:r w:rsidRPr="0061500C">
        <w:rPr>
          <w:rFonts w:ascii="Times New Roman" w:hAnsi="Times New Roman" w:cs="David" w:hint="cs"/>
          <w:b/>
          <w:bCs/>
          <w:sz w:val="28"/>
          <w:szCs w:val="28"/>
          <w:rtl/>
        </w:rPr>
        <w:t>התשואה</w:t>
      </w:r>
      <w:r w:rsidRPr="0061500C">
        <w:rPr>
          <w:rFonts w:ascii="Times New Roman" w:hAnsi="Times New Roman" w:cs="David"/>
          <w:b/>
          <w:bCs/>
          <w:sz w:val="28"/>
          <w:szCs w:val="28"/>
          <w:rtl/>
        </w:rPr>
        <w:t xml:space="preserve"> </w:t>
      </w:r>
      <w:r w:rsidRPr="0061500C">
        <w:rPr>
          <w:rFonts w:ascii="Times New Roman" w:hAnsi="Times New Roman" w:cs="David" w:hint="cs"/>
          <w:b/>
          <w:bCs/>
          <w:sz w:val="28"/>
          <w:szCs w:val="28"/>
          <w:rtl/>
        </w:rPr>
        <w:t>במונחי שכר להשכלה</w:t>
      </w:r>
      <w:r w:rsidRPr="0061500C">
        <w:rPr>
          <w:rFonts w:ascii="Times New Roman" w:hAnsi="Times New Roman" w:cs="David"/>
          <w:b/>
          <w:bCs/>
          <w:sz w:val="28"/>
          <w:szCs w:val="28"/>
          <w:rtl/>
        </w:rPr>
        <w:t xml:space="preserve"> </w:t>
      </w:r>
      <w:r w:rsidRPr="0061500C">
        <w:rPr>
          <w:rFonts w:ascii="Times New Roman" w:hAnsi="Times New Roman" w:cs="David" w:hint="cs"/>
          <w:b/>
          <w:bCs/>
          <w:sz w:val="28"/>
          <w:szCs w:val="28"/>
          <w:rtl/>
        </w:rPr>
        <w:t>הנרכשת באוניברסיטאות</w:t>
      </w:r>
      <w:r w:rsidRPr="0061500C">
        <w:rPr>
          <w:rFonts w:ascii="Times New Roman" w:hAnsi="Times New Roman" w:cs="David"/>
          <w:b/>
          <w:bCs/>
          <w:sz w:val="28"/>
          <w:szCs w:val="28"/>
          <w:rtl/>
        </w:rPr>
        <w:t xml:space="preserve"> </w:t>
      </w:r>
      <w:r w:rsidRPr="0061500C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ובמכללות </w:t>
      </w:r>
    </w:p>
    <w:bookmarkEnd w:id="0"/>
    <w:p w:rsidR="003376FC" w:rsidRPr="003376FC" w:rsidRDefault="003376FC" w:rsidP="008F66A2">
      <w:pPr>
        <w:numPr>
          <w:ilvl w:val="0"/>
          <w:numId w:val="2"/>
        </w:numPr>
        <w:tabs>
          <w:tab w:val="left" w:pos="650"/>
        </w:tabs>
        <w:spacing w:after="0" w:line="360" w:lineRule="auto"/>
        <w:ind w:left="368" w:hanging="284"/>
        <w:jc w:val="both"/>
        <w:rPr>
          <w:rFonts w:ascii="Times New Roman" w:hAnsi="Times New Roman" w:cs="David"/>
          <w:b/>
          <w:bCs/>
          <w:sz w:val="24"/>
          <w:szCs w:val="24"/>
        </w:rPr>
      </w:pP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מחקר </w:t>
      </w:r>
      <w:r w:rsidR="008B7F42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שמפרסם היום בנק ישראל </w:t>
      </w: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בחן את </w:t>
      </w:r>
      <w:r w:rsidR="008B7F42">
        <w:rPr>
          <w:rFonts w:ascii="Times New Roman" w:hAnsi="Times New Roman" w:cs="David" w:hint="cs"/>
          <w:b/>
          <w:bCs/>
          <w:sz w:val="24"/>
          <w:szCs w:val="24"/>
          <w:rtl/>
        </w:rPr>
        <w:t>הגידול</w:t>
      </w: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8B7F42">
        <w:rPr>
          <w:rFonts w:ascii="Times New Roman" w:hAnsi="Times New Roman" w:cs="David" w:hint="cs"/>
          <w:b/>
          <w:bCs/>
          <w:sz w:val="24"/>
          <w:szCs w:val="24"/>
          <w:rtl/>
        </w:rPr>
        <w:t>ב</w:t>
      </w: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שכר </w:t>
      </w:r>
      <w:r w:rsidR="008B7F42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הנובע מרכישת </w:t>
      </w: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השכלה </w:t>
      </w:r>
      <w:r w:rsidR="000F404F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גבוהה </w:t>
      </w: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בסוגי המוסדות השונים </w:t>
      </w:r>
      <w:r w:rsidR="000F404F">
        <w:rPr>
          <w:rFonts w:ascii="Times New Roman" w:hAnsi="Times New Roman" w:cs="David" w:hint="cs"/>
          <w:b/>
          <w:bCs/>
          <w:sz w:val="24"/>
          <w:szCs w:val="24"/>
          <w:rtl/>
        </w:rPr>
        <w:t>ב</w:t>
      </w: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ישראל (אוניברסיטאות, מכללות פרטיות וציבוריות). </w:t>
      </w:r>
    </w:p>
    <w:p w:rsidR="003376FC" w:rsidRPr="003376FC" w:rsidRDefault="00FE7B65" w:rsidP="00BB1DAA">
      <w:pPr>
        <w:numPr>
          <w:ilvl w:val="0"/>
          <w:numId w:val="2"/>
        </w:numPr>
        <w:tabs>
          <w:tab w:val="left" w:pos="650"/>
        </w:tabs>
        <w:spacing w:after="0" w:line="360" w:lineRule="auto"/>
        <w:ind w:left="368" w:hanging="284"/>
        <w:jc w:val="both"/>
        <w:rPr>
          <w:rFonts w:ascii="Times New Roman" w:hAnsi="Times New Roman" w:cs="David"/>
          <w:b/>
          <w:bCs/>
          <w:sz w:val="24"/>
          <w:szCs w:val="24"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בניכוי ההשפעה של </w:t>
      </w:r>
      <w:r w:rsidR="003376FC"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מאפיינים אישיים,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נמצא ש</w:t>
      </w:r>
      <w:r w:rsidR="003376FC"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>השכר השנתי ברוטו בקרב בוגרי תואר ראשון ושני באוניברסיטאות היה גבוה ב-2008</w:t>
      </w:r>
      <w:r w:rsidR="003376FC" w:rsidRPr="003376FC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="003376FC"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2015 בכ-10% משכר בוגרי המכללות הציבוריות, והשכר </w:t>
      </w:r>
      <w:r w:rsidR="003A0A48">
        <w:rPr>
          <w:rFonts w:ascii="Times New Roman" w:hAnsi="Times New Roman" w:cs="David" w:hint="cs"/>
          <w:b/>
          <w:bCs/>
          <w:sz w:val="24"/>
          <w:szCs w:val="24"/>
          <w:rtl/>
        </w:rPr>
        <w:t>של</w:t>
      </w:r>
      <w:r w:rsidR="003376FC"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בוגרי המכללות הפרטיות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היה גבוה </w:t>
      </w:r>
      <w:r w:rsidR="00993A7F">
        <w:rPr>
          <w:rFonts w:ascii="Times New Roman" w:hAnsi="Times New Roman" w:cs="David" w:hint="cs"/>
          <w:b/>
          <w:bCs/>
          <w:sz w:val="24"/>
          <w:szCs w:val="24"/>
          <w:rtl/>
        </w:rPr>
        <w:t>מ</w:t>
      </w:r>
      <w:r w:rsidR="006C2970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שכר בוגרי המכללות הציבוריות </w:t>
      </w:r>
      <w:r w:rsidR="003376FC"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>ב-6%</w:t>
      </w:r>
      <w:r w:rsidR="003376FC" w:rsidRPr="003376FC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="003376FC"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>7%.</w:t>
      </w:r>
    </w:p>
    <w:p w:rsidR="003376FC" w:rsidRPr="003376FC" w:rsidRDefault="003376FC" w:rsidP="003376FC">
      <w:pPr>
        <w:numPr>
          <w:ilvl w:val="0"/>
          <w:numId w:val="2"/>
        </w:numPr>
        <w:tabs>
          <w:tab w:val="left" w:pos="650"/>
        </w:tabs>
        <w:spacing w:after="0" w:line="360" w:lineRule="auto"/>
        <w:ind w:left="368" w:hanging="284"/>
        <w:jc w:val="both"/>
        <w:rPr>
          <w:rFonts w:ascii="Times New Roman" w:hAnsi="Times New Roman" w:cs="David"/>
          <w:b/>
          <w:bCs/>
          <w:sz w:val="24"/>
          <w:szCs w:val="24"/>
        </w:rPr>
      </w:pP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פערי השכר השנתי נותרו יציבים </w:t>
      </w:r>
      <w:r w:rsidR="008B7F42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כאשר נבחנו </w:t>
      </w: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>לפי שנת סיום התואר ומספר השנים שחלפו מאז.</w:t>
      </w:r>
    </w:p>
    <w:p w:rsidR="003376FC" w:rsidRPr="003376FC" w:rsidRDefault="003376FC" w:rsidP="00FA6D26">
      <w:pPr>
        <w:numPr>
          <w:ilvl w:val="0"/>
          <w:numId w:val="2"/>
        </w:numPr>
        <w:tabs>
          <w:tab w:val="left" w:pos="650"/>
        </w:tabs>
        <w:spacing w:after="0" w:line="360" w:lineRule="auto"/>
        <w:ind w:left="368" w:hanging="284"/>
        <w:jc w:val="both"/>
        <w:rPr>
          <w:rFonts w:ascii="Times New Roman" w:hAnsi="Times New Roman" w:cs="David"/>
          <w:b/>
          <w:bCs/>
          <w:sz w:val="24"/>
          <w:szCs w:val="24"/>
        </w:rPr>
      </w:pP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מדרג השכר השנתי בין סוגי המוסדות נשמר </w:t>
      </w:r>
      <w:r w:rsidR="008F66A2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גם </w:t>
      </w:r>
      <w:r w:rsidR="00993A7F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לאחר שמחלקים את אוכלוסיית הבוגרים לפי </w:t>
      </w: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>המגדר</w:t>
      </w:r>
      <w:r w:rsidR="00FA6D26">
        <w:rPr>
          <w:rFonts w:ascii="Times New Roman" w:hAnsi="Times New Roman" w:cs="David" w:hint="cs"/>
          <w:b/>
          <w:bCs/>
          <w:sz w:val="24"/>
          <w:szCs w:val="24"/>
          <w:rtl/>
        </w:rPr>
        <w:t>,</w:t>
      </w:r>
      <w:r w:rsidR="00993A7F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>הלאום</w:t>
      </w:r>
      <w:r w:rsidR="00FA6D26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ו</w:t>
      </w:r>
      <w:r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>הכנסת ההורים.</w:t>
      </w:r>
    </w:p>
    <w:p w:rsidR="003376FC" w:rsidRDefault="00886B3D" w:rsidP="008F66A2">
      <w:pPr>
        <w:numPr>
          <w:ilvl w:val="0"/>
          <w:numId w:val="2"/>
        </w:numPr>
        <w:tabs>
          <w:tab w:val="left" w:pos="650"/>
        </w:tabs>
        <w:spacing w:after="0" w:line="360" w:lineRule="auto"/>
        <w:ind w:left="368" w:hanging="284"/>
        <w:jc w:val="both"/>
        <w:rPr>
          <w:rFonts w:ascii="Times New Roman" w:hAnsi="Times New Roman" w:cs="David"/>
          <w:b/>
          <w:bCs/>
          <w:sz w:val="24"/>
          <w:szCs w:val="24"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>הפער ב</w:t>
      </w:r>
      <w:r w:rsidR="003376FC"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>שכר השעתי ברוטו ב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ין </w:t>
      </w:r>
      <w:r w:rsidR="003376FC"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בוגרי האוניברסיטאות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ו</w:t>
      </w:r>
      <w:r w:rsidR="003376FC"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בוגרי המכללות הפרטיות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לבין </w:t>
      </w:r>
      <w:r w:rsidR="003376FC" w:rsidRPr="003376FC">
        <w:rPr>
          <w:rFonts w:ascii="Times New Roman" w:hAnsi="Times New Roman" w:cs="David" w:hint="cs"/>
          <w:b/>
          <w:bCs/>
          <w:sz w:val="24"/>
          <w:szCs w:val="24"/>
          <w:rtl/>
        </w:rPr>
        <w:t>בוגרי המכללות הציבוריות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</w:t>
      </w:r>
      <w:r w:rsidR="008F66A2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עמד על 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4%</w:t>
      </w:r>
      <w:r w:rsidR="008F66A2" w:rsidRPr="003376FC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6%</w:t>
      </w:r>
      <w:r w:rsidR="008F66A2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. הוא נמוך מהפער בשכר השנתי </w:t>
      </w:r>
      <w:r w:rsidR="00A22078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כיוון שבוגרי האוניברסיטאות והמכללות הפרטיות עובדים </w:t>
      </w:r>
      <w:r w:rsidR="00FE7B65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בממוצע </w:t>
      </w:r>
      <w:r w:rsidR="00A22078">
        <w:rPr>
          <w:rFonts w:ascii="Times New Roman" w:hAnsi="Times New Roman" w:cs="David" w:hint="cs"/>
          <w:b/>
          <w:bCs/>
          <w:sz w:val="24"/>
          <w:szCs w:val="24"/>
          <w:rtl/>
        </w:rPr>
        <w:t>שעות רבות יותר.</w:t>
      </w:r>
    </w:p>
    <w:p w:rsidR="00511413" w:rsidRPr="00511413" w:rsidRDefault="00511413" w:rsidP="00993A7F">
      <w:pPr>
        <w:numPr>
          <w:ilvl w:val="0"/>
          <w:numId w:val="2"/>
        </w:numPr>
        <w:tabs>
          <w:tab w:val="left" w:pos="650"/>
        </w:tabs>
        <w:spacing w:after="0" w:line="360" w:lineRule="auto"/>
        <w:ind w:left="368" w:hanging="284"/>
        <w:jc w:val="both"/>
        <w:rPr>
          <w:rFonts w:ascii="Times New Roman" w:hAnsi="Times New Roman" w:cs="David"/>
          <w:b/>
          <w:bCs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השוואה בין </w:t>
      </w:r>
      <w:r w:rsidRPr="00511413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בעלי תואר ראשון </w:t>
      </w:r>
      <w:r w:rsidR="00A22078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מהמכללות הציבוריות </w:t>
      </w:r>
      <w:r w:rsidRPr="00511413">
        <w:rPr>
          <w:rFonts w:ascii="Times New Roman" w:hAnsi="Times New Roman" w:cs="David" w:hint="cs"/>
          <w:b/>
          <w:bCs/>
          <w:sz w:val="24"/>
          <w:szCs w:val="24"/>
          <w:rtl/>
        </w:rPr>
        <w:t>לבעלי תעודת בגרות בלבד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מ</w:t>
      </w:r>
      <w:r w:rsidR="000A6B6F">
        <w:rPr>
          <w:rFonts w:ascii="Times New Roman" w:hAnsi="Times New Roman" w:cs="David" w:hint="cs"/>
          <w:b/>
          <w:bCs/>
          <w:sz w:val="24"/>
          <w:szCs w:val="24"/>
          <w:rtl/>
        </w:rPr>
        <w:t>גלה ש</w:t>
      </w:r>
      <w:r w:rsidRPr="00511413">
        <w:rPr>
          <w:rFonts w:ascii="Times New Roman" w:hAnsi="Times New Roman" w:cs="David" w:hint="cs"/>
          <w:b/>
          <w:bCs/>
          <w:sz w:val="24"/>
          <w:szCs w:val="24"/>
          <w:rtl/>
        </w:rPr>
        <w:t>לימודים במכללות הציבוריות מניבים תשואה נאה</w:t>
      </w:r>
      <w:r w:rsidR="00993A7F">
        <w:rPr>
          <w:rFonts w:ascii="Times New Roman" w:hAnsi="Times New Roman" w:cs="David" w:hint="cs"/>
          <w:b/>
          <w:bCs/>
          <w:sz w:val="24"/>
          <w:szCs w:val="24"/>
          <w:rtl/>
        </w:rPr>
        <w:t>.</w:t>
      </w:r>
    </w:p>
    <w:p w:rsidR="003376FC" w:rsidRDefault="003376FC" w:rsidP="000F1414">
      <w:pPr>
        <w:tabs>
          <w:tab w:val="left" w:pos="650"/>
        </w:tabs>
        <w:spacing w:after="0" w:line="360" w:lineRule="auto"/>
        <w:jc w:val="both"/>
        <w:rPr>
          <w:rFonts w:ascii="Times New Roman" w:hAnsi="Times New Roman" w:cs="David"/>
          <w:sz w:val="24"/>
          <w:szCs w:val="24"/>
          <w:rtl/>
        </w:rPr>
      </w:pPr>
    </w:p>
    <w:p w:rsidR="00310E84" w:rsidRDefault="00310E84" w:rsidP="00944C7B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eastAsia="MS PGothic" w:hAnsi="Times New Roman" w:cs="David" w:hint="cs"/>
          <w:sz w:val="24"/>
          <w:szCs w:val="24"/>
          <w:rtl/>
        </w:rPr>
        <w:t>שיעור הישראלים שרכשו השכלה גבוהה עלה כמעט פי שלושה מתחילת שנות התשעים, וישראל ניצבת כיום במיקום גבוה מאוד ב</w:t>
      </w:r>
      <w:r w:rsidRPr="00F47C42">
        <w:rPr>
          <w:rFonts w:ascii="Times New Roman" w:eastAsia="MS PGothic" w:hAnsi="Times New Roman" w:cs="David" w:hint="cs"/>
          <w:sz w:val="24"/>
          <w:szCs w:val="24"/>
          <w:rtl/>
        </w:rPr>
        <w:t>-</w:t>
      </w:r>
      <w:r w:rsidRPr="00F47C42">
        <w:rPr>
          <w:rFonts w:ascii="Times New Roman" w:eastAsia="MS PGothic" w:hAnsi="Times New Roman" w:cstheme="majorBidi"/>
          <w:sz w:val="24"/>
          <w:szCs w:val="24"/>
        </w:rPr>
        <w:t>OECD</w:t>
      </w:r>
      <w:r>
        <w:rPr>
          <w:rFonts w:ascii="Times New Roman" w:eastAsia="MS PGothic" w:hAnsi="Times New Roman" w:cs="David" w:hint="cs"/>
          <w:sz w:val="24"/>
          <w:szCs w:val="24"/>
          <w:rtl/>
        </w:rPr>
        <w:t xml:space="preserve"> מבחינת שיעור האקדמאים באוכלוסייה</w:t>
      </w:r>
      <w:r>
        <w:rPr>
          <w:rFonts w:ascii="Times New Roman" w:hAnsi="Times New Roman" w:cs="David" w:hint="cs"/>
          <w:sz w:val="24"/>
          <w:szCs w:val="24"/>
          <w:rtl/>
        </w:rPr>
        <w:t>. זאת בין היתר בזכות ההתרחבות המ</w:t>
      </w:r>
      <w:r w:rsidR="00944C7B">
        <w:rPr>
          <w:rFonts w:ascii="Times New Roman" w:hAnsi="Times New Roman" w:cs="David" w:hint="cs"/>
          <w:sz w:val="24"/>
          <w:szCs w:val="24"/>
          <w:rtl/>
        </w:rPr>
        <w:t xml:space="preserve">הירה </w:t>
      </w:r>
      <w:r>
        <w:rPr>
          <w:rFonts w:ascii="Times New Roman" w:hAnsi="Times New Roman" w:cs="David" w:hint="cs"/>
          <w:sz w:val="24"/>
          <w:szCs w:val="24"/>
          <w:rtl/>
        </w:rPr>
        <w:t>של מערך המכללות הציבוריות (המתוקצבות) והפרטיות (הלא-מתוקצבות) מ</w:t>
      </w:r>
      <w:r w:rsidR="00077F6B">
        <w:rPr>
          <w:rFonts w:ascii="Times New Roman" w:hAnsi="Times New Roman" w:cs="David" w:hint="cs"/>
          <w:sz w:val="24"/>
          <w:szCs w:val="24"/>
          <w:rtl/>
        </w:rPr>
        <w:t xml:space="preserve">אז </w:t>
      </w:r>
      <w:r>
        <w:rPr>
          <w:rFonts w:ascii="Times New Roman" w:hAnsi="Times New Roman" w:cs="David" w:hint="cs"/>
          <w:sz w:val="24"/>
          <w:szCs w:val="24"/>
          <w:rtl/>
        </w:rPr>
        <w:t xml:space="preserve">תחילת שנות התשעים. המכללות (למעט המכללות לחינוך) מאכלסות כיום מחצית מהסטודנטים לתואר ראשון. </w:t>
      </w:r>
    </w:p>
    <w:p w:rsidR="008B061B" w:rsidRDefault="00310E84" w:rsidP="00DF687C">
      <w:pPr>
        <w:spacing w:after="0" w:line="360" w:lineRule="auto"/>
        <w:ind w:firstLine="226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 w:rsidRPr="000A6B6F">
        <w:rPr>
          <w:rFonts w:ascii="Times New Roman" w:hAnsi="Times New Roman" w:cs="David" w:hint="cs"/>
          <w:sz w:val="24"/>
          <w:szCs w:val="24"/>
          <w:rtl/>
        </w:rPr>
        <w:t xml:space="preserve">במחקר שנערך בבנק ישראל </w:t>
      </w:r>
      <w:r w:rsidRPr="000A6B6F">
        <w:rPr>
          <w:rFonts w:ascii="Times New Roman" w:hAnsi="Times New Roman" w:cs="David"/>
          <w:sz w:val="24"/>
          <w:szCs w:val="24"/>
          <w:rtl/>
        </w:rPr>
        <w:t>–</w:t>
      </w:r>
      <w:r w:rsidRPr="000A6B6F">
        <w:rPr>
          <w:rFonts w:ascii="Times New Roman" w:hAnsi="Times New Roman" w:cs="David" w:hint="cs"/>
          <w:sz w:val="24"/>
          <w:szCs w:val="24"/>
          <w:rtl/>
        </w:rPr>
        <w:t xml:space="preserve"> על ידי לאה אחדות, אלעד גוטמן, נעם זוסמן, עידן ליפינר וענבל מעין </w:t>
      </w:r>
      <w:r w:rsidRPr="000A6B6F">
        <w:rPr>
          <w:rFonts w:ascii="Times New Roman" w:hAnsi="Times New Roman" w:cs="David"/>
          <w:sz w:val="24"/>
          <w:szCs w:val="24"/>
          <w:rtl/>
        </w:rPr>
        <w:t>–</w:t>
      </w:r>
      <w:r w:rsidRPr="000A6B6F">
        <w:rPr>
          <w:rFonts w:ascii="Times New Roman" w:hAnsi="Times New Roman" w:cs="David" w:hint="cs"/>
          <w:sz w:val="24"/>
          <w:szCs w:val="24"/>
          <w:rtl/>
        </w:rPr>
        <w:t xml:space="preserve"> נבחנה </w:t>
      </w:r>
      <w:r w:rsidR="000F1414" w:rsidRPr="000A6B6F">
        <w:rPr>
          <w:rFonts w:ascii="Times New Roman" w:hAnsi="Times New Roman" w:cs="David" w:hint="cs"/>
          <w:sz w:val="24"/>
          <w:szCs w:val="24"/>
          <w:rtl/>
        </w:rPr>
        <w:t>התשואה במונחי שכר להשכלה גבוהה</w:t>
      </w:r>
      <w:r w:rsidR="00F839FC" w:rsidRPr="000A6B6F">
        <w:rPr>
          <w:rStyle w:val="a5"/>
          <w:rFonts w:ascii="Times New Roman" w:hAnsi="Times New Roman" w:cs="David"/>
          <w:sz w:val="24"/>
          <w:szCs w:val="24"/>
          <w:rtl/>
        </w:rPr>
        <w:footnoteReference w:id="1"/>
      </w:r>
      <w:r w:rsidR="000F1414" w:rsidRPr="000A6B6F">
        <w:rPr>
          <w:rFonts w:ascii="Times New Roman" w:hAnsi="Times New Roman" w:cs="David" w:hint="cs"/>
          <w:sz w:val="24"/>
          <w:szCs w:val="24"/>
          <w:rtl/>
        </w:rPr>
        <w:t xml:space="preserve"> הנרכשת בסוגי המוסדות השונים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 בישראל. </w:t>
      </w:r>
      <w:r w:rsidR="000F1414">
        <w:rPr>
          <w:rFonts w:ascii="Times New Roman" w:hAnsi="Times New Roman" w:cs="David" w:hint="cs"/>
          <w:sz w:val="14"/>
          <w:szCs w:val="24"/>
          <w:rtl/>
        </w:rPr>
        <w:t xml:space="preserve">לשם כך </w:t>
      </w:r>
      <w:r w:rsidR="000F404F">
        <w:rPr>
          <w:rFonts w:ascii="Times New Roman" w:hAnsi="Times New Roman" w:cs="David" w:hint="cs"/>
          <w:sz w:val="14"/>
          <w:szCs w:val="24"/>
          <w:rtl/>
        </w:rPr>
        <w:t xml:space="preserve">המחקר </w:t>
      </w:r>
      <w:r w:rsidR="00FE7B65">
        <w:rPr>
          <w:rFonts w:ascii="Times New Roman" w:hAnsi="Times New Roman" w:cs="David" w:hint="cs"/>
          <w:sz w:val="14"/>
          <w:szCs w:val="24"/>
          <w:rtl/>
        </w:rPr>
        <w:t xml:space="preserve">בחן נתונים של </w:t>
      </w:r>
      <w:r w:rsidR="000F1414" w:rsidRPr="00D022E1">
        <w:rPr>
          <w:rFonts w:ascii="Times New Roman" w:hAnsi="Times New Roman" w:cs="David" w:hint="cs"/>
          <w:sz w:val="14"/>
          <w:szCs w:val="24"/>
          <w:rtl/>
        </w:rPr>
        <w:t xml:space="preserve">כל ילידי </w:t>
      </w:r>
      <w:r w:rsidR="00FE7B65">
        <w:rPr>
          <w:rFonts w:ascii="Times New Roman" w:hAnsi="Times New Roman" w:cs="David" w:hint="cs"/>
          <w:sz w:val="14"/>
          <w:szCs w:val="24"/>
          <w:rtl/>
        </w:rPr>
        <w:t xml:space="preserve">השנים </w:t>
      </w:r>
      <w:r w:rsidR="000F1414" w:rsidRPr="00D022E1">
        <w:rPr>
          <w:rFonts w:ascii="Times New Roman" w:hAnsi="Times New Roman" w:cs="David" w:hint="cs"/>
          <w:sz w:val="14"/>
          <w:szCs w:val="24"/>
          <w:rtl/>
        </w:rPr>
        <w:t>1978</w:t>
      </w:r>
      <w:r w:rsidR="000F404F" w:rsidRPr="003376FC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="000F1414" w:rsidRPr="00D022E1">
        <w:rPr>
          <w:rFonts w:ascii="Times New Roman" w:hAnsi="Times New Roman" w:cs="David" w:hint="cs"/>
          <w:sz w:val="14"/>
          <w:szCs w:val="24"/>
          <w:rtl/>
        </w:rPr>
        <w:t>1985</w:t>
      </w:r>
      <w:r w:rsidR="000F1414">
        <w:rPr>
          <w:rFonts w:ascii="Times New Roman" w:hAnsi="Times New Roman" w:cs="David" w:hint="cs"/>
          <w:sz w:val="14"/>
          <w:szCs w:val="24"/>
          <w:rtl/>
        </w:rPr>
        <w:t xml:space="preserve"> והסתמך על </w:t>
      </w:r>
      <w:r w:rsidR="000F1414" w:rsidRPr="00D022E1">
        <w:rPr>
          <w:rFonts w:ascii="Times New Roman" w:hAnsi="Times New Roman" w:cs="David" w:hint="cs"/>
          <w:sz w:val="14"/>
          <w:szCs w:val="24"/>
          <w:rtl/>
        </w:rPr>
        <w:t>מגוון מאפיינים דמוגרפיים-חברתיים-כל</w:t>
      </w:r>
      <w:r w:rsidR="000F1414">
        <w:rPr>
          <w:rFonts w:ascii="Times New Roman" w:hAnsi="Times New Roman" w:cs="David" w:hint="cs"/>
          <w:sz w:val="14"/>
          <w:szCs w:val="24"/>
          <w:rtl/>
        </w:rPr>
        <w:t>כ</w:t>
      </w:r>
      <w:r w:rsidR="000F1414" w:rsidRPr="00D022E1">
        <w:rPr>
          <w:rFonts w:ascii="Times New Roman" w:hAnsi="Times New Roman" w:cs="David" w:hint="cs"/>
          <w:sz w:val="14"/>
          <w:szCs w:val="24"/>
          <w:rtl/>
        </w:rPr>
        <w:t>ליים שלהם ושל משפח</w:t>
      </w:r>
      <w:r w:rsidR="000F1414">
        <w:rPr>
          <w:rFonts w:ascii="Times New Roman" w:hAnsi="Times New Roman" w:cs="David" w:hint="cs"/>
          <w:sz w:val="14"/>
          <w:szCs w:val="24"/>
          <w:rtl/>
        </w:rPr>
        <w:t>ו</w:t>
      </w:r>
      <w:r w:rsidR="000F1414" w:rsidRPr="00D022E1">
        <w:rPr>
          <w:rFonts w:ascii="Times New Roman" w:hAnsi="Times New Roman" w:cs="David" w:hint="cs"/>
          <w:sz w:val="14"/>
          <w:szCs w:val="24"/>
          <w:rtl/>
        </w:rPr>
        <w:t>ת</w:t>
      </w:r>
      <w:r w:rsidR="000F1414">
        <w:rPr>
          <w:rFonts w:ascii="Times New Roman" w:hAnsi="Times New Roman" w:cs="David" w:hint="cs"/>
          <w:sz w:val="14"/>
          <w:szCs w:val="24"/>
          <w:rtl/>
        </w:rPr>
        <w:t>יה</w:t>
      </w:r>
      <w:r w:rsidR="000F1414" w:rsidRPr="00D022E1">
        <w:rPr>
          <w:rFonts w:ascii="Times New Roman" w:hAnsi="Times New Roman" w:cs="David" w:hint="cs"/>
          <w:sz w:val="14"/>
          <w:szCs w:val="24"/>
          <w:rtl/>
        </w:rPr>
        <w:t>ם, הישגיהם בבחינות הבגרות ובבחינה הפסיכומטרית, השכלתם האקדמית ושכרם</w:t>
      </w:r>
      <w:r w:rsidR="000F404F">
        <w:rPr>
          <w:rFonts w:ascii="Times New Roman" w:hAnsi="Times New Roman" w:cs="David" w:hint="cs"/>
          <w:sz w:val="14"/>
          <w:szCs w:val="24"/>
          <w:rtl/>
        </w:rPr>
        <w:t xml:space="preserve"> ברוטו</w:t>
      </w:r>
      <w:r w:rsidR="000F1414" w:rsidRPr="00D022E1">
        <w:rPr>
          <w:rFonts w:ascii="Times New Roman" w:hAnsi="Times New Roman" w:cs="David" w:hint="cs"/>
          <w:sz w:val="14"/>
          <w:szCs w:val="24"/>
          <w:rtl/>
        </w:rPr>
        <w:t xml:space="preserve"> </w:t>
      </w:r>
      <w:r w:rsidR="000F404F">
        <w:rPr>
          <w:rFonts w:ascii="Times New Roman" w:hAnsi="Times New Roman" w:cs="David" w:hint="cs"/>
          <w:sz w:val="14"/>
          <w:szCs w:val="24"/>
          <w:rtl/>
        </w:rPr>
        <w:t>בשנים 2008</w:t>
      </w:r>
      <w:r w:rsidR="000F404F" w:rsidRPr="003376FC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="000F404F">
        <w:rPr>
          <w:rFonts w:ascii="Times New Roman" w:hAnsi="Times New Roman" w:cs="David" w:hint="cs"/>
          <w:sz w:val="14"/>
          <w:szCs w:val="24"/>
          <w:rtl/>
        </w:rPr>
        <w:t xml:space="preserve">2015. </w:t>
      </w:r>
    </w:p>
    <w:p w:rsidR="009131C9" w:rsidRDefault="000F1414" w:rsidP="00FA6D26">
      <w:pPr>
        <w:spacing w:after="0" w:line="360" w:lineRule="auto"/>
        <w:ind w:firstLine="226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lastRenderedPageBreak/>
        <w:t xml:space="preserve">כדי לזהות את התשואה </w:t>
      </w:r>
      <w:r w:rsidR="0017669A">
        <w:rPr>
          <w:rFonts w:ascii="Times New Roman" w:eastAsia="Times New Roman" w:hAnsi="Times New Roman" w:cs="David" w:hint="cs"/>
          <w:sz w:val="24"/>
          <w:szCs w:val="24"/>
          <w:rtl/>
        </w:rPr>
        <w:t xml:space="preserve">במונחי שכר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לפי סוג מוסד </w:t>
      </w:r>
      <w:r w:rsidRPr="00D022E1">
        <w:rPr>
          <w:rFonts w:ascii="Times New Roman" w:eastAsia="Times New Roman" w:hAnsi="Times New Roman" w:cs="David" w:hint="cs"/>
          <w:sz w:val="24"/>
          <w:szCs w:val="24"/>
          <w:rtl/>
        </w:rPr>
        <w:t xml:space="preserve">יש 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לבודד את התשואה להשכלה הנרכשת בו מהתשואה </w:t>
      </w:r>
      <w:r w:rsidR="00FE7B65">
        <w:rPr>
          <w:rFonts w:ascii="Times New Roman" w:eastAsia="Times New Roman" w:hAnsi="Times New Roman" w:cs="David" w:hint="cs"/>
          <w:sz w:val="24"/>
          <w:szCs w:val="24"/>
          <w:rtl/>
        </w:rPr>
        <w:t>הנובעת מה</w:t>
      </w:r>
      <w:r w:rsidRPr="00D022E1">
        <w:rPr>
          <w:rFonts w:ascii="Times New Roman" w:eastAsia="Times New Roman" w:hAnsi="Times New Roman" w:cs="David"/>
          <w:sz w:val="24"/>
          <w:szCs w:val="24"/>
          <w:rtl/>
        </w:rPr>
        <w:t>כישורים</w:t>
      </w: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 האישיים, שכן תלמידים מוכשרים בדרך כלל לומדים במוסדות איכותיים</w:t>
      </w:r>
      <w:r w:rsidRPr="00D022E1">
        <w:rPr>
          <w:rFonts w:ascii="Times New Roman" w:eastAsia="Times New Roman" w:hAnsi="Times New Roman" w:cs="David"/>
          <w:sz w:val="24"/>
          <w:szCs w:val="24"/>
          <w:rtl/>
        </w:rPr>
        <w:t xml:space="preserve">. </w:t>
      </w:r>
      <w:r w:rsidR="00FE7B65">
        <w:rPr>
          <w:rFonts w:ascii="Times New Roman" w:eastAsia="Times New Roman" w:hAnsi="Times New Roman" w:cs="David" w:hint="cs"/>
          <w:sz w:val="24"/>
          <w:szCs w:val="24"/>
          <w:rtl/>
        </w:rPr>
        <w:t>במחקר נעשה שימוש במספר שיטות סטטיסטיות כדי ל</w:t>
      </w:r>
      <w:r w:rsidR="00FA6D26">
        <w:rPr>
          <w:rFonts w:ascii="Times New Roman" w:eastAsia="Times New Roman" w:hAnsi="Times New Roman" w:cs="David" w:hint="cs"/>
          <w:sz w:val="24"/>
          <w:szCs w:val="24"/>
          <w:rtl/>
        </w:rPr>
        <w:t xml:space="preserve">ערוך </w:t>
      </w:r>
      <w:r w:rsidR="00FE7B65">
        <w:rPr>
          <w:rFonts w:ascii="Times New Roman" w:eastAsia="Times New Roman" w:hAnsi="Times New Roman" w:cs="David" w:hint="cs"/>
          <w:sz w:val="24"/>
          <w:szCs w:val="24"/>
          <w:rtl/>
        </w:rPr>
        <w:t xml:space="preserve">הבחנה זו. </w:t>
      </w:r>
    </w:p>
    <w:p w:rsidR="000F1414" w:rsidRPr="00D022E1" w:rsidRDefault="001E23C9" w:rsidP="003A0A48">
      <w:pPr>
        <w:spacing w:after="0" w:line="360" w:lineRule="auto"/>
        <w:ind w:firstLine="226"/>
        <w:jc w:val="both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>ה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אמידות </w:t>
      </w:r>
      <w:r w:rsidR="00A619C8">
        <w:rPr>
          <w:rFonts w:ascii="Times New Roman" w:hAnsi="Times New Roman" w:cs="David" w:hint="cs"/>
          <w:sz w:val="24"/>
          <w:szCs w:val="24"/>
          <w:rtl/>
        </w:rPr>
        <w:t xml:space="preserve">שנערכו 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בקרב </w:t>
      </w:r>
      <w:r w:rsidR="000A6B6F">
        <w:rPr>
          <w:rFonts w:ascii="Times New Roman" w:hAnsi="Times New Roman" w:cs="David" w:hint="cs"/>
          <w:sz w:val="24"/>
          <w:szCs w:val="24"/>
          <w:rtl/>
        </w:rPr>
        <w:t xml:space="preserve">בעלי 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תואר ראשון </w:t>
      </w:r>
      <w:r w:rsidR="000A15F8">
        <w:rPr>
          <w:rFonts w:ascii="Times New Roman" w:hAnsi="Times New Roman" w:cs="David" w:hint="cs"/>
          <w:sz w:val="24"/>
          <w:szCs w:val="24"/>
          <w:rtl/>
        </w:rPr>
        <w:t xml:space="preserve">או </w:t>
      </w:r>
      <w:r w:rsidR="000F1414">
        <w:rPr>
          <w:rFonts w:ascii="Times New Roman" w:hAnsi="Times New Roman" w:cs="David" w:hint="cs"/>
          <w:sz w:val="24"/>
          <w:szCs w:val="24"/>
          <w:rtl/>
        </w:rPr>
        <w:t>שני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 מלמד</w:t>
      </w:r>
      <w:r>
        <w:rPr>
          <w:rFonts w:ascii="Times New Roman" w:hAnsi="Times New Roman" w:cs="David" w:hint="cs"/>
          <w:sz w:val="24"/>
          <w:szCs w:val="24"/>
          <w:rtl/>
        </w:rPr>
        <w:t>ו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ת </w:t>
      </w:r>
      <w:r w:rsidR="000F1414">
        <w:rPr>
          <w:rFonts w:ascii="Times New Roman" w:hAnsi="Times New Roman" w:cs="David" w:hint="cs"/>
          <w:sz w:val="24"/>
          <w:szCs w:val="24"/>
          <w:rtl/>
        </w:rPr>
        <w:t>כי כשיתר הדברים קבועים, השכר השנתי ברוטו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3A0A48"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בוגרי האוניברסיטאות </w:t>
      </w:r>
      <w:r w:rsidR="0051284D">
        <w:rPr>
          <w:rFonts w:ascii="Times New Roman" w:hAnsi="Times New Roman" w:cs="David" w:hint="cs"/>
          <w:sz w:val="24"/>
          <w:szCs w:val="24"/>
          <w:rtl/>
        </w:rPr>
        <w:t xml:space="preserve">היה גבוה </w:t>
      </w:r>
      <w:r w:rsidR="003A0A48">
        <w:rPr>
          <w:rFonts w:ascii="Times New Roman" w:hAnsi="Times New Roman" w:cs="David" w:hint="cs"/>
          <w:sz w:val="24"/>
          <w:szCs w:val="24"/>
          <w:rtl/>
        </w:rPr>
        <w:t>ב-2008</w:t>
      </w:r>
      <w:r w:rsidR="003A0A48" w:rsidRPr="003376FC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="003A0A48">
        <w:rPr>
          <w:rFonts w:ascii="Times New Roman" w:hAnsi="Times New Roman" w:cs="David" w:hint="cs"/>
          <w:sz w:val="24"/>
          <w:szCs w:val="24"/>
          <w:rtl/>
        </w:rPr>
        <w:t xml:space="preserve">2015 </w:t>
      </w:r>
      <w:r w:rsidR="000F1414">
        <w:rPr>
          <w:rFonts w:ascii="Times New Roman" w:hAnsi="Times New Roman" w:cs="David" w:hint="cs"/>
          <w:sz w:val="24"/>
          <w:szCs w:val="24"/>
          <w:rtl/>
        </w:rPr>
        <w:t>בכ-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10% </w:t>
      </w:r>
      <w:r w:rsidR="00FA6D26">
        <w:rPr>
          <w:rFonts w:ascii="Times New Roman" w:hAnsi="Times New Roman" w:cs="David" w:hint="cs"/>
          <w:sz w:val="24"/>
          <w:szCs w:val="24"/>
          <w:rtl/>
        </w:rPr>
        <w:t>מ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שכר 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בוגרי </w:t>
      </w:r>
      <w:r w:rsidR="000F1414">
        <w:rPr>
          <w:rFonts w:ascii="Times New Roman" w:hAnsi="Times New Roman" w:cs="David" w:hint="cs"/>
          <w:sz w:val="24"/>
          <w:szCs w:val="24"/>
          <w:rtl/>
        </w:rPr>
        <w:t>ה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מכללות </w:t>
      </w:r>
      <w:r w:rsidR="000F1414">
        <w:rPr>
          <w:rFonts w:ascii="Times New Roman" w:hAnsi="Times New Roman" w:cs="David" w:hint="cs"/>
          <w:sz w:val="24"/>
          <w:szCs w:val="24"/>
          <w:rtl/>
        </w:rPr>
        <w:t>ה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ציבוריות, 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והשכר </w:t>
      </w:r>
      <w:r w:rsidR="003A0A48">
        <w:rPr>
          <w:rFonts w:ascii="Times New Roman" w:hAnsi="Times New Roman" w:cs="David" w:hint="cs"/>
          <w:sz w:val="24"/>
          <w:szCs w:val="24"/>
          <w:rtl/>
        </w:rPr>
        <w:t xml:space="preserve">של 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בוגרי המכללות הפרטיות </w:t>
      </w:r>
      <w:r w:rsidR="0051284D">
        <w:rPr>
          <w:rFonts w:ascii="Times New Roman" w:hAnsi="Times New Roman" w:cs="David" w:hint="cs"/>
          <w:sz w:val="24"/>
          <w:szCs w:val="24"/>
          <w:rtl/>
        </w:rPr>
        <w:t>היה גבוה</w:t>
      </w:r>
      <w:r w:rsidR="00FA6D26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51284D">
        <w:rPr>
          <w:rFonts w:ascii="Times New Roman" w:hAnsi="Times New Roman" w:cs="David" w:hint="cs"/>
          <w:sz w:val="24"/>
          <w:szCs w:val="24"/>
          <w:rtl/>
        </w:rPr>
        <w:t>מ</w:t>
      </w:r>
      <w:r w:rsidR="006C2970">
        <w:rPr>
          <w:rFonts w:ascii="Times New Roman" w:hAnsi="Times New Roman" w:cs="David" w:hint="cs"/>
          <w:sz w:val="24"/>
          <w:szCs w:val="24"/>
          <w:rtl/>
        </w:rPr>
        <w:t xml:space="preserve">שכר בוגרי המכללות הציבוריות </w:t>
      </w:r>
      <w:r w:rsidR="003A0A48">
        <w:rPr>
          <w:rFonts w:ascii="Times New Roman" w:hAnsi="Times New Roman" w:cs="David" w:hint="cs"/>
          <w:sz w:val="24"/>
          <w:szCs w:val="24"/>
          <w:rtl/>
        </w:rPr>
        <w:t xml:space="preserve">     </w:t>
      </w:r>
      <w:r w:rsidR="000F1414">
        <w:rPr>
          <w:rFonts w:ascii="Times New Roman" w:hAnsi="Times New Roman" w:cs="David" w:hint="cs"/>
          <w:sz w:val="24"/>
          <w:szCs w:val="24"/>
          <w:rtl/>
        </w:rPr>
        <w:t>ב-6%</w:t>
      </w:r>
      <w:r w:rsidR="000F4F1C" w:rsidRPr="003376FC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="000F1414">
        <w:rPr>
          <w:rFonts w:ascii="Times New Roman" w:hAnsi="Times New Roman" w:cs="David" w:hint="cs"/>
          <w:sz w:val="24"/>
          <w:szCs w:val="24"/>
          <w:rtl/>
        </w:rPr>
        <w:t>7%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. פערי השכר נותרו יציבים 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גם לאחר </w:t>
      </w:r>
      <w:r w:rsidR="00A619C8">
        <w:rPr>
          <w:rFonts w:ascii="Times New Roman" w:hAnsi="Times New Roman" w:cs="David" w:hint="cs"/>
          <w:sz w:val="24"/>
          <w:szCs w:val="24"/>
          <w:rtl/>
        </w:rPr>
        <w:t>ש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הנתונים </w:t>
      </w:r>
      <w:r w:rsidR="00A619C8">
        <w:rPr>
          <w:rFonts w:ascii="Times New Roman" w:hAnsi="Times New Roman" w:cs="David" w:hint="cs"/>
          <w:sz w:val="24"/>
          <w:szCs w:val="24"/>
          <w:rtl/>
        </w:rPr>
        <w:t xml:space="preserve">פולחו 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>לפי שנת סיום התואר</w:t>
      </w:r>
      <w:r w:rsidR="000F4F1C">
        <w:rPr>
          <w:rFonts w:ascii="Times New Roman" w:hAnsi="Times New Roman" w:cs="David" w:hint="cs"/>
          <w:sz w:val="24"/>
          <w:szCs w:val="24"/>
          <w:rtl/>
        </w:rPr>
        <w:t xml:space="preserve"> (איור 1)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>ו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מספר 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>השנים שחלפו מאז</w:t>
      </w:r>
      <w:r w:rsidR="000F4F1C">
        <w:rPr>
          <w:rFonts w:ascii="Times New Roman" w:hAnsi="Times New Roman" w:cs="David" w:hint="cs"/>
          <w:sz w:val="24"/>
          <w:szCs w:val="24"/>
          <w:rtl/>
        </w:rPr>
        <w:t xml:space="preserve"> (איור 2)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0F1414">
        <w:rPr>
          <w:rFonts w:ascii="Times New Roman" w:hAnsi="Times New Roman" w:cs="David" w:hint="cs"/>
          <w:sz w:val="24"/>
          <w:szCs w:val="24"/>
          <w:rtl/>
        </w:rPr>
        <w:t>מדרג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 השכר השנתי נשמר </w:t>
      </w:r>
      <w:r w:rsidR="00A619C8">
        <w:rPr>
          <w:rFonts w:ascii="Times New Roman" w:hAnsi="Times New Roman" w:cs="David" w:hint="cs"/>
          <w:sz w:val="24"/>
          <w:szCs w:val="24"/>
          <w:rtl/>
        </w:rPr>
        <w:t xml:space="preserve">כאשר הבוגרים חולקו </w:t>
      </w:r>
      <w:r w:rsidR="000F1414">
        <w:rPr>
          <w:rFonts w:ascii="Times New Roman" w:hAnsi="Times New Roman" w:cs="David" w:hint="cs"/>
          <w:sz w:val="24"/>
          <w:szCs w:val="24"/>
          <w:rtl/>
        </w:rPr>
        <w:t>ל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פי </w:t>
      </w:r>
      <w:r w:rsidR="000F1414">
        <w:rPr>
          <w:rFonts w:ascii="Times New Roman" w:hAnsi="Times New Roman" w:cs="David" w:hint="cs"/>
          <w:sz w:val="24"/>
          <w:szCs w:val="24"/>
          <w:rtl/>
        </w:rPr>
        <w:t>ה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מגדר, </w:t>
      </w:r>
      <w:r w:rsidR="000F1414">
        <w:rPr>
          <w:rFonts w:ascii="Times New Roman" w:hAnsi="Times New Roman" w:cs="David" w:hint="cs"/>
          <w:sz w:val="24"/>
          <w:szCs w:val="24"/>
          <w:rtl/>
        </w:rPr>
        <w:t>ה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לאום והכנסת </w:t>
      </w:r>
      <w:r w:rsidR="000F1414">
        <w:rPr>
          <w:rFonts w:ascii="Times New Roman" w:hAnsi="Times New Roman" w:cs="David" w:hint="cs"/>
          <w:sz w:val="24"/>
          <w:szCs w:val="24"/>
          <w:rtl/>
        </w:rPr>
        <w:t>ה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הורים. השכר 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השעתי 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ברוטו </w:t>
      </w:r>
      <w:r w:rsidR="003A0A48">
        <w:rPr>
          <w:rFonts w:ascii="Times New Roman" w:hAnsi="Times New Roman" w:cs="David" w:hint="cs"/>
          <w:sz w:val="24"/>
          <w:szCs w:val="24"/>
          <w:rtl/>
        </w:rPr>
        <w:t>של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 בוגרי 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האוניברסיטאות </w:t>
      </w:r>
      <w:r w:rsidR="000F1414">
        <w:rPr>
          <w:rFonts w:ascii="Times New Roman" w:hAnsi="Times New Roman" w:cs="David" w:hint="cs"/>
          <w:sz w:val="24"/>
          <w:szCs w:val="24"/>
          <w:rtl/>
        </w:rPr>
        <w:t xml:space="preserve">דמה ב-2008 לשכר המקביל בקרב בוגרי 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המכללות הפרטיות </w:t>
      </w:r>
      <w:r w:rsidR="000F1414">
        <w:rPr>
          <w:rFonts w:ascii="Times New Roman" w:hAnsi="Times New Roman" w:cs="David" w:hint="cs"/>
          <w:sz w:val="24"/>
          <w:szCs w:val="24"/>
          <w:rtl/>
        </w:rPr>
        <w:t>ועלה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 בכ-4%</w:t>
      </w:r>
      <w:r w:rsidR="000F4F1C" w:rsidRPr="003376FC">
        <w:rPr>
          <w:rFonts w:ascii="Times New Roman" w:hAnsi="Times New Roman" w:cs="David"/>
          <w:b/>
          <w:bCs/>
          <w:sz w:val="24"/>
          <w:szCs w:val="24"/>
          <w:rtl/>
        </w:rPr>
        <w:t>–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6% </w:t>
      </w:r>
      <w:r w:rsidR="000F1414">
        <w:rPr>
          <w:rFonts w:ascii="Times New Roman" w:hAnsi="Times New Roman" w:cs="David" w:hint="cs"/>
          <w:sz w:val="24"/>
          <w:szCs w:val="24"/>
          <w:rtl/>
        </w:rPr>
        <w:t>על שכרם</w:t>
      </w:r>
      <w:r w:rsidR="000F1414" w:rsidRPr="00D022E1">
        <w:rPr>
          <w:rFonts w:ascii="Times New Roman" w:hAnsi="Times New Roman" w:cs="David" w:hint="cs"/>
          <w:sz w:val="24"/>
          <w:szCs w:val="24"/>
          <w:rtl/>
        </w:rPr>
        <w:t xml:space="preserve"> של בוגרי המכללות הציבוריות.</w:t>
      </w:r>
      <w:r w:rsidR="00A619C8">
        <w:rPr>
          <w:rFonts w:ascii="Times New Roman" w:hAnsi="Times New Roman" w:cs="David" w:hint="cs"/>
          <w:sz w:val="24"/>
          <w:szCs w:val="24"/>
          <w:rtl/>
        </w:rPr>
        <w:t xml:space="preserve"> פער זה קטן מהפער בשכר השנתי</w:t>
      </w:r>
      <w:r w:rsidR="00DE385A">
        <w:rPr>
          <w:rFonts w:ascii="Times New Roman" w:hAnsi="Times New Roman" w:cs="David" w:hint="cs"/>
          <w:sz w:val="24"/>
          <w:szCs w:val="24"/>
          <w:rtl/>
        </w:rPr>
        <w:t xml:space="preserve"> כיוון ש</w:t>
      </w:r>
      <w:r w:rsidR="00A619C8">
        <w:rPr>
          <w:rFonts w:ascii="Times New Roman" w:hAnsi="Times New Roman" w:cs="David" w:hint="cs"/>
          <w:sz w:val="24"/>
          <w:szCs w:val="24"/>
          <w:rtl/>
        </w:rPr>
        <w:t xml:space="preserve">בוגרי האוניברסיטאות והמכללות הפרטיות עובדים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בממוצע </w:t>
      </w:r>
      <w:r w:rsidR="00DE385A">
        <w:rPr>
          <w:rFonts w:ascii="Times New Roman" w:hAnsi="Times New Roman" w:cs="David" w:hint="cs"/>
          <w:sz w:val="24"/>
          <w:szCs w:val="24"/>
          <w:rtl/>
        </w:rPr>
        <w:t xml:space="preserve">יותר </w:t>
      </w:r>
      <w:r w:rsidR="00A619C8">
        <w:rPr>
          <w:rFonts w:ascii="Times New Roman" w:hAnsi="Times New Roman" w:cs="David" w:hint="cs"/>
          <w:sz w:val="24"/>
          <w:szCs w:val="24"/>
          <w:rtl/>
        </w:rPr>
        <w:t xml:space="preserve">שעות </w:t>
      </w:r>
      <w:r>
        <w:rPr>
          <w:rFonts w:ascii="Times New Roman" w:hAnsi="Times New Roman" w:cs="David" w:hint="cs"/>
          <w:sz w:val="24"/>
          <w:szCs w:val="24"/>
          <w:rtl/>
        </w:rPr>
        <w:t>בשנה</w:t>
      </w:r>
      <w:r w:rsidR="00DE385A">
        <w:rPr>
          <w:rFonts w:ascii="Times New Roman" w:hAnsi="Times New Roman" w:cs="David" w:hint="cs"/>
          <w:sz w:val="24"/>
          <w:szCs w:val="24"/>
          <w:rtl/>
        </w:rPr>
        <w:t xml:space="preserve"> מבוגרי המכללות הציבוריות</w:t>
      </w:r>
      <w:r>
        <w:rPr>
          <w:rFonts w:ascii="Times New Roman" w:hAnsi="Times New Roman" w:cs="David" w:hint="cs"/>
          <w:sz w:val="24"/>
          <w:szCs w:val="24"/>
          <w:rtl/>
        </w:rPr>
        <w:t>.</w:t>
      </w:r>
    </w:p>
    <w:p w:rsidR="001E23C9" w:rsidRDefault="0046665F" w:rsidP="000A6B6F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hAnsi="Times New Roman" w:cs="David"/>
          <w:sz w:val="24"/>
          <w:szCs w:val="24"/>
          <w:rtl/>
        </w:rPr>
      </w:pP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אמידות </w:t>
      </w:r>
      <w:r w:rsidR="00FA6D26">
        <w:rPr>
          <w:rFonts w:ascii="Times New Roman" w:hAnsi="Times New Roman" w:cs="David" w:hint="cs"/>
          <w:sz w:val="24"/>
          <w:szCs w:val="24"/>
          <w:rtl/>
        </w:rPr>
        <w:t>(</w:t>
      </w:r>
      <w:r w:rsidR="001E23C9">
        <w:rPr>
          <w:rFonts w:ascii="Times New Roman" w:hAnsi="Times New Roman" w:cs="David" w:hint="cs"/>
          <w:sz w:val="24"/>
          <w:szCs w:val="24"/>
          <w:rtl/>
        </w:rPr>
        <w:t>מרובות משתנים</w:t>
      </w:r>
      <w:r w:rsidR="00FA6D26">
        <w:rPr>
          <w:rFonts w:ascii="Times New Roman" w:hAnsi="Times New Roman" w:cs="David" w:hint="cs"/>
          <w:sz w:val="24"/>
          <w:szCs w:val="24"/>
          <w:rtl/>
        </w:rPr>
        <w:t>)</w:t>
      </w:r>
      <w:r w:rsidR="001E23C9">
        <w:rPr>
          <w:rFonts w:ascii="Times New Roman" w:hAnsi="Times New Roman" w:cs="David" w:hint="cs"/>
          <w:sz w:val="24"/>
          <w:szCs w:val="24"/>
          <w:rtl/>
        </w:rPr>
        <w:t xml:space="preserve"> שנערכו 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בקרב </w:t>
      </w:r>
      <w:r>
        <w:rPr>
          <w:rFonts w:ascii="Times New Roman" w:hAnsi="Times New Roman" w:cs="David" w:hint="cs"/>
          <w:sz w:val="24"/>
          <w:szCs w:val="24"/>
          <w:rtl/>
        </w:rPr>
        <w:t>ב</w:t>
      </w:r>
      <w:r w:rsidR="000A6B6F">
        <w:rPr>
          <w:rFonts w:ascii="Times New Roman" w:hAnsi="Times New Roman" w:cs="David" w:hint="cs"/>
          <w:sz w:val="24"/>
          <w:szCs w:val="24"/>
          <w:rtl/>
        </w:rPr>
        <w:t xml:space="preserve">עלי </w:t>
      </w:r>
      <w:r w:rsidRPr="00D022E1">
        <w:rPr>
          <w:rFonts w:ascii="Times New Roman" w:hAnsi="Times New Roman" w:cs="David" w:hint="cs"/>
          <w:sz w:val="24"/>
          <w:szCs w:val="24"/>
          <w:rtl/>
        </w:rPr>
        <w:t>תואר ראשון בלבד</w:t>
      </w:r>
      <w:r w:rsidR="001E23C9">
        <w:rPr>
          <w:rFonts w:ascii="Times New Roman" w:hAnsi="Times New Roman" w:cs="David" w:hint="cs"/>
          <w:sz w:val="24"/>
          <w:szCs w:val="24"/>
          <w:rtl/>
        </w:rPr>
        <w:t xml:space="preserve"> העלו</w:t>
      </w:r>
      <w:r>
        <w:rPr>
          <w:rFonts w:ascii="Times New Roman" w:hAnsi="Times New Roman" w:cs="David" w:hint="cs"/>
          <w:sz w:val="24"/>
          <w:szCs w:val="24"/>
          <w:rtl/>
        </w:rPr>
        <w:t xml:space="preserve"> כי 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שכרם השנתי של בוגרי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D022E1">
        <w:rPr>
          <w:rFonts w:ascii="Times New Roman" w:hAnsi="Times New Roman" w:cs="David" w:hint="cs"/>
          <w:sz w:val="24"/>
          <w:szCs w:val="24"/>
          <w:rtl/>
        </w:rPr>
        <w:t>אוניברסיטאות ו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מכללות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פרטיות גבוה בכ-10% משכרם של בוגרי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מכללות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D022E1">
        <w:rPr>
          <w:rFonts w:ascii="Times New Roman" w:hAnsi="Times New Roman" w:cs="David" w:hint="cs"/>
          <w:sz w:val="24"/>
          <w:szCs w:val="24"/>
          <w:rtl/>
        </w:rPr>
        <w:t>ציבוריות</w:t>
      </w:r>
      <w:r w:rsidR="001E23C9">
        <w:rPr>
          <w:rFonts w:ascii="Times New Roman" w:hAnsi="Times New Roman" w:cs="David" w:hint="cs"/>
          <w:sz w:val="24"/>
          <w:szCs w:val="24"/>
          <w:rtl/>
        </w:rPr>
        <w:t>, בדומה לממצאים לגבי ב</w:t>
      </w:r>
      <w:r w:rsidR="00DE385A">
        <w:rPr>
          <w:rFonts w:ascii="Times New Roman" w:hAnsi="Times New Roman" w:cs="David" w:hint="cs"/>
          <w:sz w:val="24"/>
          <w:szCs w:val="24"/>
          <w:rtl/>
        </w:rPr>
        <w:t xml:space="preserve">וגרי </w:t>
      </w:r>
      <w:r w:rsidR="001E23C9">
        <w:rPr>
          <w:rFonts w:ascii="Times New Roman" w:hAnsi="Times New Roman" w:cs="David" w:hint="cs"/>
          <w:sz w:val="24"/>
          <w:szCs w:val="24"/>
          <w:rtl/>
        </w:rPr>
        <w:t>תואר ראשון או שני</w:t>
      </w:r>
      <w:r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9131C9">
        <w:rPr>
          <w:rFonts w:ascii="Times New Roman" w:hAnsi="Times New Roman" w:cs="David" w:hint="cs"/>
          <w:sz w:val="24"/>
          <w:szCs w:val="24"/>
          <w:rtl/>
        </w:rPr>
        <w:t>שיטות אמידה חלופיות</w:t>
      </w:r>
      <w:r w:rsidR="00DE385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9131C9">
        <w:rPr>
          <w:rFonts w:ascii="Times New Roman" w:hAnsi="Times New Roman" w:cs="David" w:hint="cs"/>
          <w:sz w:val="24"/>
          <w:szCs w:val="24"/>
          <w:rtl/>
        </w:rPr>
        <w:t>העלו ש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בוגרי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אוניברסיטאות </w:t>
      </w:r>
      <w:r>
        <w:rPr>
          <w:rFonts w:ascii="Times New Roman" w:hAnsi="Times New Roman" w:cs="David" w:hint="cs"/>
          <w:sz w:val="24"/>
          <w:szCs w:val="24"/>
          <w:rtl/>
        </w:rPr>
        <w:t>והמכללות הפרטיות משתכרים, בהתאמה,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 כ-20% </w:t>
      </w:r>
      <w:r>
        <w:rPr>
          <w:rFonts w:ascii="Times New Roman" w:hAnsi="Times New Roman" w:cs="David" w:hint="cs"/>
          <w:sz w:val="24"/>
          <w:szCs w:val="24"/>
          <w:rtl/>
        </w:rPr>
        <w:t xml:space="preserve">וכ-14% 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יותר מבוגרי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מכללות </w:t>
      </w:r>
      <w:r>
        <w:rPr>
          <w:rFonts w:ascii="Times New Roman" w:hAnsi="Times New Roman" w:cs="David" w:hint="cs"/>
          <w:sz w:val="24"/>
          <w:szCs w:val="24"/>
          <w:rtl/>
        </w:rPr>
        <w:t>ה</w:t>
      </w:r>
      <w:r w:rsidRPr="00D022E1">
        <w:rPr>
          <w:rFonts w:ascii="Times New Roman" w:hAnsi="Times New Roman" w:cs="David" w:hint="cs"/>
          <w:sz w:val="24"/>
          <w:szCs w:val="24"/>
          <w:rtl/>
        </w:rPr>
        <w:t>ציבוריות</w:t>
      </w:r>
      <w:r w:rsidR="009131C9">
        <w:rPr>
          <w:rFonts w:ascii="Times New Roman" w:hAnsi="Times New Roman" w:cs="David" w:hint="cs"/>
          <w:sz w:val="24"/>
          <w:szCs w:val="24"/>
          <w:rtl/>
        </w:rPr>
        <w:t>.</w:t>
      </w:r>
      <w:r w:rsidRPr="00671371">
        <w:rPr>
          <w:rFonts w:ascii="Times New Roman" w:hAnsi="Times New Roman" w:cs="David" w:hint="cs"/>
          <w:sz w:val="14"/>
          <w:szCs w:val="24"/>
          <w:rtl/>
        </w:rPr>
        <w:t xml:space="preserve"> </w:t>
      </w:r>
    </w:p>
    <w:p w:rsidR="0046665F" w:rsidRDefault="001E23C9" w:rsidP="00BB1DAA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עיקר המחקר עוסק בפערים בתשואה </w:t>
      </w:r>
      <w:r w:rsidR="000A15F8">
        <w:rPr>
          <w:rFonts w:ascii="Times New Roman" w:hAnsi="Times New Roman" w:cs="David" w:hint="cs"/>
          <w:sz w:val="24"/>
          <w:szCs w:val="24"/>
          <w:rtl/>
        </w:rPr>
        <w:t xml:space="preserve">במונחי שכר </w:t>
      </w:r>
      <w:r>
        <w:rPr>
          <w:rFonts w:ascii="Times New Roman" w:hAnsi="Times New Roman" w:cs="David" w:hint="cs"/>
          <w:sz w:val="24"/>
          <w:szCs w:val="24"/>
          <w:rtl/>
        </w:rPr>
        <w:t>להש</w:t>
      </w:r>
      <w:r w:rsidR="00742962">
        <w:rPr>
          <w:rFonts w:ascii="Times New Roman" w:hAnsi="Times New Roman" w:cs="David" w:hint="cs"/>
          <w:sz w:val="24"/>
          <w:szCs w:val="24"/>
          <w:rtl/>
        </w:rPr>
        <w:t>כלה גבוהה בין בוגרי סוגי המוסדות השונים, ומוצא, כאמור, כי התשואה ללימודים במכללות הציבוריות נמוכה מ</w:t>
      </w:r>
      <w:r w:rsidR="000A15F8">
        <w:rPr>
          <w:rFonts w:ascii="Times New Roman" w:hAnsi="Times New Roman" w:cs="David" w:hint="cs"/>
          <w:sz w:val="24"/>
          <w:szCs w:val="24"/>
          <w:rtl/>
        </w:rPr>
        <w:t xml:space="preserve">זו </w:t>
      </w:r>
      <w:r w:rsidR="0051284D">
        <w:rPr>
          <w:rFonts w:ascii="Times New Roman" w:hAnsi="Times New Roman" w:cs="David" w:hint="cs"/>
          <w:sz w:val="24"/>
          <w:szCs w:val="24"/>
          <w:rtl/>
        </w:rPr>
        <w:t>ש</w:t>
      </w:r>
      <w:r w:rsidR="00742962">
        <w:rPr>
          <w:rFonts w:ascii="Times New Roman" w:hAnsi="Times New Roman" w:cs="David" w:hint="cs"/>
          <w:sz w:val="24"/>
          <w:szCs w:val="24"/>
          <w:rtl/>
        </w:rPr>
        <w:t>באוניברסיטאות ובמכללות הפרטיות. עם זאת, חשוב לציין כי השוואה ש</w:t>
      </w:r>
      <w:r w:rsidR="00DE385A">
        <w:rPr>
          <w:rFonts w:ascii="Times New Roman" w:hAnsi="Times New Roman" w:cs="David" w:hint="cs"/>
          <w:sz w:val="24"/>
          <w:szCs w:val="24"/>
          <w:rtl/>
        </w:rPr>
        <w:t xml:space="preserve">נערכה </w:t>
      </w:r>
      <w:r w:rsidR="0046665F">
        <w:rPr>
          <w:rFonts w:ascii="Times New Roman" w:hAnsi="Times New Roman" w:cs="David" w:hint="cs"/>
          <w:sz w:val="24"/>
          <w:szCs w:val="24"/>
          <w:rtl/>
        </w:rPr>
        <w:t xml:space="preserve">בין </w:t>
      </w:r>
      <w:r w:rsidR="00742962">
        <w:rPr>
          <w:rFonts w:ascii="Times New Roman" w:hAnsi="Times New Roman" w:cs="David" w:hint="cs"/>
          <w:sz w:val="24"/>
          <w:szCs w:val="24"/>
          <w:rtl/>
        </w:rPr>
        <w:t xml:space="preserve">שכרם של </w:t>
      </w:r>
      <w:r w:rsidR="0046665F">
        <w:rPr>
          <w:rFonts w:ascii="Times New Roman" w:hAnsi="Times New Roman" w:cs="David" w:hint="cs"/>
          <w:sz w:val="24"/>
          <w:szCs w:val="24"/>
          <w:rtl/>
        </w:rPr>
        <w:t>ב</w:t>
      </w:r>
      <w:r w:rsidR="00DE385A">
        <w:rPr>
          <w:rFonts w:ascii="Times New Roman" w:hAnsi="Times New Roman" w:cs="David" w:hint="cs"/>
          <w:sz w:val="24"/>
          <w:szCs w:val="24"/>
          <w:rtl/>
        </w:rPr>
        <w:t xml:space="preserve">וגרי </w:t>
      </w:r>
      <w:r w:rsidR="0046665F">
        <w:rPr>
          <w:rFonts w:ascii="Times New Roman" w:hAnsi="Times New Roman" w:cs="David" w:hint="cs"/>
          <w:sz w:val="24"/>
          <w:szCs w:val="24"/>
          <w:rtl/>
        </w:rPr>
        <w:t>תואר ראשון ל</w:t>
      </w:r>
      <w:r w:rsidR="0046665F" w:rsidRPr="00D022E1">
        <w:rPr>
          <w:rFonts w:ascii="Times New Roman" w:hAnsi="Times New Roman" w:cs="David" w:hint="cs"/>
          <w:sz w:val="24"/>
          <w:szCs w:val="24"/>
          <w:rtl/>
        </w:rPr>
        <w:t>בעלי תעודת בגרות בלבד</w:t>
      </w:r>
      <w:r w:rsidR="00DE385A">
        <w:rPr>
          <w:rFonts w:ascii="Times New Roman" w:hAnsi="Times New Roman" w:cs="David" w:hint="cs"/>
          <w:sz w:val="24"/>
          <w:szCs w:val="24"/>
          <w:rtl/>
        </w:rPr>
        <w:t xml:space="preserve"> מ</w:t>
      </w:r>
      <w:r w:rsidR="000A15F8">
        <w:rPr>
          <w:rFonts w:ascii="Times New Roman" w:hAnsi="Times New Roman" w:cs="David" w:hint="cs"/>
          <w:sz w:val="24"/>
          <w:szCs w:val="24"/>
          <w:rtl/>
        </w:rPr>
        <w:t>צביעה על כך ש</w:t>
      </w:r>
      <w:r w:rsidR="0051284D">
        <w:rPr>
          <w:rFonts w:ascii="Times New Roman" w:hAnsi="Times New Roman" w:cs="David" w:hint="cs"/>
          <w:sz w:val="24"/>
          <w:szCs w:val="24"/>
          <w:rtl/>
        </w:rPr>
        <w:t xml:space="preserve">גם </w:t>
      </w:r>
      <w:r w:rsidR="0046665F">
        <w:rPr>
          <w:rFonts w:ascii="Times New Roman" w:hAnsi="Times New Roman" w:cs="David" w:hint="cs"/>
          <w:sz w:val="24"/>
          <w:szCs w:val="24"/>
          <w:rtl/>
        </w:rPr>
        <w:t>לימודים במכללות הציבוריות מניבים תשואה נאה</w:t>
      </w:r>
      <w:r w:rsidR="00FA6D26">
        <w:rPr>
          <w:rFonts w:ascii="Times New Roman" w:hAnsi="Times New Roman" w:cs="David" w:hint="cs"/>
          <w:sz w:val="24"/>
          <w:szCs w:val="24"/>
          <w:rtl/>
        </w:rPr>
        <w:t>:</w:t>
      </w:r>
      <w:r w:rsidR="0046665F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FA6D26">
        <w:rPr>
          <w:rFonts w:ascii="Times New Roman" w:hAnsi="Times New Roman" w:cs="David" w:hint="cs"/>
          <w:sz w:val="24"/>
          <w:szCs w:val="24"/>
          <w:rtl/>
        </w:rPr>
        <w:t>שכר בוגרי מדעי החברה ו</w:t>
      </w:r>
      <w:r w:rsidR="00FA6D26" w:rsidRPr="00D022E1">
        <w:rPr>
          <w:rFonts w:ascii="Times New Roman" w:hAnsi="Times New Roman" w:cs="David" w:hint="eastAsia"/>
          <w:sz w:val="24"/>
          <w:szCs w:val="24"/>
          <w:rtl/>
        </w:rPr>
        <w:t>מִ</w:t>
      </w:r>
      <w:r w:rsidR="00FA6D26" w:rsidRPr="00D022E1">
        <w:rPr>
          <w:rFonts w:ascii="Times New Roman" w:hAnsi="Times New Roman" w:cs="David" w:hint="cs"/>
          <w:sz w:val="24"/>
          <w:szCs w:val="24"/>
          <w:rtl/>
        </w:rPr>
        <w:t xml:space="preserve">נהל עסקים </w:t>
      </w:r>
      <w:r w:rsidR="003A0A48">
        <w:rPr>
          <w:rFonts w:ascii="Times New Roman" w:hAnsi="Times New Roman" w:cs="David" w:hint="cs"/>
          <w:sz w:val="24"/>
          <w:szCs w:val="24"/>
          <w:rtl/>
        </w:rPr>
        <w:t xml:space="preserve">מהמכללות הציבוריות </w:t>
      </w:r>
      <w:r w:rsidR="00FA6D26">
        <w:rPr>
          <w:rFonts w:ascii="Times New Roman" w:hAnsi="Times New Roman" w:cs="David" w:hint="cs"/>
          <w:sz w:val="24"/>
          <w:szCs w:val="24"/>
          <w:rtl/>
        </w:rPr>
        <w:t>גבוה בכ-30%</w:t>
      </w:r>
      <w:r w:rsidR="00BB1DAA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FA6D26">
        <w:rPr>
          <w:rFonts w:ascii="Times New Roman" w:hAnsi="Times New Roman" w:cs="David" w:hint="cs"/>
          <w:sz w:val="24"/>
          <w:szCs w:val="24"/>
          <w:rtl/>
        </w:rPr>
        <w:t xml:space="preserve">משכר בעלי תעודת בגרות בלבד, והפער מגיע עד </w:t>
      </w:r>
      <w:r w:rsidR="0046665F">
        <w:rPr>
          <w:rFonts w:ascii="Times New Roman" w:hAnsi="Times New Roman" w:cs="David" w:hint="cs"/>
          <w:sz w:val="24"/>
          <w:szCs w:val="24"/>
          <w:rtl/>
        </w:rPr>
        <w:t>80% לבוגרי מדעי המחשב</w:t>
      </w:r>
      <w:r w:rsidR="00FA6D26">
        <w:rPr>
          <w:rFonts w:ascii="Times New Roman" w:hAnsi="Times New Roman" w:cs="David" w:hint="cs"/>
          <w:sz w:val="24"/>
          <w:szCs w:val="24"/>
          <w:rtl/>
        </w:rPr>
        <w:t>.</w:t>
      </w:r>
      <w:r w:rsidR="0046665F" w:rsidRPr="00D022E1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:rsidR="000F1414" w:rsidRPr="00D022E1" w:rsidRDefault="000F1414" w:rsidP="00742962">
      <w:pPr>
        <w:tabs>
          <w:tab w:val="left" w:pos="650"/>
        </w:tabs>
        <w:spacing w:after="0" w:line="360" w:lineRule="auto"/>
        <w:ind w:firstLine="366"/>
        <w:jc w:val="both"/>
        <w:rPr>
          <w:rFonts w:ascii="Times New Roman" w:hAnsi="Times New Roman" w:cs="David"/>
          <w:sz w:val="24"/>
          <w:szCs w:val="24"/>
          <w:rtl/>
        </w:rPr>
      </w:pP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הממצאים מעידים </w:t>
      </w:r>
      <w:r>
        <w:rPr>
          <w:rFonts w:ascii="Times New Roman" w:hAnsi="Times New Roman" w:cs="David" w:hint="cs"/>
          <w:sz w:val="24"/>
          <w:szCs w:val="24"/>
          <w:rtl/>
        </w:rPr>
        <w:t xml:space="preserve">שבכל מקצוע סוגי המוסדות </w:t>
      </w:r>
      <w:r w:rsidR="00DE385A">
        <w:rPr>
          <w:rFonts w:ascii="Times New Roman" w:hAnsi="Times New Roman" w:cs="David" w:hint="cs"/>
          <w:sz w:val="24"/>
          <w:szCs w:val="24"/>
          <w:rtl/>
        </w:rPr>
        <w:t xml:space="preserve">להשכלה גבוהה </w:t>
      </w:r>
      <w:r>
        <w:rPr>
          <w:rFonts w:ascii="Times New Roman" w:hAnsi="Times New Roman" w:cs="David" w:hint="cs"/>
          <w:sz w:val="24"/>
          <w:szCs w:val="24"/>
          <w:rtl/>
        </w:rPr>
        <w:t>מדורגים אחרת מבחינת השכר</w:t>
      </w:r>
      <w:r w:rsidR="005144C7">
        <w:rPr>
          <w:rFonts w:ascii="Times New Roman" w:hAnsi="Times New Roman" w:cs="David" w:hint="cs"/>
          <w:sz w:val="24"/>
          <w:szCs w:val="24"/>
          <w:rtl/>
        </w:rPr>
        <w:t xml:space="preserve"> (איור 3</w:t>
      </w:r>
      <w:r w:rsidR="00742962">
        <w:rPr>
          <w:rFonts w:ascii="Times New Roman" w:hAnsi="Times New Roman" w:cs="David" w:hint="cs"/>
          <w:sz w:val="24"/>
          <w:szCs w:val="24"/>
          <w:rtl/>
        </w:rPr>
        <w:t>):</w:t>
      </w:r>
      <w:r w:rsidR="00742962" w:rsidRPr="00D022E1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שכרם השנתי והשעתי של בוגרי הנדסה ומקצועות עזר רפואיים </w:t>
      </w:r>
      <w:r>
        <w:rPr>
          <w:rFonts w:ascii="Times New Roman" w:hAnsi="Times New Roman" w:cs="David" w:hint="cs"/>
          <w:sz w:val="24"/>
          <w:szCs w:val="24"/>
          <w:rtl/>
        </w:rPr>
        <w:t>גבוה יותר אם הם לומדים ב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אוניברסיטאות, ואילו במִנהל עסקים </w:t>
      </w:r>
      <w:r>
        <w:rPr>
          <w:rFonts w:ascii="Times New Roman" w:hAnsi="Times New Roman" w:cs="David" w:hint="cs"/>
          <w:sz w:val="24"/>
          <w:szCs w:val="24"/>
          <w:rtl/>
        </w:rPr>
        <w:t>שכרם של בוגרי המכללות גבוה יותר</w:t>
      </w:r>
      <w:r w:rsidRPr="00D022E1">
        <w:rPr>
          <w:rFonts w:ascii="Times New Roman" w:hAnsi="Times New Roman" w:cs="David" w:hint="cs"/>
          <w:sz w:val="24"/>
          <w:szCs w:val="24"/>
          <w:rtl/>
        </w:rPr>
        <w:t xml:space="preserve">.  </w:t>
      </w:r>
    </w:p>
    <w:p w:rsidR="002A1A73" w:rsidRDefault="002A1A73">
      <w:pPr>
        <w:bidi w:val="0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  <w:rtl/>
        </w:rPr>
        <w:br w:type="page"/>
      </w:r>
    </w:p>
    <w:p w:rsidR="000F4F1C" w:rsidRDefault="000F4F1C" w:rsidP="000F4F1C">
      <w:pPr>
        <w:spacing w:after="0"/>
        <w:jc w:val="center"/>
        <w:rPr>
          <w:rFonts w:cs="David"/>
          <w:b/>
          <w:bCs/>
          <w:sz w:val="28"/>
          <w:szCs w:val="28"/>
          <w:rtl/>
        </w:rPr>
      </w:pPr>
    </w:p>
    <w:tbl>
      <w:tblPr>
        <w:tblStyle w:val="a6"/>
        <w:bidiVisual/>
        <w:tblW w:w="9923" w:type="dxa"/>
        <w:jc w:val="center"/>
        <w:tblLayout w:type="fixed"/>
        <w:tblLook w:val="04A0" w:firstRow="1" w:lastRow="0" w:firstColumn="1" w:lastColumn="0" w:noHBand="0" w:noVBand="1"/>
        <w:tblCaption w:val="התשואה השנתית להשכלה גבוהה לפי שנת סיום התואר הראשון"/>
        <w:tblDescription w:val="התשואה השנתית להשכלה גבוהה לפי שנת סיום התואר הראשון, 2008–2015, &#10;בהשוואה לבוגרי מכללות ציבוריות&#10;"/>
      </w:tblPr>
      <w:tblGrid>
        <w:gridCol w:w="9923"/>
      </w:tblGrid>
      <w:tr w:rsidR="000F4F1C" w:rsidRPr="001950C3" w:rsidTr="0061500C">
        <w:trPr>
          <w:jc w:val="center"/>
        </w:trPr>
        <w:tc>
          <w:tcPr>
            <w:tcW w:w="9923" w:type="dxa"/>
          </w:tcPr>
          <w:p w:rsidR="002A1A73" w:rsidRPr="002C00CD" w:rsidRDefault="000F4F1C" w:rsidP="00436C1E">
            <w:pPr>
              <w:spacing w:before="4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איור </w:t>
            </w:r>
            <w:r w:rsidR="00436C1E">
              <w:rPr>
                <w:rFonts w:cs="David" w:hint="cs"/>
                <w:b/>
                <w:bCs/>
                <w:sz w:val="24"/>
                <w:szCs w:val="24"/>
                <w:rtl/>
              </w:rPr>
              <w:t>1</w:t>
            </w:r>
            <w:r w:rsidRPr="00E00EE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.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התשואה השנתית </w:t>
            </w:r>
            <w:r w:rsidRPr="00D93643">
              <w:rPr>
                <w:rFonts w:cs="David" w:hint="cs"/>
                <w:b/>
                <w:bCs/>
                <w:sz w:val="24"/>
                <w:szCs w:val="24"/>
                <w:rtl/>
              </w:rPr>
              <w:t>להשכלה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גבוהה </w:t>
            </w:r>
            <w:r w:rsidRPr="001950C3">
              <w:rPr>
                <w:rFonts w:cs="David" w:hint="cs"/>
                <w:b/>
                <w:bCs/>
                <w:sz w:val="24"/>
                <w:szCs w:val="24"/>
                <w:rtl/>
              </w:rPr>
              <w:t>לפי שנת סיום התואר הראשון</w:t>
            </w:r>
            <w:r w:rsidRPr="002C00C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2C00CD">
              <w:rPr>
                <w:rFonts w:ascii="Arial Rounded MT Bold" w:eastAsia="Times New Roman" w:hAnsi="Arial Rounded MT Bold" w:cs="David" w:hint="cs"/>
                <w:b/>
                <w:bCs/>
                <w:color w:val="000000"/>
                <w:sz w:val="24"/>
                <w:szCs w:val="24"/>
                <w:rtl/>
              </w:rPr>
              <w:t>2008</w:t>
            </w:r>
            <w:r w:rsidR="002C00CD" w:rsidRPr="002C00CD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–</w:t>
            </w:r>
            <w:r w:rsidRPr="002C00CD">
              <w:rPr>
                <w:rFonts w:ascii="Arial Rounded MT Bold" w:eastAsia="Times New Roman" w:hAnsi="Arial Rounded MT Bold" w:cs="David" w:hint="cs"/>
                <w:b/>
                <w:bCs/>
                <w:color w:val="000000"/>
                <w:sz w:val="24"/>
                <w:szCs w:val="24"/>
                <w:rtl/>
              </w:rPr>
              <w:t>2015</w:t>
            </w:r>
            <w:r w:rsidR="002A1A73" w:rsidRPr="002C00CD">
              <w:rPr>
                <w:rFonts w:cs="David" w:hint="cs"/>
                <w:b/>
                <w:bCs/>
                <w:sz w:val="24"/>
                <w:szCs w:val="24"/>
                <w:rtl/>
              </w:rPr>
              <w:t>,</w:t>
            </w:r>
            <w:r w:rsidRPr="002C00C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F4F1C" w:rsidRPr="001950C3" w:rsidRDefault="002A1A73" w:rsidP="002A1A73">
            <w:pPr>
              <w:spacing w:before="4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A1A73">
              <w:rPr>
                <w:rFonts w:cs="David" w:hint="cs"/>
                <w:b/>
                <w:bCs/>
                <w:sz w:val="24"/>
                <w:szCs w:val="24"/>
                <w:rtl/>
              </w:rPr>
              <w:t>בהשוואה לבוגרי מכללות ציבוריות</w:t>
            </w:r>
            <w:r w:rsidRPr="00642062">
              <w:rPr>
                <w:rFonts w:ascii="Arial Rounded MT Bold" w:eastAsia="Times New Roman" w:hAnsi="Arial Rounded MT Bold" w:cs="David" w:hint="cs"/>
                <w:color w:val="000000"/>
                <w:sz w:val="24"/>
                <w:szCs w:val="24"/>
                <w:vertAlign w:val="superscript"/>
                <w:rtl/>
              </w:rPr>
              <w:t>1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0F4F1C">
              <w:rPr>
                <w:rFonts w:cs="David" w:hint="cs"/>
                <w:sz w:val="24"/>
                <w:szCs w:val="24"/>
                <w:rtl/>
              </w:rPr>
              <w:t>(אחוזים)</w:t>
            </w:r>
          </w:p>
        </w:tc>
      </w:tr>
      <w:tr w:rsidR="000F4F1C" w:rsidTr="0061500C">
        <w:trPr>
          <w:jc w:val="center"/>
        </w:trPr>
        <w:tc>
          <w:tcPr>
            <w:tcW w:w="9923" w:type="dxa"/>
          </w:tcPr>
          <w:p w:rsidR="000F4F1C" w:rsidRDefault="006E2335" w:rsidP="008B124A">
            <w:pPr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noProof/>
                <w:sz w:val="24"/>
                <w:szCs w:val="24"/>
              </w:rPr>
              <w:drawing>
                <wp:inline distT="0" distB="0" distL="0" distR="0" wp14:anchorId="74610C8C" wp14:editId="4A2B3B43">
                  <wp:extent cx="6086790" cy="3282287"/>
                  <wp:effectExtent l="0" t="0" r="0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975" cy="328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F1C" w:rsidTr="0061500C">
        <w:trPr>
          <w:jc w:val="center"/>
        </w:trPr>
        <w:tc>
          <w:tcPr>
            <w:tcW w:w="9923" w:type="dxa"/>
          </w:tcPr>
          <w:p w:rsidR="000F4F1C" w:rsidRDefault="000F4F1C" w:rsidP="008B124A">
            <w:pPr>
              <w:tabs>
                <w:tab w:val="left" w:pos="650"/>
              </w:tabs>
              <w:jc w:val="both"/>
              <w:rPr>
                <w:rFonts w:ascii="Arial Rounded MT Bold" w:eastAsia="Times New Roman" w:hAnsi="Arial Rounded MT Bold" w:cs="David"/>
                <w:color w:val="000000"/>
                <w:sz w:val="20"/>
                <w:szCs w:val="20"/>
                <w:rtl/>
              </w:rPr>
            </w:pPr>
            <w:r w:rsidRPr="00BB3A5F">
              <w:rPr>
                <w:rFonts w:ascii="Arial Rounded MT Bold" w:eastAsia="Times New Roman" w:hAnsi="Arial Rounded MT Bol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המקור: </w:t>
            </w:r>
            <w:r w:rsidRPr="00BB3A5F">
              <w:rPr>
                <w:rFonts w:ascii="Arial Rounded MT Bold" w:eastAsia="Times New Roman" w:hAnsi="Arial Rounded MT Bold" w:cs="David" w:hint="cs"/>
                <w:color w:val="000000"/>
                <w:sz w:val="20"/>
                <w:szCs w:val="20"/>
                <w:rtl/>
              </w:rPr>
              <w:t>הלשכה המרכזית לסטטיסטיקה ועיבודי המחברים.</w:t>
            </w:r>
          </w:p>
          <w:p w:rsidR="000F4F1C" w:rsidRDefault="002A1A73" w:rsidP="002A1A73">
            <w:pPr>
              <w:numPr>
                <w:ilvl w:val="0"/>
                <w:numId w:val="5"/>
              </w:numPr>
              <w:tabs>
                <w:tab w:val="left" w:pos="306"/>
              </w:tabs>
              <w:ind w:left="218" w:hanging="218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ascii="Arial Rounded MT Bold" w:eastAsia="Times New Roman" w:hAnsi="Arial Rounded MT Bold" w:cs="David" w:hint="cs"/>
                <w:color w:val="000000"/>
                <w:sz w:val="20"/>
                <w:szCs w:val="20"/>
                <w:rtl/>
              </w:rPr>
              <w:t xml:space="preserve">אוניברסיטאות העילית: האוניברסיטה העברית בירושלים, אוניברסיטת תל אביב, הטכניון </w:t>
            </w:r>
            <w:r>
              <w:rPr>
                <w:rFonts w:ascii="Arial Rounded MT Bold" w:eastAsia="Times New Roman" w:hAnsi="Arial Rounded MT Bol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Arial Rounded MT Bold" w:eastAsia="Times New Roman" w:hAnsi="Arial Rounded MT Bold" w:cs="David" w:hint="cs"/>
                <w:color w:val="000000"/>
                <w:sz w:val="20"/>
                <w:szCs w:val="20"/>
                <w:rtl/>
              </w:rPr>
              <w:t xml:space="preserve"> מכון טכנולוגי לישראל, ומכון ויצמן למדע.</w:t>
            </w:r>
          </w:p>
          <w:p w:rsidR="00436C1E" w:rsidRPr="00BB3A5F" w:rsidRDefault="00436C1E" w:rsidP="00436C1E">
            <w:pPr>
              <w:tabs>
                <w:tab w:val="left" w:pos="306"/>
              </w:tabs>
              <w:ind w:left="218"/>
              <w:jc w:val="both"/>
              <w:rPr>
                <w:rFonts w:cs="David"/>
                <w:sz w:val="20"/>
                <w:szCs w:val="20"/>
                <w:rtl/>
              </w:rPr>
            </w:pPr>
            <w:r w:rsidRPr="0091582E">
              <w:rPr>
                <w:rFonts w:ascii="Arial Rounded MT Bold" w:eastAsia="Times New Roman" w:hAnsi="Arial Rounded MT Bold" w:cs="David" w:hint="cs"/>
                <w:color w:val="000000"/>
                <w:sz w:val="20"/>
                <w:szCs w:val="20"/>
                <w:rtl/>
              </w:rPr>
              <w:t>חלוקת האוניברסיטאות לאוניברסיטאות עילית ולאחרות עולה בקנה אחד עם דירוגיהן לפי פרסומים/ ציטוטי מאמרים ועם דירוגים בין-לאומיים (כמו דירוג שנחאי ודירוג ה-</w:t>
            </w:r>
            <w:r w:rsidRPr="0091582E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Times</w:t>
            </w:r>
            <w:r w:rsidRPr="0091582E">
              <w:rPr>
                <w:rFonts w:ascii="Arial Rounded MT Bold" w:eastAsia="Times New Roman" w:hAnsi="Arial Rounded MT Bold" w:cs="David" w:hint="cs"/>
                <w:color w:val="000000"/>
                <w:sz w:val="20"/>
                <w:szCs w:val="20"/>
                <w:rtl/>
              </w:rPr>
              <w:t>).</w:t>
            </w:r>
          </w:p>
        </w:tc>
      </w:tr>
    </w:tbl>
    <w:p w:rsidR="00E34451" w:rsidRDefault="00E34451" w:rsidP="00436C1E">
      <w:pPr>
        <w:rPr>
          <w:rFonts w:cs="David"/>
          <w:sz w:val="24"/>
          <w:szCs w:val="24"/>
          <w:rtl/>
        </w:rPr>
      </w:pPr>
    </w:p>
    <w:tbl>
      <w:tblPr>
        <w:tblStyle w:val="a6"/>
        <w:bidiVisual/>
        <w:tblW w:w="9897" w:type="dxa"/>
        <w:jc w:val="center"/>
        <w:tblLook w:val="04A0" w:firstRow="1" w:lastRow="0" w:firstColumn="1" w:lastColumn="0" w:noHBand="0" w:noVBand="1"/>
        <w:tblCaption w:val="התשואה השנתית להשכלה גבוהה לפי מספר השנים שחלפו מסיום התואר הראשון"/>
        <w:tblDescription w:val="התשואה השנתית להשכלה גבוהה לפי מספר השנים שחלפו מסיום התואר הראשון, 2008–2015,&#10;בהשוואה לבוגרי מכללות ציבוריות&#10;"/>
      </w:tblPr>
      <w:tblGrid>
        <w:gridCol w:w="9897"/>
      </w:tblGrid>
      <w:tr w:rsidR="00436C1E" w:rsidRPr="001950C3" w:rsidTr="0061500C">
        <w:trPr>
          <w:jc w:val="center"/>
        </w:trPr>
        <w:tc>
          <w:tcPr>
            <w:tcW w:w="9897" w:type="dxa"/>
          </w:tcPr>
          <w:p w:rsidR="00436C1E" w:rsidRPr="002C00CD" w:rsidRDefault="00436C1E" w:rsidP="00436C1E">
            <w:pPr>
              <w:spacing w:before="4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איור 2</w:t>
            </w:r>
            <w:r w:rsidRPr="001950C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.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התשואה השנתית </w:t>
            </w:r>
            <w:r w:rsidRPr="00D93643">
              <w:rPr>
                <w:rFonts w:cs="David" w:hint="cs"/>
                <w:b/>
                <w:bCs/>
                <w:sz w:val="24"/>
                <w:szCs w:val="24"/>
                <w:rtl/>
              </w:rPr>
              <w:t>להשכלה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גבוהה </w:t>
            </w:r>
            <w:r w:rsidRPr="001950C3">
              <w:rPr>
                <w:rFonts w:cs="David" w:hint="cs"/>
                <w:b/>
                <w:bCs/>
                <w:sz w:val="24"/>
                <w:szCs w:val="24"/>
                <w:rtl/>
              </w:rPr>
              <w:t>לפי מספר השנים שחלפו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</w:t>
            </w:r>
            <w:r w:rsidRPr="001950C3">
              <w:rPr>
                <w:rFonts w:cs="David" w:hint="cs"/>
                <w:b/>
                <w:bCs/>
                <w:sz w:val="24"/>
                <w:szCs w:val="24"/>
                <w:rtl/>
              </w:rPr>
              <w:t>סיום התואר</w:t>
            </w:r>
            <w:r w:rsidRPr="001950C3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2C00C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הראשון, </w:t>
            </w:r>
            <w:r w:rsidRPr="002C00CD">
              <w:rPr>
                <w:rFonts w:ascii="Arial Rounded MT Bold" w:eastAsia="Times New Roman" w:hAnsi="Arial Rounded MT Bold" w:cs="David" w:hint="cs"/>
                <w:b/>
                <w:bCs/>
                <w:color w:val="000000"/>
                <w:sz w:val="24"/>
                <w:szCs w:val="24"/>
                <w:rtl/>
              </w:rPr>
              <w:t>2008</w:t>
            </w:r>
            <w:r w:rsidRPr="002C00CD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–</w:t>
            </w:r>
            <w:r w:rsidRPr="002C00CD">
              <w:rPr>
                <w:rFonts w:ascii="Arial Rounded MT Bold" w:eastAsia="Times New Roman" w:hAnsi="Arial Rounded MT Bold" w:cs="David" w:hint="cs"/>
                <w:b/>
                <w:bCs/>
                <w:color w:val="000000"/>
                <w:sz w:val="24"/>
                <w:szCs w:val="24"/>
                <w:rtl/>
              </w:rPr>
              <w:t>2015</w:t>
            </w:r>
            <w:r w:rsidRPr="002C00CD">
              <w:rPr>
                <w:rFonts w:cs="David" w:hint="cs"/>
                <w:b/>
                <w:bCs/>
                <w:sz w:val="24"/>
                <w:szCs w:val="24"/>
                <w:rtl/>
              </w:rPr>
              <w:t>,</w:t>
            </w:r>
          </w:p>
          <w:p w:rsidR="00436C1E" w:rsidRPr="001950C3" w:rsidRDefault="00436C1E" w:rsidP="00A0022B">
            <w:pPr>
              <w:spacing w:before="4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בהשוואה לבוגרי מכללות ציבוריות</w:t>
            </w:r>
            <w:r w:rsidRPr="001950C3">
              <w:rPr>
                <w:rFonts w:ascii="Arial Rounded MT Bold" w:eastAsia="Times New Roman" w:hAnsi="Arial Rounded MT Bold" w:cs="David" w:hint="cs"/>
                <w:color w:val="000000"/>
                <w:sz w:val="24"/>
                <w:szCs w:val="24"/>
                <w:vertAlign w:val="superscript"/>
                <w:rtl/>
              </w:rPr>
              <w:t>1</w:t>
            </w:r>
            <w:r w:rsidRPr="001950C3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50C3">
              <w:rPr>
                <w:rFonts w:cs="David" w:hint="cs"/>
                <w:sz w:val="24"/>
                <w:szCs w:val="24"/>
                <w:rtl/>
              </w:rPr>
              <w:t>(אחוזים)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436C1E" w:rsidTr="0061500C">
        <w:trPr>
          <w:jc w:val="center"/>
        </w:trPr>
        <w:tc>
          <w:tcPr>
            <w:tcW w:w="9897" w:type="dxa"/>
          </w:tcPr>
          <w:p w:rsidR="00436C1E" w:rsidRDefault="00436C1E" w:rsidP="00A0022B">
            <w:pPr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noProof/>
                <w:sz w:val="24"/>
                <w:szCs w:val="24"/>
              </w:rPr>
              <w:drawing>
                <wp:inline distT="0" distB="0" distL="0" distR="0" wp14:anchorId="5C3988D3" wp14:editId="2642FD31">
                  <wp:extent cx="5929952" cy="3166281"/>
                  <wp:effectExtent l="0" t="0" r="0" b="0"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9868" cy="316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6C1E" w:rsidTr="0061500C">
        <w:trPr>
          <w:jc w:val="center"/>
        </w:trPr>
        <w:tc>
          <w:tcPr>
            <w:tcW w:w="9897" w:type="dxa"/>
          </w:tcPr>
          <w:p w:rsidR="00436C1E" w:rsidRDefault="00436C1E" w:rsidP="00A0022B">
            <w:pPr>
              <w:tabs>
                <w:tab w:val="left" w:pos="650"/>
              </w:tabs>
              <w:jc w:val="both"/>
              <w:rPr>
                <w:rFonts w:ascii="Arial Rounded MT Bold" w:eastAsia="Times New Roman" w:hAnsi="Arial Rounded MT Bold" w:cs="David"/>
                <w:color w:val="000000"/>
                <w:sz w:val="20"/>
                <w:szCs w:val="20"/>
                <w:rtl/>
              </w:rPr>
            </w:pPr>
            <w:r w:rsidRPr="00BB3A5F">
              <w:rPr>
                <w:rFonts w:ascii="Arial Rounded MT Bold" w:eastAsia="Times New Roman" w:hAnsi="Arial Rounded MT Bol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המקור: </w:t>
            </w:r>
            <w:r w:rsidRPr="00BB3A5F">
              <w:rPr>
                <w:rFonts w:ascii="Arial Rounded MT Bold" w:eastAsia="Times New Roman" w:hAnsi="Arial Rounded MT Bold" w:cs="David" w:hint="cs"/>
                <w:color w:val="000000"/>
                <w:sz w:val="20"/>
                <w:szCs w:val="20"/>
                <w:rtl/>
              </w:rPr>
              <w:t>הלשכה המרכזית לסטטיסטיקה ועיבודי המחברים.</w:t>
            </w:r>
          </w:p>
          <w:p w:rsidR="00436C1E" w:rsidRPr="00BB3A5F" w:rsidRDefault="00436C1E" w:rsidP="00436C1E">
            <w:pPr>
              <w:numPr>
                <w:ilvl w:val="0"/>
                <w:numId w:val="3"/>
              </w:numPr>
              <w:tabs>
                <w:tab w:val="left" w:pos="933"/>
              </w:tabs>
              <w:ind w:left="224" w:hanging="224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ascii="Arial Rounded MT Bold" w:eastAsia="Times New Roman" w:hAnsi="Arial Rounded MT Bold" w:cs="David" w:hint="cs"/>
                <w:color w:val="000000"/>
                <w:sz w:val="20"/>
                <w:szCs w:val="20"/>
                <w:rtl/>
              </w:rPr>
              <w:lastRenderedPageBreak/>
              <w:t xml:space="preserve">אוניברסיטאות העילית: האוניברסיטה העברית בירושלים, אוניברסיטת תל אביב, הטכניון </w:t>
            </w:r>
            <w:r>
              <w:rPr>
                <w:rFonts w:ascii="Arial Rounded MT Bold" w:eastAsia="Times New Roman" w:hAnsi="Arial Rounded MT Bold" w:cs="David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Arial Rounded MT Bold" w:eastAsia="Times New Roman" w:hAnsi="Arial Rounded MT Bold" w:cs="David" w:hint="cs"/>
                <w:color w:val="000000"/>
                <w:sz w:val="20"/>
                <w:szCs w:val="20"/>
                <w:rtl/>
              </w:rPr>
              <w:t xml:space="preserve"> מכון טכנולוגי לישראל, ומכון ויצמן למדע. </w:t>
            </w:r>
          </w:p>
        </w:tc>
      </w:tr>
    </w:tbl>
    <w:p w:rsidR="00436C1E" w:rsidRPr="00436C1E" w:rsidRDefault="00436C1E" w:rsidP="00436C1E">
      <w:pPr>
        <w:rPr>
          <w:rFonts w:cs="David"/>
          <w:sz w:val="24"/>
          <w:szCs w:val="24"/>
          <w:rtl/>
        </w:rPr>
      </w:pPr>
    </w:p>
    <w:p w:rsidR="00436C1E" w:rsidRDefault="00436C1E" w:rsidP="00436C1E">
      <w:pPr>
        <w:rPr>
          <w:rFonts w:cs="David"/>
          <w:sz w:val="24"/>
          <w:szCs w:val="24"/>
          <w:rtl/>
        </w:rPr>
      </w:pPr>
    </w:p>
    <w:p w:rsidR="00436C1E" w:rsidRDefault="00436C1E" w:rsidP="00436C1E">
      <w:pPr>
        <w:rPr>
          <w:rFonts w:cs="David"/>
          <w:sz w:val="24"/>
          <w:szCs w:val="24"/>
          <w:rtl/>
        </w:rPr>
      </w:pPr>
    </w:p>
    <w:tbl>
      <w:tblPr>
        <w:tblStyle w:val="a6"/>
        <w:bidiVisual/>
        <w:tblW w:w="9190" w:type="dxa"/>
        <w:jc w:val="center"/>
        <w:tblLook w:val="04A0" w:firstRow="1" w:lastRow="0" w:firstColumn="1" w:lastColumn="0" w:noHBand="0" w:noVBand="1"/>
        <w:tblCaption w:val="התשואה השנתית להשכלה גבוהה לפי מקצוע הלימוד"/>
        <w:tblDescription w:val="התשואה השנתית להשכלה גבוהה לפי מקצוע הלימוד, 2008–2015,&#10;בהשוואה לבוגרי מכללות ציבוריות&#10;"/>
      </w:tblPr>
      <w:tblGrid>
        <w:gridCol w:w="9216"/>
      </w:tblGrid>
      <w:tr w:rsidR="00E34451" w:rsidTr="008B124A">
        <w:trPr>
          <w:trHeight w:val="812"/>
          <w:jc w:val="center"/>
        </w:trPr>
        <w:tc>
          <w:tcPr>
            <w:tcW w:w="9190" w:type="dxa"/>
          </w:tcPr>
          <w:p w:rsidR="00E34451" w:rsidRDefault="00E34451" w:rsidP="00103A59">
            <w:pPr>
              <w:spacing w:before="4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CF1C1F">
              <w:rPr>
                <w:rFonts w:cs="David" w:hint="cs"/>
                <w:b/>
                <w:bCs/>
                <w:sz w:val="24"/>
                <w:szCs w:val="24"/>
                <w:rtl/>
              </w:rPr>
              <w:t>איור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3</w:t>
            </w:r>
            <w:r w:rsidRPr="00CF1C1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.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התשואה השנתית</w:t>
            </w:r>
            <w:r w:rsidRPr="00CF1C1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להשכלה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גבוהה </w:t>
            </w:r>
            <w:r w:rsidRPr="00CF1C1F">
              <w:rPr>
                <w:rFonts w:cs="David" w:hint="cs"/>
                <w:b/>
                <w:bCs/>
                <w:sz w:val="24"/>
                <w:szCs w:val="24"/>
                <w:rtl/>
              </w:rPr>
              <w:t>לפי מקצוע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הלימוד,</w:t>
            </w:r>
            <w:r w:rsidRPr="00CF1C1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21AED">
              <w:rPr>
                <w:rFonts w:ascii="Arial Rounded MT Bold" w:eastAsia="Times New Roman" w:hAnsi="Arial Rounded MT Bold" w:cs="David" w:hint="cs"/>
                <w:b/>
                <w:bCs/>
                <w:color w:val="000000"/>
                <w:sz w:val="24"/>
                <w:szCs w:val="24"/>
                <w:rtl/>
              </w:rPr>
              <w:t>2008</w:t>
            </w:r>
            <w:r w:rsidR="00103A59" w:rsidRPr="003376FC">
              <w:rPr>
                <w:rFonts w:ascii="Times New Roman" w:hAnsi="Times New Roman" w:cs="David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Arial Rounded MT Bold" w:eastAsia="Times New Roman" w:hAnsi="Arial Rounded MT Bold" w:cs="David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C21AED">
              <w:rPr>
                <w:rFonts w:ascii="Arial Rounded MT Bold" w:eastAsia="Times New Roman" w:hAnsi="Arial Rounded MT Bold" w:cs="David" w:hint="cs"/>
                <w:b/>
                <w:bCs/>
                <w:color w:val="000000"/>
                <w:sz w:val="24"/>
                <w:szCs w:val="24"/>
                <w:rtl/>
              </w:rPr>
              <w:t>015</w:t>
            </w:r>
            <w:r>
              <w:rPr>
                <w:rFonts w:cs="David" w:hint="cs"/>
                <w:sz w:val="24"/>
                <w:szCs w:val="24"/>
                <w:rtl/>
              </w:rPr>
              <w:t>,</w:t>
            </w:r>
          </w:p>
          <w:p w:rsidR="00E34451" w:rsidRPr="0014261E" w:rsidRDefault="00E34451" w:rsidP="00103A59">
            <w:pPr>
              <w:spacing w:before="40"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03A59">
              <w:rPr>
                <w:rFonts w:cs="David" w:hint="cs"/>
                <w:b/>
                <w:bCs/>
                <w:sz w:val="24"/>
                <w:szCs w:val="24"/>
                <w:rtl/>
              </w:rPr>
              <w:t>בהשוואה לבוגרי מכללות ציבוריות</w:t>
            </w:r>
            <w:r w:rsidR="00103A59">
              <w:rPr>
                <w:rFonts w:cs="David" w:hint="cs"/>
                <w:sz w:val="24"/>
                <w:szCs w:val="24"/>
                <w:vertAlign w:val="superscript"/>
                <w:rtl/>
              </w:rPr>
              <w:t>2</w:t>
            </w:r>
            <w:r w:rsidR="00103A59" w:rsidRPr="00103A59">
              <w:rPr>
                <w:rFonts w:cs="David" w:hint="cs"/>
                <w:sz w:val="24"/>
                <w:szCs w:val="24"/>
                <w:vertAlign w:val="superscript"/>
                <w:rtl/>
              </w:rPr>
              <w:t>,</w:t>
            </w:r>
            <w:r w:rsidR="00103A59">
              <w:rPr>
                <w:rFonts w:cs="David" w:hint="cs"/>
                <w:sz w:val="24"/>
                <w:szCs w:val="24"/>
                <w:vertAlign w:val="superscript"/>
                <w:rtl/>
              </w:rPr>
              <w:t>1</w:t>
            </w:r>
            <w:r w:rsidR="00103A59" w:rsidRPr="00103A59">
              <w:rPr>
                <w:rFonts w:cs="David" w:hint="cs"/>
                <w:sz w:val="24"/>
                <w:szCs w:val="24"/>
                <w:vertAlign w:val="superscript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(אחוזים)</w:t>
            </w:r>
          </w:p>
        </w:tc>
      </w:tr>
      <w:tr w:rsidR="00E34451" w:rsidTr="008B124A">
        <w:trPr>
          <w:trHeight w:val="5879"/>
          <w:jc w:val="center"/>
        </w:trPr>
        <w:tc>
          <w:tcPr>
            <w:tcW w:w="9190" w:type="dxa"/>
          </w:tcPr>
          <w:p w:rsidR="00E34451" w:rsidRDefault="00E34451" w:rsidP="008B124A">
            <w:pPr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noProof/>
                <w:sz w:val="24"/>
                <w:szCs w:val="24"/>
              </w:rPr>
              <w:drawing>
                <wp:inline distT="0" distB="0" distL="0" distR="0" wp14:anchorId="5A272F4A" wp14:editId="2C4E1050">
                  <wp:extent cx="5710687" cy="3700536"/>
                  <wp:effectExtent l="0" t="0" r="4445" b="0"/>
                  <wp:docPr id="60" name="תמונה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4515" cy="37030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451" w:rsidTr="008B124A">
        <w:trPr>
          <w:trHeight w:val="1137"/>
          <w:jc w:val="center"/>
        </w:trPr>
        <w:tc>
          <w:tcPr>
            <w:tcW w:w="9190" w:type="dxa"/>
          </w:tcPr>
          <w:p w:rsidR="00E34451" w:rsidRPr="00BB3A5F" w:rsidRDefault="00E34451" w:rsidP="008B124A">
            <w:pPr>
              <w:tabs>
                <w:tab w:val="left" w:pos="650"/>
              </w:tabs>
              <w:jc w:val="both"/>
              <w:rPr>
                <w:rFonts w:ascii="Arial Rounded MT Bold" w:eastAsia="Times New Roman" w:hAnsi="Arial Rounded MT Bold" w:cs="David"/>
                <w:color w:val="000000"/>
                <w:sz w:val="20"/>
                <w:szCs w:val="20"/>
                <w:rtl/>
              </w:rPr>
            </w:pPr>
            <w:r w:rsidRPr="00BB3A5F">
              <w:rPr>
                <w:rFonts w:ascii="Arial Rounded MT Bold" w:eastAsia="Times New Roman" w:hAnsi="Arial Rounded MT Bold" w:cs="David" w:hint="cs"/>
                <w:b/>
                <w:bCs/>
                <w:color w:val="000000"/>
                <w:sz w:val="20"/>
                <w:szCs w:val="20"/>
                <w:rtl/>
              </w:rPr>
              <w:t xml:space="preserve">המקור: </w:t>
            </w:r>
            <w:r w:rsidRPr="00BB3A5F">
              <w:rPr>
                <w:rFonts w:ascii="Arial Rounded MT Bold" w:eastAsia="Times New Roman" w:hAnsi="Arial Rounded MT Bold" w:cs="David" w:hint="cs"/>
                <w:color w:val="000000"/>
                <w:sz w:val="20"/>
                <w:szCs w:val="20"/>
                <w:rtl/>
              </w:rPr>
              <w:t>הלשכה המרכזית לסטטיסטיקה ועיבודי המחברים.</w:t>
            </w:r>
          </w:p>
          <w:p w:rsidR="00103A59" w:rsidRPr="00BB3A5F" w:rsidRDefault="00103A59" w:rsidP="00103A59">
            <w:pPr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ריבוע </w:t>
            </w:r>
            <w:r w:rsidRPr="008401B9">
              <w:rPr>
                <w:rFonts w:cs="David" w:hint="cs"/>
                <w:sz w:val="20"/>
                <w:szCs w:val="20"/>
                <w:rtl/>
              </w:rPr>
              <w:t>חיוור</w:t>
            </w:r>
            <w:r w:rsidRPr="008401B9">
              <w:rPr>
                <w:rFonts w:cs="David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ו</w:t>
            </w:r>
            <w:r w:rsidRPr="00072C9C">
              <w:rPr>
                <w:rFonts w:cs="David" w:hint="cs"/>
                <w:sz w:val="20"/>
                <w:szCs w:val="20"/>
                <w:rtl/>
              </w:rPr>
              <w:t>מעוין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ומשולש ריקים</w:t>
            </w:r>
            <w:r w:rsidRPr="006A6336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מייצגים </w:t>
            </w:r>
            <w:r w:rsidRPr="006A6336">
              <w:rPr>
                <w:rFonts w:cs="David" w:hint="cs"/>
                <w:sz w:val="20"/>
                <w:szCs w:val="20"/>
                <w:rtl/>
              </w:rPr>
              <w:t xml:space="preserve">אומד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בלתי </w:t>
            </w:r>
            <w:r w:rsidRPr="006A6336">
              <w:rPr>
                <w:rFonts w:cs="David" w:hint="cs"/>
                <w:sz w:val="20"/>
                <w:szCs w:val="20"/>
                <w:rtl/>
              </w:rPr>
              <w:t>מ</w:t>
            </w:r>
            <w:r>
              <w:rPr>
                <w:rFonts w:cs="David" w:hint="cs"/>
                <w:sz w:val="20"/>
                <w:szCs w:val="20"/>
                <w:rtl/>
              </w:rPr>
              <w:t>ו</w:t>
            </w:r>
            <w:r w:rsidRPr="006A6336">
              <w:rPr>
                <w:rFonts w:cs="David" w:hint="cs"/>
                <w:sz w:val="20"/>
                <w:szCs w:val="20"/>
                <w:rtl/>
              </w:rPr>
              <w:t>בהק ברמה של 10%.</w:t>
            </w:r>
          </w:p>
          <w:p w:rsidR="00103A59" w:rsidRPr="00103A59" w:rsidRDefault="00103A59" w:rsidP="00103A59">
            <w:pPr>
              <w:numPr>
                <w:ilvl w:val="0"/>
                <w:numId w:val="7"/>
              </w:numPr>
              <w:tabs>
                <w:tab w:val="left" w:pos="306"/>
              </w:tabs>
              <w:ind w:left="289" w:hanging="289"/>
              <w:jc w:val="both"/>
              <w:rPr>
                <w:rFonts w:ascii="Arial Rounded MT Bold" w:eastAsia="Times New Roman" w:hAnsi="Arial Rounded MT Bold" w:cs="David"/>
                <w:color w:val="000000"/>
                <w:sz w:val="20"/>
                <w:szCs w:val="20"/>
                <w:rtl/>
              </w:rPr>
            </w:pPr>
            <w:r w:rsidRPr="00103A59">
              <w:rPr>
                <w:rFonts w:ascii="Arial Rounded MT Bold" w:eastAsia="Times New Roman" w:hAnsi="Arial Rounded MT Bold" w:cs="David" w:hint="cs"/>
                <w:color w:val="000000"/>
                <w:sz w:val="20"/>
                <w:szCs w:val="20"/>
                <w:rtl/>
              </w:rPr>
              <w:t xml:space="preserve">אוניברסיטאות העילית: האוניברסיטה העברית בירושלים, אוניברסיטת תל אביב, הטכניון </w:t>
            </w:r>
            <w:r w:rsidRPr="00103A59">
              <w:rPr>
                <w:rFonts w:ascii="Arial Rounded MT Bold" w:eastAsia="Times New Roman" w:hAnsi="Arial Rounded MT Bold" w:cs="David"/>
                <w:color w:val="000000"/>
                <w:sz w:val="20"/>
                <w:szCs w:val="20"/>
                <w:rtl/>
              </w:rPr>
              <w:t>–</w:t>
            </w:r>
            <w:r w:rsidRPr="00103A59">
              <w:rPr>
                <w:rFonts w:ascii="Arial Rounded MT Bold" w:eastAsia="Times New Roman" w:hAnsi="Arial Rounded MT Bold" w:cs="David" w:hint="cs"/>
                <w:color w:val="000000"/>
                <w:sz w:val="20"/>
                <w:szCs w:val="20"/>
                <w:rtl/>
              </w:rPr>
              <w:t xml:space="preserve"> מכון טכנולוגי לישראל, ומכון ויצמן למדע.</w:t>
            </w:r>
          </w:p>
          <w:p w:rsidR="00E34451" w:rsidRPr="00BB3A5F" w:rsidRDefault="00E34451" w:rsidP="00103A59">
            <w:pPr>
              <w:numPr>
                <w:ilvl w:val="0"/>
                <w:numId w:val="7"/>
              </w:numPr>
              <w:tabs>
                <w:tab w:val="left" w:pos="306"/>
              </w:tabs>
              <w:ind w:left="289" w:hanging="289"/>
              <w:jc w:val="both"/>
              <w:rPr>
                <w:rFonts w:cs="David"/>
                <w:sz w:val="20"/>
                <w:szCs w:val="20"/>
                <w:rtl/>
              </w:rPr>
            </w:pPr>
            <w:r w:rsidRPr="00103A59">
              <w:rPr>
                <w:rFonts w:ascii="Arial Rounded MT Bold" w:eastAsia="Times New Roman" w:hAnsi="Arial Rounded MT Bold" w:cs="David" w:hint="cs"/>
                <w:color w:val="000000"/>
                <w:sz w:val="20"/>
                <w:szCs w:val="20"/>
                <w:rtl/>
              </w:rPr>
              <w:t>* קבוצת הבסיס: המכללות הפרטיות, ** קבוצת הבסיס: האוניברסיטאות האחרות.</w:t>
            </w:r>
          </w:p>
        </w:tc>
      </w:tr>
    </w:tbl>
    <w:p w:rsidR="00E34451" w:rsidRDefault="00E34451" w:rsidP="00E34451">
      <w:pPr>
        <w:rPr>
          <w:rFonts w:cs="David"/>
          <w:sz w:val="24"/>
          <w:szCs w:val="24"/>
          <w:rtl/>
        </w:rPr>
      </w:pPr>
    </w:p>
    <w:p w:rsidR="003376FC" w:rsidRDefault="003376FC"/>
    <w:sectPr w:rsidR="003376FC" w:rsidSect="000D45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2D" w:rsidRDefault="00E54F2D" w:rsidP="00310E84">
      <w:pPr>
        <w:spacing w:after="0" w:line="240" w:lineRule="auto"/>
      </w:pPr>
      <w:r>
        <w:separator/>
      </w:r>
    </w:p>
  </w:endnote>
  <w:endnote w:type="continuationSeparator" w:id="0">
    <w:p w:rsidR="00E54F2D" w:rsidRDefault="00E54F2D" w:rsidP="0031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2D" w:rsidRDefault="00E54F2D" w:rsidP="00310E84">
      <w:pPr>
        <w:spacing w:after="0" w:line="240" w:lineRule="auto"/>
      </w:pPr>
      <w:r>
        <w:separator/>
      </w:r>
    </w:p>
  </w:footnote>
  <w:footnote w:type="continuationSeparator" w:id="0">
    <w:p w:rsidR="00E54F2D" w:rsidRDefault="00E54F2D" w:rsidP="00310E84">
      <w:pPr>
        <w:spacing w:after="0" w:line="240" w:lineRule="auto"/>
      </w:pPr>
      <w:r>
        <w:continuationSeparator/>
      </w:r>
    </w:p>
  </w:footnote>
  <w:footnote w:id="1">
    <w:p w:rsidR="00F839FC" w:rsidRPr="008F66A2" w:rsidRDefault="00F839FC" w:rsidP="008F66A2">
      <w:pPr>
        <w:pStyle w:val="a3"/>
        <w:bidi/>
        <w:jc w:val="both"/>
        <w:rPr>
          <w:rFonts w:cs="David"/>
          <w:rtl/>
        </w:rPr>
      </w:pPr>
      <w:r w:rsidRPr="008F66A2">
        <w:rPr>
          <w:rStyle w:val="a5"/>
          <w:rFonts w:cs="David"/>
        </w:rPr>
        <w:footnoteRef/>
      </w:r>
      <w:r w:rsidRPr="008F66A2">
        <w:rPr>
          <w:rFonts w:cs="David"/>
        </w:rPr>
        <w:t xml:space="preserve"> </w:t>
      </w:r>
      <w:r w:rsidRPr="008F66A2">
        <w:rPr>
          <w:rFonts w:cs="David" w:hint="cs"/>
          <w:rtl/>
        </w:rPr>
        <w:t xml:space="preserve"> </w:t>
      </w:r>
      <w:r w:rsidR="008F66A2" w:rsidRPr="008F66A2">
        <w:rPr>
          <w:rFonts w:cs="David" w:hint="cs"/>
          <w:rtl/>
        </w:rPr>
        <w:t>התשואה להשכלה גבוהה היא תוספת השכר (באחוזים) הנובעת מרכישת השכלה גבוהה</w:t>
      </w:r>
      <w:r w:rsidR="008F66A2">
        <w:rPr>
          <w:rFonts w:cs="David" w:hint="cs"/>
          <w:rtl/>
        </w:rPr>
        <w:t>.</w:t>
      </w:r>
      <w:r w:rsidR="008F66A2" w:rsidRPr="008F66A2">
        <w:rPr>
          <w:rFonts w:cs="David"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93C"/>
    <w:multiLevelType w:val="hybridMultilevel"/>
    <w:tmpl w:val="76C28AFA"/>
    <w:lvl w:ilvl="0" w:tplc="E3EA469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E5ABD"/>
    <w:multiLevelType w:val="hybridMultilevel"/>
    <w:tmpl w:val="C1288F2A"/>
    <w:lvl w:ilvl="0" w:tplc="9F445FD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D7D13"/>
    <w:multiLevelType w:val="hybridMultilevel"/>
    <w:tmpl w:val="44D612B8"/>
    <w:lvl w:ilvl="0" w:tplc="202C999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3092F"/>
    <w:multiLevelType w:val="hybridMultilevel"/>
    <w:tmpl w:val="2110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630BB"/>
    <w:multiLevelType w:val="hybridMultilevel"/>
    <w:tmpl w:val="FAD8D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25466"/>
    <w:multiLevelType w:val="hybridMultilevel"/>
    <w:tmpl w:val="253C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D6A9B"/>
    <w:multiLevelType w:val="hybridMultilevel"/>
    <w:tmpl w:val="F50444E4"/>
    <w:lvl w:ilvl="0" w:tplc="FB245AB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5FD6"/>
    <w:multiLevelType w:val="hybridMultilevel"/>
    <w:tmpl w:val="BDE4685A"/>
    <w:lvl w:ilvl="0" w:tplc="9F445FD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14"/>
    <w:rsid w:val="00026B06"/>
    <w:rsid w:val="00077F6B"/>
    <w:rsid w:val="000A05C9"/>
    <w:rsid w:val="000A15F8"/>
    <w:rsid w:val="000A6B6F"/>
    <w:rsid w:val="000D100B"/>
    <w:rsid w:val="000D4588"/>
    <w:rsid w:val="000F1414"/>
    <w:rsid w:val="000F404F"/>
    <w:rsid w:val="000F4F1C"/>
    <w:rsid w:val="00103A59"/>
    <w:rsid w:val="0017669A"/>
    <w:rsid w:val="001D4EDD"/>
    <w:rsid w:val="001E23C9"/>
    <w:rsid w:val="00216CC7"/>
    <w:rsid w:val="002A1A73"/>
    <w:rsid w:val="002C00CD"/>
    <w:rsid w:val="00310E84"/>
    <w:rsid w:val="003376FC"/>
    <w:rsid w:val="003A0A48"/>
    <w:rsid w:val="00436C1E"/>
    <w:rsid w:val="0046665F"/>
    <w:rsid w:val="00471326"/>
    <w:rsid w:val="00484047"/>
    <w:rsid w:val="00511413"/>
    <w:rsid w:val="0051284D"/>
    <w:rsid w:val="005144C7"/>
    <w:rsid w:val="00596144"/>
    <w:rsid w:val="005C4827"/>
    <w:rsid w:val="0061500C"/>
    <w:rsid w:val="0069153E"/>
    <w:rsid w:val="006C2970"/>
    <w:rsid w:val="006E2335"/>
    <w:rsid w:val="00742962"/>
    <w:rsid w:val="007D72AC"/>
    <w:rsid w:val="007E4DE4"/>
    <w:rsid w:val="007F49B7"/>
    <w:rsid w:val="00886B3D"/>
    <w:rsid w:val="008B061B"/>
    <w:rsid w:val="008B7F42"/>
    <w:rsid w:val="008F66A2"/>
    <w:rsid w:val="009131C9"/>
    <w:rsid w:val="0091582E"/>
    <w:rsid w:val="00944C7B"/>
    <w:rsid w:val="00993A7F"/>
    <w:rsid w:val="009D686A"/>
    <w:rsid w:val="00A21A32"/>
    <w:rsid w:val="00A22078"/>
    <w:rsid w:val="00A619C8"/>
    <w:rsid w:val="00B46231"/>
    <w:rsid w:val="00B513A6"/>
    <w:rsid w:val="00BB1DAA"/>
    <w:rsid w:val="00D449AF"/>
    <w:rsid w:val="00D91D7F"/>
    <w:rsid w:val="00DE385A"/>
    <w:rsid w:val="00DF687C"/>
    <w:rsid w:val="00E03986"/>
    <w:rsid w:val="00E34451"/>
    <w:rsid w:val="00E54F2D"/>
    <w:rsid w:val="00F031A1"/>
    <w:rsid w:val="00F36FB0"/>
    <w:rsid w:val="00F5090B"/>
    <w:rsid w:val="00F839FC"/>
    <w:rsid w:val="00FA6D26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 Text"/>
    <w:basedOn w:val="a"/>
    <w:link w:val="a4"/>
    <w:rsid w:val="00310E84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טקסט הערת שוליים תו"/>
    <w:aliases w:val="Footnote Text תו"/>
    <w:basedOn w:val="a0"/>
    <w:link w:val="a3"/>
    <w:rsid w:val="00310E8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aliases w:val="Footnote Reference"/>
    <w:rsid w:val="00310E84"/>
    <w:rPr>
      <w:vertAlign w:val="superscript"/>
    </w:rPr>
  </w:style>
  <w:style w:type="table" w:styleId="a6">
    <w:name w:val="Table Grid"/>
    <w:basedOn w:val="a1"/>
    <w:uiPriority w:val="59"/>
    <w:rsid w:val="000F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4F1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B7F4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7F42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8B7F4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7F42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8B7F4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8B7F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ootnote Text"/>
    <w:basedOn w:val="a"/>
    <w:link w:val="a4"/>
    <w:rsid w:val="00310E84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טקסט הערת שוליים תו"/>
    <w:aliases w:val="Footnote Text תו"/>
    <w:basedOn w:val="a0"/>
    <w:link w:val="a3"/>
    <w:rsid w:val="00310E8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aliases w:val="Footnote Reference"/>
    <w:rsid w:val="00310E84"/>
    <w:rPr>
      <w:vertAlign w:val="superscript"/>
    </w:rPr>
  </w:style>
  <w:style w:type="table" w:styleId="a6">
    <w:name w:val="Table Grid"/>
    <w:basedOn w:val="a1"/>
    <w:uiPriority w:val="59"/>
    <w:rsid w:val="000F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4F1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B7F4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7F42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8B7F4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7F42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8B7F42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8B7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70157E4-995A-4F3B-89DA-A31F682AB73D}"/>
</file>

<file path=customXml/itemProps2.xml><?xml version="1.0" encoding="utf-8"?>
<ds:datastoreItem xmlns:ds="http://schemas.openxmlformats.org/officeDocument/2006/customXml" ds:itemID="{22CBB144-74DA-4E35-B83B-697795DA4D6B}"/>
</file>

<file path=customXml/itemProps3.xml><?xml version="1.0" encoding="utf-8"?>
<ds:datastoreItem xmlns:ds="http://schemas.openxmlformats.org/officeDocument/2006/customXml" ds:itemID="{99691281-3197-412E-A506-57A30DB15056}"/>
</file>

<file path=customXml/itemProps4.xml><?xml version="1.0" encoding="utf-8"?>
<ds:datastoreItem xmlns:ds="http://schemas.openxmlformats.org/officeDocument/2006/customXml" ds:itemID="{EB81EA61-CB3C-4BAA-8E4F-E83371DF01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נועם זוסמן</dc:creator>
  <cp:lastModifiedBy>מיטל רפאלי</cp:lastModifiedBy>
  <cp:revision>2</cp:revision>
  <cp:lastPrinted>2018-12-19T16:15:00Z</cp:lastPrinted>
  <dcterms:created xsi:type="dcterms:W3CDTF">2019-01-01T08:42:00Z</dcterms:created>
  <dcterms:modified xsi:type="dcterms:W3CDTF">2019-01-01T08:42:00Z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