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FE4705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FE4705" w:rsidRDefault="00DD5923" w:rsidP="00FE470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FE470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בנק יש</w:t>
            </w:r>
            <w:r w:rsidR="00286AB2" w:rsidRPr="00FE470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FE4705" w:rsidRDefault="00DD5923" w:rsidP="00FE4705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FE4705" w:rsidRDefault="00E80E85" w:rsidP="00D87676">
            <w:pPr>
              <w:jc w:val="center"/>
              <w:rPr>
                <w:rFonts w:asciiTheme="minorBidi" w:hAnsiTheme="minorBidi" w:cstheme="minorBidi"/>
              </w:rPr>
            </w:pPr>
            <w:r w:rsidRPr="00FE4705">
              <w:rPr>
                <w:rFonts w:asciiTheme="minorBidi" w:hAnsiTheme="minorBidi" w:cstheme="minorBidi"/>
                <w:noProof/>
                <w:lang w:eastAsia="en-US"/>
              </w:rPr>
              <w:drawing>
                <wp:inline distT="0" distB="0" distL="0" distR="0" wp14:anchorId="519CBB25" wp14:editId="04C46152">
                  <wp:extent cx="1243636" cy="704850"/>
                  <wp:effectExtent l="0" t="0" r="0" b="0"/>
                  <wp:docPr id="12" name="תמונה 12" descr="C:\Users\u20m\AppData\Local\Microsoft\Windows\Temporary Internet Files\Content.Word\60Y+bank_Color_RGB_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20m\AppData\Local\Microsoft\Windows\Temporary Internet Files\Content.Word\60Y+bank_Color_RGB_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36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FE4705" w:rsidRDefault="0089040A" w:rsidP="00FE4705">
            <w:pPr>
              <w:bidi/>
              <w:spacing w:line="48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ירושלים, </w:t>
            </w:r>
            <w:r w:rsidR="00C411E7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י</w:t>
            </w:r>
            <w:r w:rsidR="00FE4705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"</w:t>
            </w:r>
            <w:r w:rsidR="00A30DCC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ב</w:t>
            </w:r>
            <w:r w:rsidR="00FE4705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697C2E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ב</w:t>
            </w:r>
            <w:r w:rsidR="00A30DCC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אב</w:t>
            </w:r>
            <w:r w:rsidR="00C411E7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3B17BC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ה</w:t>
            </w:r>
            <w:r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תשע"ה</w:t>
            </w:r>
          </w:p>
          <w:p w:rsidR="00DD5923" w:rsidRPr="00FE4705" w:rsidRDefault="0089040A" w:rsidP="00A30DCC">
            <w:pPr>
              <w:spacing w:line="48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‏‏</w:t>
            </w:r>
            <w:r w:rsidR="00C411E7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28</w:t>
            </w:r>
            <w:r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ב</w:t>
            </w:r>
            <w:r w:rsidR="00C411E7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יו</w:t>
            </w:r>
            <w:r w:rsidR="00A30DCC"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>לי</w:t>
            </w:r>
            <w:r w:rsidRPr="00FE4705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2015</w:t>
            </w:r>
          </w:p>
        </w:tc>
      </w:tr>
    </w:tbl>
    <w:p w:rsidR="00FE034E" w:rsidRPr="0089040A" w:rsidRDefault="00FE034E" w:rsidP="007E18EE">
      <w:pPr>
        <w:bidi/>
        <w:rPr>
          <w:rFonts w:ascii="Arial" w:hAnsi="Arial" w:cs="Arial"/>
          <w:rtl/>
        </w:rPr>
      </w:pPr>
    </w:p>
    <w:p w:rsidR="007E18EE" w:rsidRPr="0089040A" w:rsidRDefault="007E18EE" w:rsidP="00286AB2">
      <w:pPr>
        <w:bidi/>
        <w:spacing w:line="360" w:lineRule="auto"/>
        <w:ind w:right="-101"/>
        <w:rPr>
          <w:rFonts w:ascii="Arial" w:hAnsi="Arial" w:cs="Arial"/>
          <w:sz w:val="24"/>
          <w:szCs w:val="24"/>
          <w:rtl/>
        </w:rPr>
      </w:pPr>
      <w:r w:rsidRPr="0089040A">
        <w:rPr>
          <w:rFonts w:ascii="Arial" w:hAnsi="Arial" w:cs="Arial"/>
          <w:sz w:val="24"/>
          <w:szCs w:val="24"/>
          <w:rtl/>
        </w:rPr>
        <w:t>הודעה לעיתונות:</w:t>
      </w:r>
    </w:p>
    <w:p w:rsidR="00C04A6B" w:rsidRPr="0089040A" w:rsidRDefault="002C7213" w:rsidP="00A65531">
      <w:pPr>
        <w:bidi/>
        <w:spacing w:line="360" w:lineRule="auto"/>
        <w:ind w:right="-101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התפתחות החוב במשק </w:t>
      </w:r>
      <w:r w:rsidR="00A65531"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>בחודשים</w:t>
      </w:r>
      <w:r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A30DCC">
        <w:rPr>
          <w:rFonts w:ascii="Arial" w:hAnsi="Arial" w:cs="Arial"/>
          <w:b/>
          <w:bCs/>
          <w:sz w:val="28"/>
          <w:szCs w:val="28"/>
          <w:u w:val="single"/>
          <w:rtl/>
        </w:rPr>
        <w:t>מאי</w:t>
      </w:r>
      <w:r w:rsidR="00A65531"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>-</w:t>
      </w:r>
      <w:r w:rsidR="00A30DCC">
        <w:rPr>
          <w:rFonts w:ascii="Arial" w:hAnsi="Arial" w:cs="Arial"/>
          <w:b/>
          <w:bCs/>
          <w:sz w:val="28"/>
          <w:szCs w:val="28"/>
          <w:u w:val="single"/>
          <w:rtl/>
        </w:rPr>
        <w:t>יוני</w:t>
      </w:r>
      <w:r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B110D9" w:rsidRPr="0089040A">
        <w:rPr>
          <w:rFonts w:ascii="Arial" w:hAnsi="Arial" w:cs="Arial"/>
          <w:b/>
          <w:bCs/>
          <w:sz w:val="28"/>
          <w:szCs w:val="28"/>
          <w:u w:val="single"/>
          <w:rtl/>
        </w:rPr>
        <w:t>2015</w:t>
      </w:r>
    </w:p>
    <w:p w:rsidR="009F574F" w:rsidRPr="0089040A" w:rsidRDefault="009F574F" w:rsidP="00286AB2">
      <w:pPr>
        <w:bidi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9F574F" w:rsidRDefault="0089040A" w:rsidP="004024AB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89040A">
        <w:rPr>
          <w:rFonts w:ascii="Arial" w:hAnsi="Arial" w:cs="Arial" w:hint="cs"/>
          <w:sz w:val="24"/>
          <w:szCs w:val="24"/>
          <w:rtl/>
        </w:rPr>
        <w:t xml:space="preserve">יתרת החוב של </w:t>
      </w:r>
      <w:r w:rsidRPr="0089040A">
        <w:rPr>
          <w:rFonts w:ascii="Arial" w:hAnsi="Arial" w:cs="Arial" w:hint="cs"/>
          <w:b/>
          <w:bCs/>
          <w:sz w:val="24"/>
          <w:szCs w:val="24"/>
          <w:rtl/>
        </w:rPr>
        <w:t>המגזר העסקי</w:t>
      </w:r>
      <w:r w:rsidRPr="0089040A">
        <w:rPr>
          <w:rFonts w:ascii="Arial" w:hAnsi="Arial" w:cs="Arial" w:hint="cs"/>
          <w:sz w:val="24"/>
          <w:szCs w:val="24"/>
          <w:rtl/>
        </w:rPr>
        <w:t xml:space="preserve"> </w:t>
      </w:r>
      <w:r w:rsidR="003B17BC">
        <w:rPr>
          <w:rFonts w:ascii="Arial" w:hAnsi="Arial" w:cs="Arial" w:hint="cs"/>
          <w:sz w:val="24"/>
          <w:szCs w:val="24"/>
          <w:rtl/>
        </w:rPr>
        <w:t>נותרה כמעט ללא שינוי</w:t>
      </w:r>
      <w:r w:rsidRPr="0089040A">
        <w:rPr>
          <w:rFonts w:ascii="Arial" w:hAnsi="Arial" w:cs="Arial" w:hint="cs"/>
          <w:sz w:val="24"/>
          <w:szCs w:val="24"/>
          <w:rtl/>
        </w:rPr>
        <w:t xml:space="preserve"> בחודש </w:t>
      </w:r>
      <w:r w:rsidR="00A30DCC">
        <w:rPr>
          <w:rFonts w:ascii="Arial" w:hAnsi="Arial" w:cs="Arial" w:hint="cs"/>
          <w:sz w:val="24"/>
          <w:szCs w:val="24"/>
          <w:rtl/>
        </w:rPr>
        <w:t>מאי</w:t>
      </w:r>
      <w:r w:rsidR="004024AB">
        <w:rPr>
          <w:rFonts w:ascii="Arial" w:hAnsi="Arial" w:cs="Arial" w:hint="cs"/>
          <w:sz w:val="24"/>
          <w:szCs w:val="24"/>
          <w:rtl/>
        </w:rPr>
        <w:t xml:space="preserve"> והסתכמה ב</w:t>
      </w:r>
      <w:r w:rsidR="003B17BC">
        <w:rPr>
          <w:rFonts w:ascii="Arial" w:hAnsi="Arial" w:cs="Arial" w:hint="cs"/>
          <w:sz w:val="24"/>
          <w:szCs w:val="24"/>
          <w:rtl/>
        </w:rPr>
        <w:t>כ-821</w:t>
      </w:r>
      <w:r w:rsidRPr="0089040A">
        <w:rPr>
          <w:rFonts w:ascii="Arial" w:hAnsi="Arial" w:cs="Arial" w:hint="cs"/>
          <w:sz w:val="24"/>
          <w:szCs w:val="24"/>
          <w:rtl/>
        </w:rPr>
        <w:t xml:space="preserve"> מיליארדי ש"ח. יתרת החוב של </w:t>
      </w:r>
      <w:r w:rsidRPr="0089040A">
        <w:rPr>
          <w:rFonts w:ascii="Arial" w:hAnsi="Arial" w:cs="Arial" w:hint="cs"/>
          <w:b/>
          <w:bCs/>
          <w:sz w:val="24"/>
          <w:szCs w:val="24"/>
          <w:rtl/>
        </w:rPr>
        <w:t>משקי הבית</w:t>
      </w:r>
      <w:r w:rsidRPr="0089040A">
        <w:rPr>
          <w:rFonts w:ascii="Arial" w:hAnsi="Arial" w:cs="Arial" w:hint="cs"/>
          <w:sz w:val="24"/>
          <w:szCs w:val="24"/>
          <w:rtl/>
        </w:rPr>
        <w:t xml:space="preserve"> </w:t>
      </w:r>
      <w:r w:rsidR="003B17BC">
        <w:rPr>
          <w:rFonts w:ascii="Arial" w:hAnsi="Arial" w:cs="Arial" w:hint="cs"/>
          <w:sz w:val="24"/>
          <w:szCs w:val="24"/>
          <w:rtl/>
        </w:rPr>
        <w:t>גדלה בחודש מאי בכ-5.8 מיליארדי ש"ח</w:t>
      </w:r>
      <w:r w:rsidR="00251288">
        <w:rPr>
          <w:rFonts w:ascii="Arial" w:hAnsi="Arial" w:cs="Arial" w:hint="cs"/>
          <w:sz w:val="24"/>
          <w:szCs w:val="24"/>
          <w:rtl/>
        </w:rPr>
        <w:t xml:space="preserve"> </w:t>
      </w:r>
      <w:r w:rsidR="003B17BC">
        <w:rPr>
          <w:rFonts w:ascii="Arial" w:hAnsi="Arial" w:cs="Arial" w:hint="cs"/>
          <w:sz w:val="24"/>
          <w:szCs w:val="24"/>
          <w:rtl/>
        </w:rPr>
        <w:t xml:space="preserve">(1.3%) </w:t>
      </w:r>
      <w:r w:rsidRPr="0089040A">
        <w:rPr>
          <w:rFonts w:ascii="Arial" w:hAnsi="Arial" w:cs="Arial" w:hint="cs"/>
          <w:sz w:val="24"/>
          <w:szCs w:val="24"/>
          <w:rtl/>
        </w:rPr>
        <w:t>ועמדה בסוף החודש על כ-</w:t>
      </w:r>
      <w:r w:rsidR="004F4E43">
        <w:rPr>
          <w:rFonts w:ascii="Arial" w:hAnsi="Arial" w:cs="Arial" w:hint="cs"/>
          <w:sz w:val="24"/>
          <w:szCs w:val="24"/>
          <w:rtl/>
        </w:rPr>
        <w:t>4</w:t>
      </w:r>
      <w:r w:rsidR="003B17BC">
        <w:rPr>
          <w:rFonts w:ascii="Arial" w:hAnsi="Arial" w:cs="Arial" w:hint="cs"/>
          <w:sz w:val="24"/>
          <w:szCs w:val="24"/>
          <w:rtl/>
        </w:rPr>
        <w:t>42</w:t>
      </w:r>
      <w:r w:rsidRPr="0089040A">
        <w:rPr>
          <w:rFonts w:ascii="Arial" w:hAnsi="Arial" w:cs="Arial" w:hint="cs"/>
          <w:sz w:val="24"/>
          <w:szCs w:val="24"/>
          <w:rtl/>
        </w:rPr>
        <w:t xml:space="preserve"> מיליארדים.</w:t>
      </w:r>
      <w:r w:rsidR="005D012F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89040A" w:rsidRPr="0089040A" w:rsidRDefault="0089040A" w:rsidP="0089040A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9F574F" w:rsidRPr="0089040A" w:rsidRDefault="00286AB2" w:rsidP="00286AB2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א. </w:t>
      </w:r>
      <w:r w:rsidR="009F574F"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>החוב של המגזר העסקי</w:t>
      </w:r>
    </w:p>
    <w:p w:rsidR="0089040A" w:rsidRPr="00D6658B" w:rsidRDefault="0089040A" w:rsidP="00E01030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D6658B">
        <w:rPr>
          <w:rFonts w:ascii="Arial" w:hAnsi="Arial" w:cs="Arial" w:hint="cs"/>
          <w:sz w:val="24"/>
          <w:szCs w:val="24"/>
          <w:rtl/>
        </w:rPr>
        <w:t xml:space="preserve">מהחטיבה למידע וסטטיסטיקה נמסר, כי בחודש </w:t>
      </w:r>
      <w:r w:rsidR="00A30DCC">
        <w:rPr>
          <w:rFonts w:ascii="Arial" w:hAnsi="Arial" w:cs="Arial" w:hint="cs"/>
          <w:sz w:val="24"/>
          <w:szCs w:val="24"/>
          <w:rtl/>
        </w:rPr>
        <w:t>מאי</w:t>
      </w:r>
      <w:r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613223">
        <w:rPr>
          <w:rFonts w:ascii="Arial" w:hAnsi="Arial" w:cs="Arial" w:hint="cs"/>
          <w:sz w:val="24"/>
          <w:szCs w:val="24"/>
          <w:rtl/>
        </w:rPr>
        <w:t xml:space="preserve">יתרת החוב של המגזר העסקי נותרה כמעט ללא שינוי ועמדה על כ-821 מיליארדי ש"ח. בחודש זה </w:t>
      </w:r>
      <w:r w:rsidR="00636483" w:rsidRPr="00D6658B">
        <w:rPr>
          <w:rFonts w:ascii="Arial" w:hAnsi="Arial" w:cs="Arial" w:hint="cs"/>
          <w:sz w:val="24"/>
          <w:szCs w:val="24"/>
          <w:rtl/>
        </w:rPr>
        <w:t xml:space="preserve">נרשמו </w:t>
      </w:r>
      <w:r w:rsidR="00613223">
        <w:rPr>
          <w:rFonts w:ascii="Arial" w:hAnsi="Arial" w:cs="Arial" w:hint="cs"/>
          <w:sz w:val="24"/>
          <w:szCs w:val="24"/>
          <w:rtl/>
        </w:rPr>
        <w:t xml:space="preserve">פירעונות </w:t>
      </w:r>
      <w:r w:rsidR="00636483" w:rsidRPr="00D6658B">
        <w:rPr>
          <w:rFonts w:ascii="Arial" w:hAnsi="Arial" w:cs="Arial" w:hint="cs"/>
          <w:sz w:val="24"/>
          <w:szCs w:val="24"/>
          <w:rtl/>
        </w:rPr>
        <w:t>חוב נטו ב</w:t>
      </w:r>
      <w:r w:rsidR="00613223">
        <w:rPr>
          <w:rFonts w:ascii="Arial" w:hAnsi="Arial" w:cs="Arial" w:hint="cs"/>
          <w:sz w:val="24"/>
          <w:szCs w:val="24"/>
          <w:rtl/>
        </w:rPr>
        <w:t xml:space="preserve">היקף של כ-2.7 מיליארדים בהלוואות בנקאיות, </w:t>
      </w:r>
      <w:r w:rsidR="00636483" w:rsidRPr="00D6658B">
        <w:rPr>
          <w:rFonts w:ascii="Arial" w:hAnsi="Arial" w:cs="Arial" w:hint="cs"/>
          <w:sz w:val="24"/>
          <w:szCs w:val="24"/>
          <w:rtl/>
        </w:rPr>
        <w:t xml:space="preserve">אג"ח סחירות </w:t>
      </w:r>
      <w:r w:rsidR="00613223">
        <w:rPr>
          <w:rFonts w:ascii="Arial" w:hAnsi="Arial" w:cs="Arial" w:hint="cs"/>
          <w:sz w:val="24"/>
          <w:szCs w:val="24"/>
          <w:rtl/>
        </w:rPr>
        <w:t xml:space="preserve">ולא סחירות </w:t>
      </w:r>
      <w:r w:rsidR="00636483" w:rsidRPr="00D6658B">
        <w:rPr>
          <w:rFonts w:ascii="Arial" w:hAnsi="Arial" w:cs="Arial" w:hint="cs"/>
          <w:sz w:val="24"/>
          <w:szCs w:val="24"/>
          <w:rtl/>
        </w:rPr>
        <w:t>בישראל</w:t>
      </w:r>
      <w:r w:rsidR="00613223">
        <w:rPr>
          <w:rFonts w:ascii="Arial" w:hAnsi="Arial" w:cs="Arial" w:hint="cs"/>
          <w:sz w:val="24"/>
          <w:szCs w:val="24"/>
          <w:rtl/>
        </w:rPr>
        <w:t xml:space="preserve"> ואשראי מחו"ל</w:t>
      </w:r>
      <w:r w:rsidR="00636483" w:rsidRPr="00D6658B">
        <w:rPr>
          <w:rFonts w:ascii="Arial" w:hAnsi="Arial" w:cs="Arial" w:hint="cs"/>
          <w:sz w:val="24"/>
          <w:szCs w:val="24"/>
          <w:rtl/>
        </w:rPr>
        <w:t xml:space="preserve">. </w:t>
      </w:r>
      <w:r w:rsidR="00752B5B">
        <w:rPr>
          <w:rFonts w:ascii="Arial" w:hAnsi="Arial" w:cs="Arial" w:hint="cs"/>
          <w:sz w:val="24"/>
          <w:szCs w:val="24"/>
          <w:rtl/>
        </w:rPr>
        <w:t>פירעונות אלו קוזזו כתוצאה מגיוס חוב נטו של הלוואות חוץ בנקאיות ומהשפעת פיחות השקל מול הדולר בכ-0.4% שהגדיל</w:t>
      </w:r>
      <w:r w:rsidR="003B2A0D" w:rsidRPr="00D6658B">
        <w:rPr>
          <w:rFonts w:ascii="Arial" w:hAnsi="Arial" w:cs="Arial" w:hint="cs"/>
          <w:sz w:val="24"/>
          <w:szCs w:val="24"/>
          <w:rtl/>
        </w:rPr>
        <w:t xml:space="preserve"> את השווי השקלי של החוב הצמוד והנקוב במט"ח.  </w:t>
      </w:r>
    </w:p>
    <w:p w:rsidR="00286AB2" w:rsidRDefault="0089040A" w:rsidP="00E01030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A30DCC">
        <w:rPr>
          <w:rFonts w:ascii="Arial" w:hAnsi="Arial" w:cs="Arial" w:hint="cs"/>
          <w:sz w:val="24"/>
          <w:szCs w:val="24"/>
          <w:rtl/>
        </w:rPr>
        <w:t>יוני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הנפיק המגזר העסקי (ללא בנקים וביטוח) אג"ח בשווי של כ-</w:t>
      </w:r>
      <w:r w:rsidR="00E01030">
        <w:rPr>
          <w:rFonts w:ascii="Arial" w:hAnsi="Arial" w:cs="Arial" w:hint="cs"/>
          <w:sz w:val="24"/>
          <w:szCs w:val="24"/>
          <w:rtl/>
        </w:rPr>
        <w:t>3</w:t>
      </w:r>
      <w:r w:rsidR="00B27269">
        <w:rPr>
          <w:rFonts w:ascii="Arial" w:hAnsi="Arial" w:cs="Arial" w:hint="cs"/>
          <w:sz w:val="24"/>
          <w:szCs w:val="24"/>
          <w:rtl/>
        </w:rPr>
        <w:t>.</w:t>
      </w:r>
      <w:r w:rsidR="0064196B">
        <w:rPr>
          <w:rFonts w:ascii="Arial" w:hAnsi="Arial" w:cs="Arial" w:hint="cs"/>
          <w:sz w:val="24"/>
          <w:szCs w:val="24"/>
          <w:rtl/>
        </w:rPr>
        <w:t>3 מיליארדי ש"ח, כול</w:t>
      </w:r>
      <w:r w:rsidRPr="006373FB">
        <w:rPr>
          <w:rFonts w:ascii="Arial" w:hAnsi="Arial" w:cs="Arial" w:hint="cs"/>
          <w:sz w:val="24"/>
          <w:szCs w:val="24"/>
          <w:rtl/>
        </w:rPr>
        <w:t>ן בהנפקות של אג"ח סחירות</w:t>
      </w:r>
      <w:r w:rsidRPr="006373FB">
        <w:rPr>
          <w:rFonts w:ascii="Arial" w:hAnsi="Arial" w:cs="Arial"/>
          <w:sz w:val="24"/>
          <w:szCs w:val="24"/>
        </w:rPr>
        <w:t>;</w:t>
      </w:r>
      <w:r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="00E01030">
        <w:rPr>
          <w:rFonts w:ascii="Arial" w:hAnsi="Arial" w:cs="Arial" w:hint="cs"/>
          <w:sz w:val="24"/>
          <w:szCs w:val="24"/>
          <w:rtl/>
        </w:rPr>
        <w:t>גבוה ממוצע הגיוסים של חמשת החודשים הראשונים של השנה ה</w:t>
      </w:r>
      <w:r w:rsidR="00B27269" w:rsidRPr="00D6658B">
        <w:rPr>
          <w:rFonts w:ascii="Arial" w:hAnsi="Arial" w:cs="Arial" w:hint="cs"/>
          <w:sz w:val="24"/>
          <w:szCs w:val="24"/>
          <w:rtl/>
        </w:rPr>
        <w:t>מסתכם ב</w:t>
      </w:r>
      <w:r w:rsidRPr="00D6658B">
        <w:rPr>
          <w:rFonts w:ascii="Arial" w:hAnsi="Arial" w:cs="Arial" w:hint="cs"/>
          <w:sz w:val="24"/>
          <w:szCs w:val="24"/>
          <w:rtl/>
        </w:rPr>
        <w:t>כ-</w:t>
      </w:r>
      <w:r w:rsidR="0064196B" w:rsidRPr="00D6658B">
        <w:rPr>
          <w:rFonts w:ascii="Arial" w:hAnsi="Arial" w:cs="Arial" w:hint="cs"/>
          <w:sz w:val="24"/>
          <w:szCs w:val="24"/>
          <w:rtl/>
        </w:rPr>
        <w:t>2.</w:t>
      </w:r>
      <w:r w:rsidR="00E01030">
        <w:rPr>
          <w:rFonts w:ascii="Arial" w:hAnsi="Arial" w:cs="Arial" w:hint="cs"/>
          <w:sz w:val="24"/>
          <w:szCs w:val="24"/>
          <w:rtl/>
        </w:rPr>
        <w:t>4</w:t>
      </w:r>
      <w:r w:rsidRPr="00D6658B">
        <w:rPr>
          <w:rFonts w:ascii="Arial" w:hAnsi="Arial" w:cs="Arial" w:hint="cs"/>
          <w:sz w:val="24"/>
          <w:szCs w:val="24"/>
          <w:rtl/>
        </w:rPr>
        <w:t xml:space="preserve"> מיליארדים.</w:t>
      </w:r>
    </w:p>
    <w:p w:rsidR="00AC3E61" w:rsidRPr="00480FFC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rtl/>
        </w:rPr>
      </w:pPr>
      <w:r w:rsidRPr="00966322">
        <w:rPr>
          <w:rFonts w:asciiTheme="minorBidi" w:hAnsiTheme="minorBidi" w:cstheme="minorBidi"/>
          <w:b/>
          <w:bCs/>
          <w:rtl/>
        </w:rPr>
        <w:t>לוח 1: התפלגות החוב של המגזר העסקי</w:t>
      </w:r>
      <w:r w:rsidR="0012175B">
        <w:rPr>
          <w:rFonts w:asciiTheme="minorBidi" w:hAnsiTheme="minorBidi" w:cstheme="minorBidi" w:hint="cs"/>
          <w:sz w:val="22"/>
          <w:szCs w:val="22"/>
          <w:vertAlign w:val="superscript"/>
          <w:rtl/>
        </w:rPr>
        <w:t>1</w:t>
      </w:r>
      <w:r w:rsidR="00303DA6">
        <w:rPr>
          <w:rFonts w:asciiTheme="minorBidi" w:hAnsiTheme="minorBidi" w:cstheme="minorBidi" w:hint="cs"/>
          <w:sz w:val="22"/>
          <w:szCs w:val="22"/>
          <w:vertAlign w:val="superscript"/>
          <w:rtl/>
        </w:rPr>
        <w:t xml:space="preserve"> </w:t>
      </w:r>
    </w:p>
    <w:p w:rsidR="002A60C4" w:rsidRDefault="00250CB1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250CB1">
        <w:rPr>
          <w:noProof/>
          <w:rtl/>
        </w:rPr>
        <w:drawing>
          <wp:inline distT="0" distB="0" distL="0" distR="0" wp14:anchorId="0558E503" wp14:editId="3E56522C">
            <wp:extent cx="5278120" cy="2369942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6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0C4" w:rsidRDefault="002A60C4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250CB1" w:rsidRDefault="00250CB1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250CB1" w:rsidRDefault="00250CB1" w:rsidP="00250CB1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AC3E61" w:rsidRPr="00966322" w:rsidRDefault="00AC3E61" w:rsidP="00250CB1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</w:rPr>
      </w:pPr>
      <w:r w:rsidRPr="00966322">
        <w:rPr>
          <w:rFonts w:asciiTheme="minorBidi" w:hAnsiTheme="minorBidi" w:cstheme="minorBidi"/>
          <w:b/>
          <w:bCs/>
          <w:rtl/>
        </w:rPr>
        <w:lastRenderedPageBreak/>
        <w:t>איור 1: החוב הבנקאי והחוץ-בנקאי של הסקטור העסקי – שיעורי השינוי לעומת החודש המקביל בשנה הקודמת</w:t>
      </w:r>
    </w:p>
    <w:p w:rsidR="002A60C4" w:rsidRDefault="00250CB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ACEA644">
            <wp:extent cx="5292090" cy="2603500"/>
            <wp:effectExtent l="0" t="0" r="3810" b="635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AC3E61" w:rsidRPr="00751A3D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</w:rPr>
      </w:pPr>
      <w:r w:rsidRPr="00751A3D">
        <w:rPr>
          <w:rFonts w:asciiTheme="minorBidi" w:hAnsiTheme="minorBidi" w:cstheme="minorBidi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89040A" w:rsidRDefault="00250CB1" w:rsidP="00AC3E61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250CB1">
        <w:rPr>
          <w:noProof/>
          <w:lang w:eastAsia="en-US"/>
        </w:rPr>
        <w:drawing>
          <wp:inline distT="0" distB="0" distL="0" distR="0" wp14:anchorId="18254459" wp14:editId="68BBC719">
            <wp:extent cx="5278120" cy="1203868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61" w:rsidRDefault="00AC3E61" w:rsidP="00AC3E6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C3E61" w:rsidRPr="00357818" w:rsidRDefault="00AC3E61" w:rsidP="00AC3E6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57818">
        <w:rPr>
          <w:rFonts w:asciiTheme="minorBidi" w:hAnsiTheme="minorBidi" w:cstheme="minorBidi"/>
          <w:b/>
          <w:bCs/>
          <w:sz w:val="24"/>
          <w:szCs w:val="24"/>
          <w:rtl/>
        </w:rPr>
        <w:t>איור 2: הנפקות אג"ח של הסקטור העסקי הלא פיננסי</w:t>
      </w:r>
    </w:p>
    <w:p w:rsidR="00F83505" w:rsidRPr="0089040A" w:rsidRDefault="00250CB1" w:rsidP="001F1E1B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 wp14:anchorId="54D18441">
            <wp:extent cx="5292090" cy="3108960"/>
            <wp:effectExtent l="0" t="0" r="381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529" w:rsidRPr="0089040A" w:rsidRDefault="00872529" w:rsidP="00A44417">
      <w:pPr>
        <w:pStyle w:val="a9"/>
        <w:bidi/>
        <w:spacing w:line="360" w:lineRule="auto"/>
        <w:ind w:left="0"/>
        <w:jc w:val="center"/>
        <w:rPr>
          <w:rFonts w:ascii="Arial" w:hAnsi="Arial" w:cs="Arial"/>
          <w:noProof/>
          <w:sz w:val="24"/>
          <w:szCs w:val="24"/>
          <w:rtl/>
          <w:lang w:eastAsia="en-US"/>
        </w:rPr>
      </w:pPr>
    </w:p>
    <w:p w:rsidR="000911D7" w:rsidRPr="0089040A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Arial"/>
          <w:sz w:val="24"/>
          <w:szCs w:val="24"/>
          <w:u w:val="single"/>
          <w:rtl/>
        </w:rPr>
      </w:pPr>
    </w:p>
    <w:p w:rsidR="009F574F" w:rsidRPr="0089040A" w:rsidRDefault="00F83505" w:rsidP="00F83505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 xml:space="preserve">ב. </w:t>
      </w:r>
      <w:r w:rsidR="009F574F"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>החוב של משקי הבית</w:t>
      </w:r>
    </w:p>
    <w:p w:rsidR="006B0BAE" w:rsidRPr="006373FB" w:rsidRDefault="006B0BAE" w:rsidP="00323164">
      <w:pPr>
        <w:pStyle w:val="a9"/>
        <w:numPr>
          <w:ilvl w:val="0"/>
          <w:numId w:val="9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יתרת החוב של משקי הבית </w:t>
      </w:r>
      <w:r w:rsidR="00323164">
        <w:rPr>
          <w:rFonts w:ascii="Arial" w:hAnsi="Arial" w:cs="Arial" w:hint="cs"/>
          <w:sz w:val="24"/>
          <w:szCs w:val="24"/>
          <w:rtl/>
        </w:rPr>
        <w:t xml:space="preserve">גדלה בחודש מאי בכ-5.8 מיליארדי ש"ח (1.3%) לרמה של כ-442 מיליארדים. </w:t>
      </w:r>
      <w:r w:rsidRPr="006373FB">
        <w:rPr>
          <w:rFonts w:ascii="Arial" w:hAnsi="Arial" w:cs="Arial" w:hint="cs"/>
          <w:sz w:val="24"/>
          <w:szCs w:val="24"/>
          <w:rtl/>
        </w:rPr>
        <w:t xml:space="preserve">יתרת החוב לדיור מסך החוב של משקי הבית </w:t>
      </w:r>
      <w:r w:rsidR="00977BED">
        <w:rPr>
          <w:rFonts w:ascii="Arial" w:hAnsi="Arial" w:cs="Arial" w:hint="cs"/>
          <w:sz w:val="24"/>
          <w:szCs w:val="24"/>
          <w:rtl/>
        </w:rPr>
        <w:t>עלתה בכ-</w:t>
      </w:r>
      <w:r w:rsidR="00323164">
        <w:rPr>
          <w:rFonts w:ascii="Arial" w:hAnsi="Arial" w:cs="Arial" w:hint="cs"/>
          <w:sz w:val="24"/>
          <w:szCs w:val="24"/>
          <w:rtl/>
        </w:rPr>
        <w:t xml:space="preserve">2.5 </w:t>
      </w:r>
      <w:r w:rsidR="00977BED">
        <w:rPr>
          <w:rFonts w:ascii="Arial" w:hAnsi="Arial" w:cs="Arial" w:hint="cs"/>
          <w:sz w:val="24"/>
          <w:szCs w:val="24"/>
          <w:rtl/>
        </w:rPr>
        <w:t>מיליארדי ש"ח</w:t>
      </w:r>
      <w:r w:rsidR="00B27269">
        <w:rPr>
          <w:rFonts w:ascii="Arial" w:hAnsi="Arial" w:cs="Arial" w:hint="cs"/>
          <w:sz w:val="24"/>
          <w:szCs w:val="24"/>
          <w:rtl/>
        </w:rPr>
        <w:t xml:space="preserve"> </w:t>
      </w:r>
      <w:r w:rsidR="00977BED">
        <w:rPr>
          <w:rFonts w:ascii="Arial" w:hAnsi="Arial" w:cs="Arial" w:hint="cs"/>
          <w:sz w:val="24"/>
          <w:szCs w:val="24"/>
          <w:rtl/>
        </w:rPr>
        <w:t>ועומדת על כ-30</w:t>
      </w:r>
      <w:r w:rsidR="00323164">
        <w:rPr>
          <w:rFonts w:ascii="Arial" w:hAnsi="Arial" w:cs="Arial" w:hint="cs"/>
          <w:sz w:val="24"/>
          <w:szCs w:val="24"/>
          <w:rtl/>
        </w:rPr>
        <w:t>9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מיליארדים.</w:t>
      </w:r>
    </w:p>
    <w:p w:rsidR="006B0BAE" w:rsidRPr="00D6658B" w:rsidRDefault="0009315D" w:rsidP="00825878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D6658B">
        <w:rPr>
          <w:rFonts w:ascii="Arial" w:hAnsi="Arial" w:cs="Arial"/>
          <w:sz w:val="24"/>
          <w:szCs w:val="24"/>
          <w:rtl/>
        </w:rPr>
        <w:t xml:space="preserve">בחודש </w:t>
      </w:r>
      <w:r w:rsidR="00A30DCC">
        <w:rPr>
          <w:rFonts w:ascii="Arial" w:hAnsi="Arial" w:cs="Arial"/>
          <w:sz w:val="24"/>
          <w:szCs w:val="24"/>
          <w:rtl/>
        </w:rPr>
        <w:t>יוני</w:t>
      </w:r>
      <w:r w:rsidRPr="00D6658B">
        <w:rPr>
          <w:rFonts w:ascii="Arial" w:hAnsi="Arial" w:cs="Arial"/>
          <w:sz w:val="24"/>
          <w:szCs w:val="24"/>
          <w:rtl/>
        </w:rPr>
        <w:t xml:space="preserve"> חלה </w:t>
      </w:r>
      <w:r w:rsidR="00902402" w:rsidRPr="00D6658B">
        <w:rPr>
          <w:rFonts w:ascii="Arial" w:hAnsi="Arial" w:cs="Arial" w:hint="cs"/>
          <w:sz w:val="24"/>
          <w:szCs w:val="24"/>
          <w:rtl/>
        </w:rPr>
        <w:t>עליה</w:t>
      </w:r>
      <w:r w:rsidR="00825878">
        <w:rPr>
          <w:rFonts w:ascii="Arial" w:hAnsi="Arial" w:cs="Arial" w:hint="cs"/>
          <w:sz w:val="24"/>
          <w:szCs w:val="24"/>
          <w:rtl/>
        </w:rPr>
        <w:t xml:space="preserve"> ניכרת</w:t>
      </w:r>
      <w:r w:rsidRPr="00D6658B">
        <w:rPr>
          <w:rFonts w:ascii="Arial" w:hAnsi="Arial" w:cs="Arial"/>
          <w:sz w:val="24"/>
          <w:szCs w:val="24"/>
          <w:rtl/>
        </w:rPr>
        <w:t xml:space="preserve">, עונתית בחלקה, בביצועי המשכנתאות </w:t>
      </w:r>
      <w:r w:rsidR="006B0BAE" w:rsidRPr="00D6658B">
        <w:rPr>
          <w:rFonts w:ascii="Arial" w:hAnsi="Arial" w:cs="Arial" w:hint="cs"/>
          <w:sz w:val="24"/>
          <w:szCs w:val="24"/>
          <w:rtl/>
        </w:rPr>
        <w:t>(נטילות של משכנתאות חדשות) והן הסתכמו בכ-</w:t>
      </w:r>
      <w:r w:rsidR="00825878">
        <w:rPr>
          <w:rFonts w:ascii="Arial" w:hAnsi="Arial" w:cs="Arial" w:hint="cs"/>
          <w:sz w:val="24"/>
          <w:szCs w:val="24"/>
          <w:rtl/>
        </w:rPr>
        <w:t>7</w:t>
      </w:r>
      <w:r w:rsidR="00902402" w:rsidRPr="00D6658B">
        <w:rPr>
          <w:rFonts w:ascii="Arial" w:hAnsi="Arial" w:cs="Arial" w:hint="cs"/>
          <w:sz w:val="24"/>
          <w:szCs w:val="24"/>
          <w:rtl/>
        </w:rPr>
        <w:t xml:space="preserve"> מיליארדי ש"ח, גבוה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902402" w:rsidRPr="00D6658B">
        <w:rPr>
          <w:rFonts w:ascii="Arial" w:hAnsi="Arial" w:cs="Arial" w:hint="cs"/>
          <w:sz w:val="24"/>
          <w:szCs w:val="24"/>
          <w:rtl/>
        </w:rPr>
        <w:t>מ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ממוצע הביצועים </w:t>
      </w:r>
      <w:r w:rsidR="00902402" w:rsidRPr="00D6658B">
        <w:rPr>
          <w:rFonts w:ascii="Arial" w:hAnsi="Arial" w:cs="Arial" w:hint="cs"/>
          <w:sz w:val="24"/>
          <w:szCs w:val="24"/>
          <w:rtl/>
        </w:rPr>
        <w:t>ב</w:t>
      </w:r>
      <w:r w:rsidR="00825878">
        <w:rPr>
          <w:rFonts w:ascii="Arial" w:hAnsi="Arial" w:cs="Arial" w:hint="cs"/>
          <w:sz w:val="24"/>
          <w:szCs w:val="24"/>
          <w:rtl/>
        </w:rPr>
        <w:t xml:space="preserve">חמשת החודשים הראשונים של השנה </w:t>
      </w:r>
      <w:r w:rsidR="00902402" w:rsidRPr="00D6658B">
        <w:rPr>
          <w:rFonts w:ascii="Arial" w:hAnsi="Arial" w:cs="Arial" w:hint="cs"/>
          <w:sz w:val="24"/>
          <w:szCs w:val="24"/>
          <w:rtl/>
        </w:rPr>
        <w:t>הע</w:t>
      </w:r>
      <w:r w:rsidR="006B0BAE" w:rsidRPr="00D6658B">
        <w:rPr>
          <w:rFonts w:ascii="Arial" w:hAnsi="Arial" w:cs="Arial" w:hint="cs"/>
          <w:sz w:val="24"/>
          <w:szCs w:val="24"/>
          <w:rtl/>
        </w:rPr>
        <w:t>ומד על כ-</w:t>
      </w:r>
      <w:r w:rsidR="00825878">
        <w:rPr>
          <w:rFonts w:ascii="Arial" w:hAnsi="Arial" w:cs="Arial" w:hint="cs"/>
          <w:sz w:val="24"/>
          <w:szCs w:val="24"/>
          <w:rtl/>
        </w:rPr>
        <w:t>5.1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 מיליארדים. (איור 3)</w:t>
      </w:r>
      <w:r w:rsidR="00CD06A0" w:rsidRPr="00D6658B">
        <w:rPr>
          <w:rFonts w:ascii="Arial" w:hAnsi="Arial" w:cs="Arial" w:hint="cs"/>
          <w:sz w:val="24"/>
          <w:szCs w:val="24"/>
          <w:rtl/>
        </w:rPr>
        <w:t xml:space="preserve">. נמשך הגידול במשקלן של נטילות המשכנתאות החדשות בריבית קבועה.  </w:t>
      </w:r>
    </w:p>
    <w:p w:rsidR="00AC3E61" w:rsidRDefault="00AC3E61" w:rsidP="00AC3E61">
      <w:pPr>
        <w:pStyle w:val="a9"/>
        <w:bidi/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C3E61" w:rsidRPr="00AC3E61" w:rsidRDefault="00AC3E61" w:rsidP="00AC3E61">
      <w:pPr>
        <w:pStyle w:val="a9"/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>לוח 3: יתרות החוב של משקי הבית</w:t>
      </w:r>
      <w:r w:rsidRPr="00AC3E61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>1</w:t>
      </w:r>
    </w:p>
    <w:p w:rsidR="00AC3E61" w:rsidRPr="006373FB" w:rsidRDefault="00250CB1" w:rsidP="00AC3E61">
      <w:pPr>
        <w:pStyle w:val="a9"/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250CB1">
        <w:rPr>
          <w:noProof/>
          <w:rtl/>
          <w:lang w:eastAsia="en-US"/>
        </w:rPr>
        <w:drawing>
          <wp:inline distT="0" distB="0" distL="0" distR="0" wp14:anchorId="0B4457ED" wp14:editId="57EDDDE3">
            <wp:extent cx="5278120" cy="4631833"/>
            <wp:effectExtent l="0" t="0" r="0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63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Pr="003A2FA9" w:rsidRDefault="00BF4C2E" w:rsidP="00BD1037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איור 3: נטילת משכנתאות חדשות מבנקים לפי סוגי הצמדה</w:t>
      </w:r>
    </w:p>
    <w:p w:rsidR="00546295" w:rsidRPr="00AA0C2F" w:rsidRDefault="00250CB1" w:rsidP="00AA0C2F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126A31D7">
            <wp:extent cx="5224780" cy="2609215"/>
            <wp:effectExtent l="0" t="0" r="0" b="635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74F" w:rsidRPr="0089040A" w:rsidRDefault="00F452C6" w:rsidP="00F452C6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ג. </w:t>
      </w:r>
      <w:r w:rsidR="009F574F" w:rsidRPr="0089040A">
        <w:rPr>
          <w:rFonts w:ascii="Arial" w:hAnsi="Arial" w:cs="Arial"/>
          <w:b/>
          <w:bCs/>
          <w:sz w:val="24"/>
          <w:szCs w:val="24"/>
          <w:u w:val="single"/>
          <w:rtl/>
        </w:rPr>
        <w:t>עלויות החוב במשק</w:t>
      </w:r>
    </w:p>
    <w:p w:rsidR="006B0BAE" w:rsidRPr="006373FB" w:rsidRDefault="006B0BAE" w:rsidP="0019015A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051063">
        <w:rPr>
          <w:rFonts w:ascii="Arial" w:hAnsi="Arial" w:cs="Arial" w:hint="cs"/>
          <w:sz w:val="24"/>
          <w:szCs w:val="24"/>
          <w:rtl/>
        </w:rPr>
        <w:t>ה</w:t>
      </w:r>
      <w:r w:rsidR="0019015A">
        <w:rPr>
          <w:rFonts w:ascii="Arial" w:hAnsi="Arial" w:cs="Arial" w:hint="cs"/>
          <w:sz w:val="24"/>
          <w:szCs w:val="24"/>
          <w:rtl/>
        </w:rPr>
        <w:t>תרחב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בכ-</w:t>
      </w:r>
      <w:r w:rsidR="0019015A">
        <w:rPr>
          <w:rFonts w:ascii="Arial" w:hAnsi="Arial" w:cs="Arial" w:hint="cs"/>
          <w:sz w:val="24"/>
          <w:szCs w:val="24"/>
          <w:rtl/>
        </w:rPr>
        <w:t>0.16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 בחודש </w:t>
      </w:r>
      <w:r w:rsidR="00A30DCC">
        <w:rPr>
          <w:rFonts w:ascii="Arial" w:hAnsi="Arial" w:cs="Arial" w:hint="cs"/>
          <w:sz w:val="24"/>
          <w:szCs w:val="24"/>
          <w:rtl/>
        </w:rPr>
        <w:t>מאי</w:t>
      </w:r>
      <w:r w:rsidR="00051063">
        <w:rPr>
          <w:rFonts w:ascii="Arial" w:hAnsi="Arial" w:cs="Arial" w:hint="cs"/>
          <w:sz w:val="24"/>
          <w:szCs w:val="24"/>
          <w:rtl/>
        </w:rPr>
        <w:t xml:space="preserve"> לעומת החודש הקודם,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כתוצאה </w:t>
      </w:r>
      <w:r w:rsidR="001D364B">
        <w:rPr>
          <w:rFonts w:ascii="Arial" w:hAnsi="Arial" w:cs="Arial" w:hint="cs"/>
          <w:sz w:val="24"/>
          <w:szCs w:val="24"/>
          <w:rtl/>
        </w:rPr>
        <w:t>מ</w:t>
      </w:r>
      <w:r w:rsidR="00051063">
        <w:rPr>
          <w:rFonts w:ascii="Arial" w:hAnsi="Arial" w:cs="Arial" w:hint="cs"/>
          <w:sz w:val="24"/>
          <w:szCs w:val="24"/>
          <w:rtl/>
        </w:rPr>
        <w:t xml:space="preserve">ירידה </w:t>
      </w:r>
      <w:r w:rsidR="0019015A">
        <w:rPr>
          <w:rFonts w:ascii="Arial" w:hAnsi="Arial" w:cs="Arial" w:hint="cs"/>
          <w:sz w:val="24"/>
          <w:szCs w:val="24"/>
          <w:rtl/>
        </w:rPr>
        <w:t xml:space="preserve">גדולה יותר </w:t>
      </w:r>
      <w:r w:rsidR="00051063">
        <w:rPr>
          <w:rFonts w:ascii="Arial" w:hAnsi="Arial" w:cs="Arial" w:hint="cs"/>
          <w:sz w:val="24"/>
          <w:szCs w:val="24"/>
          <w:rtl/>
        </w:rPr>
        <w:t xml:space="preserve">בריבית על </w:t>
      </w:r>
      <w:r w:rsidR="001D364B">
        <w:rPr>
          <w:rFonts w:ascii="Arial" w:hAnsi="Arial" w:cs="Arial" w:hint="cs"/>
          <w:sz w:val="24"/>
          <w:szCs w:val="24"/>
          <w:rtl/>
        </w:rPr>
        <w:t>הפיקדון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הצמוד השולי</w:t>
      </w:r>
      <w:r w:rsidR="0019015A">
        <w:rPr>
          <w:rFonts w:ascii="Arial" w:hAnsi="Arial" w:cs="Arial" w:hint="cs"/>
          <w:sz w:val="24"/>
          <w:szCs w:val="24"/>
          <w:rtl/>
        </w:rPr>
        <w:t xml:space="preserve"> מאשר הירידה בריבית על האשראי הצמוד </w:t>
      </w:r>
      <w:r w:rsidR="00081313">
        <w:rPr>
          <w:rFonts w:ascii="Arial" w:hAnsi="Arial" w:cs="Arial" w:hint="cs"/>
          <w:sz w:val="24"/>
          <w:szCs w:val="24"/>
          <w:rtl/>
        </w:rPr>
        <w:t>ה</w:t>
      </w:r>
      <w:r w:rsidR="0019015A">
        <w:rPr>
          <w:rFonts w:ascii="Arial" w:hAnsi="Arial" w:cs="Arial" w:hint="cs"/>
          <w:sz w:val="24"/>
          <w:szCs w:val="24"/>
          <w:rtl/>
        </w:rPr>
        <w:t>שולי</w:t>
      </w:r>
      <w:r w:rsidRPr="006373FB">
        <w:rPr>
          <w:rFonts w:ascii="Arial" w:hAnsi="Arial" w:cs="Arial" w:hint="cs"/>
          <w:sz w:val="24"/>
          <w:szCs w:val="24"/>
          <w:rtl/>
        </w:rPr>
        <w:t>.</w:t>
      </w:r>
    </w:p>
    <w:p w:rsidR="006B0BAE" w:rsidRPr="006373FB" w:rsidRDefault="006B0BAE" w:rsidP="00081313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>המרווח בין תשואת מדד אג"ח החברות הצמוד, תל בונד 60, לבין תשואת האג"ח הממשלתיות הצמודות ה</w:t>
      </w:r>
      <w:r w:rsidR="00081313">
        <w:rPr>
          <w:rFonts w:ascii="Arial" w:hAnsi="Arial" w:cs="Arial" w:hint="cs"/>
          <w:sz w:val="24"/>
          <w:szCs w:val="24"/>
          <w:rtl/>
        </w:rPr>
        <w:t>תרחב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בחודש </w:t>
      </w:r>
      <w:r w:rsidR="00A30DCC">
        <w:rPr>
          <w:rFonts w:ascii="Arial" w:hAnsi="Arial" w:cs="Arial" w:hint="cs"/>
          <w:sz w:val="24"/>
          <w:szCs w:val="24"/>
          <w:rtl/>
        </w:rPr>
        <w:t>יוני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עד לרמה של כ-</w:t>
      </w:r>
      <w:r w:rsidR="00081313">
        <w:rPr>
          <w:rFonts w:ascii="Arial" w:hAnsi="Arial" w:cs="Arial" w:hint="cs"/>
          <w:sz w:val="24"/>
          <w:szCs w:val="24"/>
          <w:rtl/>
        </w:rPr>
        <w:t>1.64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   </w:t>
      </w:r>
    </w:p>
    <w:p w:rsidR="00BF4C2E" w:rsidRPr="00860503" w:rsidRDefault="006B0BAE" w:rsidP="00D37BCB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A30DCC">
        <w:rPr>
          <w:rFonts w:ascii="Arial" w:hAnsi="Arial" w:cs="Arial" w:hint="cs"/>
          <w:sz w:val="24"/>
          <w:szCs w:val="24"/>
          <w:rtl/>
        </w:rPr>
        <w:t>יוני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הריבית על משכנתאות חדשות לא צמודות (ריבית משתנה) </w:t>
      </w:r>
      <w:r w:rsidR="00D37BCB">
        <w:rPr>
          <w:rFonts w:ascii="Arial" w:hAnsi="Arial" w:cs="Arial" w:hint="cs"/>
          <w:sz w:val="24"/>
          <w:szCs w:val="24"/>
          <w:rtl/>
        </w:rPr>
        <w:t>עלתה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בכ-0.</w:t>
      </w:r>
      <w:r w:rsidR="001D364B">
        <w:rPr>
          <w:rFonts w:ascii="Arial" w:hAnsi="Arial" w:cs="Arial" w:hint="cs"/>
          <w:sz w:val="24"/>
          <w:szCs w:val="24"/>
          <w:rtl/>
        </w:rPr>
        <w:t>0</w:t>
      </w:r>
      <w:r w:rsidR="00D37BCB">
        <w:rPr>
          <w:rFonts w:ascii="Arial" w:hAnsi="Arial" w:cs="Arial" w:hint="cs"/>
          <w:sz w:val="24"/>
          <w:szCs w:val="24"/>
          <w:rtl/>
        </w:rPr>
        <w:t>6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 הריבית הממוצעת על משכנתאות חדשות צמודות למדד (ריבית קבועה) </w:t>
      </w:r>
      <w:r w:rsidR="00D37BCB">
        <w:rPr>
          <w:rFonts w:ascii="Arial" w:hAnsi="Arial" w:cs="Arial" w:hint="cs"/>
          <w:sz w:val="24"/>
          <w:szCs w:val="24"/>
          <w:rtl/>
        </w:rPr>
        <w:t>גדלה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גם כן בכ-</w:t>
      </w:r>
      <w:r w:rsidR="00D37BCB">
        <w:rPr>
          <w:rFonts w:ascii="Arial" w:hAnsi="Arial" w:cs="Arial" w:hint="cs"/>
          <w:sz w:val="24"/>
          <w:szCs w:val="24"/>
          <w:rtl/>
        </w:rPr>
        <w:t>0.01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</w:t>
      </w:r>
    </w:p>
    <w:p w:rsidR="00BF4C2E" w:rsidRPr="003A2FA9" w:rsidRDefault="00BF4C2E" w:rsidP="00BF4C2E">
      <w:pPr>
        <w:pStyle w:val="a9"/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t>לוח 4: עלויות החוב והמרווחים</w:t>
      </w:r>
    </w:p>
    <w:p w:rsidR="00F452C6" w:rsidRDefault="00250CB1" w:rsidP="006B0BAE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250CB1">
        <w:rPr>
          <w:noProof/>
          <w:rtl/>
          <w:lang w:eastAsia="en-US"/>
        </w:rPr>
        <w:drawing>
          <wp:inline distT="0" distB="0" distL="0" distR="0" wp14:anchorId="4A708307" wp14:editId="595F7B48">
            <wp:extent cx="5278120" cy="2526073"/>
            <wp:effectExtent l="0" t="0" r="0" b="762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2E" w:rsidRPr="003B388A" w:rsidRDefault="00BF4C2E" w:rsidP="00BF4C2E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B388A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 xml:space="preserve">איור 4: המרווח בין אג"ח חברות צמוד (תל בונד 60) לאג"ח ממשלתי צמוד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br/>
      </w:r>
      <w:r w:rsidRPr="003B388A">
        <w:rPr>
          <w:rFonts w:asciiTheme="minorBidi" w:hAnsiTheme="minorBidi" w:cstheme="minorBidi"/>
          <w:b/>
          <w:bCs/>
          <w:sz w:val="24"/>
          <w:szCs w:val="24"/>
          <w:rtl/>
        </w:rPr>
        <w:t>(ממוצע חודשי)</w:t>
      </w:r>
    </w:p>
    <w:p w:rsidR="00031B7D" w:rsidRPr="00BF4C2E" w:rsidRDefault="00250CB1" w:rsidP="00031B7D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41AAE27E">
            <wp:extent cx="5292090" cy="2688590"/>
            <wp:effectExtent l="0" t="0" r="381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C2E" w:rsidRDefault="00BF4C2E" w:rsidP="00BF4C2E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Default="00BF4C2E" w:rsidP="00BF4C2E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איור 5: ריביות על משכנתאות חדשות מבנקים </w:t>
      </w:r>
      <w:r w:rsidRPr="00B91326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המגזר הלא צמוד</w:t>
      </w:r>
    </w:p>
    <w:p w:rsidR="00BF4C2E" w:rsidRPr="00300E82" w:rsidRDefault="00250CB1" w:rsidP="00BF4C2E">
      <w:pPr>
        <w:pStyle w:val="a9"/>
        <w:bidi/>
        <w:spacing w:line="360" w:lineRule="auto"/>
        <w:ind w:left="0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4D4B7E4">
            <wp:extent cx="5292090" cy="2725420"/>
            <wp:effectExtent l="0" t="0" r="381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0C4" w:rsidRDefault="002A60C4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Pr="00B91326" w:rsidRDefault="00BF4C2E" w:rsidP="002A60C4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lastRenderedPageBreak/>
        <w:t xml:space="preserve">איור 6: ריביות על משכנתאות חדשות מבנקים </w:t>
      </w:r>
      <w:r w:rsidRPr="00B91326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המגזר צמוד המדד</w:t>
      </w:r>
    </w:p>
    <w:p w:rsidR="00AF2FE3" w:rsidRPr="0089040A" w:rsidRDefault="00250CB1" w:rsidP="00BF4C2E">
      <w:pPr>
        <w:pStyle w:val="a9"/>
        <w:bidi/>
        <w:spacing w:line="360" w:lineRule="auto"/>
        <w:ind w:left="0"/>
        <w:rPr>
          <w:rFonts w:ascii="Arial" w:hAnsi="Arial" w:cs="Arial"/>
          <w:noProof/>
          <w:sz w:val="24"/>
          <w:szCs w:val="24"/>
          <w:rtl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3B039DDB">
            <wp:extent cx="5292090" cy="2731135"/>
            <wp:effectExtent l="0" t="0" r="3810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FE3" w:rsidRPr="0089040A" w:rsidRDefault="00AF2FE3" w:rsidP="00D240DB">
      <w:pPr>
        <w:pStyle w:val="a9"/>
        <w:bidi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FC1281" w:rsidRPr="0089040A" w:rsidRDefault="00FC1281" w:rsidP="00D240DB">
      <w:pPr>
        <w:pStyle w:val="a9"/>
        <w:bidi/>
        <w:spacing w:line="360" w:lineRule="auto"/>
        <w:ind w:left="0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FE4705" w:rsidRDefault="00FE4705" w:rsidP="006B0BAE">
      <w:pPr>
        <w:pStyle w:val="a9"/>
        <w:bidi/>
        <w:spacing w:line="360" w:lineRule="auto"/>
        <w:ind w:left="0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ראו</w:t>
      </w:r>
      <w:bookmarkStart w:id="0" w:name="_GoBack"/>
      <w:bookmarkEnd w:id="0"/>
      <w:r w:rsidR="006B0BAE" w:rsidRPr="006B0BAE">
        <w:rPr>
          <w:rFonts w:ascii="Arial" w:hAnsi="Arial" w:cs="Arial" w:hint="cs"/>
          <w:sz w:val="24"/>
          <w:szCs w:val="24"/>
          <w:rtl/>
        </w:rPr>
        <w:t xml:space="preserve"> קישור למידע נוסף בנושא המופיע באתר הבנק בדף </w:t>
      </w:r>
      <w:hyperlink r:id="rId20" w:history="1">
        <w:r w:rsidR="006B0BAE"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יתרות האשראי במשק</w:t>
        </w:r>
      </w:hyperlink>
      <w:r>
        <w:rPr>
          <w:rFonts w:ascii="Arial" w:hAnsi="Arial" w:cs="Arial" w:hint="cs"/>
          <w:sz w:val="24"/>
          <w:szCs w:val="24"/>
          <w:rtl/>
        </w:rPr>
        <w:t>.</w:t>
      </w:r>
      <w:r w:rsidR="006B0BAE" w:rsidRPr="006B0BAE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F2699B" w:rsidRPr="0089040A" w:rsidRDefault="00FE4705" w:rsidP="00FE4705">
      <w:pPr>
        <w:pStyle w:val="a9"/>
        <w:bidi/>
        <w:spacing w:line="360" w:lineRule="auto"/>
        <w:ind w:left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ראו </w:t>
      </w:r>
      <w:r w:rsidR="006B0BAE" w:rsidRPr="006B0BAE">
        <w:rPr>
          <w:rFonts w:ascii="Arial" w:hAnsi="Arial" w:cs="Arial" w:hint="cs"/>
          <w:sz w:val="24"/>
          <w:szCs w:val="24"/>
          <w:rtl/>
        </w:rPr>
        <w:t xml:space="preserve">קישור </w:t>
      </w:r>
      <w:hyperlink r:id="rId21" w:history="1">
        <w:r w:rsidR="006B0BAE"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לנתוני משכנתאות</w:t>
        </w:r>
      </w:hyperlink>
      <w:r w:rsidR="006B0BAE" w:rsidRPr="006B0BAE">
        <w:rPr>
          <w:rFonts w:ascii="Arial" w:hAnsi="Arial" w:cs="Arial" w:hint="cs"/>
          <w:sz w:val="24"/>
          <w:szCs w:val="24"/>
          <w:rtl/>
        </w:rPr>
        <w:t>.</w:t>
      </w:r>
    </w:p>
    <w:sectPr w:rsidR="00F2699B" w:rsidRPr="0089040A" w:rsidSect="005071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47" w:right="1797" w:bottom="907" w:left="1797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9C" w:rsidRDefault="001F529C" w:rsidP="00C04A6B">
      <w:r>
        <w:separator/>
      </w:r>
    </w:p>
  </w:endnote>
  <w:endnote w:type="continuationSeparator" w:id="0">
    <w:p w:rsidR="001F529C" w:rsidRDefault="001F529C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A5" w:rsidRDefault="005D34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Arial" w:hAnsi="Arial" w:cs="Arial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E457B" w:rsidRDefault="00507193" w:rsidP="00FE4705">
            <w:pPr>
              <w:pStyle w:val="a7"/>
              <w:tabs>
                <w:tab w:val="clear" w:pos="4153"/>
                <w:tab w:val="clear" w:pos="8306"/>
              </w:tabs>
              <w:bidi/>
              <w:ind w:left="-52"/>
              <w:rPr>
                <w:rFonts w:ascii="Arial" w:hAnsi="Arial" w:cs="Arial"/>
                <w:rtl/>
                <w:cs/>
              </w:rPr>
            </w:pPr>
            <w:r w:rsidRPr="00CE457B">
              <w:rPr>
                <w:rFonts w:ascii="Arial" w:hAnsi="Arial" w:cs="Arial"/>
                <w:rtl/>
                <w:cs/>
                <w:lang w:val="he-IL"/>
              </w:rPr>
              <w:t>התפתחות החוב במשק בחודשים</w:t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 xml:space="preserve"> </w:t>
            </w:r>
            <w:r w:rsidR="00A30DCC">
              <w:rPr>
                <w:rFonts w:ascii="Arial" w:hAnsi="Arial" w:cs="Arial"/>
                <w:rtl/>
                <w:lang w:val="he-IL"/>
              </w:rPr>
              <w:t>מאי</w:t>
            </w:r>
            <w:r w:rsidRPr="00CE457B">
              <w:rPr>
                <w:rFonts w:ascii="Arial" w:hAnsi="Arial" w:cs="Arial"/>
                <w:rtl/>
                <w:lang w:val="he-IL"/>
              </w:rPr>
              <w:t>-</w:t>
            </w:r>
            <w:r w:rsidR="00A30DCC">
              <w:rPr>
                <w:rFonts w:ascii="Arial" w:hAnsi="Arial" w:cs="Arial"/>
                <w:rtl/>
                <w:lang w:val="he-IL"/>
              </w:rPr>
              <w:t>יוני</w:t>
            </w:r>
            <w:r w:rsidR="009F574F" w:rsidRPr="00CE457B">
              <w:rPr>
                <w:rFonts w:ascii="Arial" w:hAnsi="Arial" w:cs="Arial"/>
                <w:rtl/>
                <w:cs/>
                <w:lang w:val="he-IL"/>
              </w:rPr>
              <w:t xml:space="preserve"> </w:t>
            </w:r>
            <w:r w:rsidR="00B110D9" w:rsidRPr="00CE457B">
              <w:rPr>
                <w:rFonts w:ascii="Arial" w:hAnsi="Arial" w:cs="Arial"/>
                <w:rtl/>
                <w:lang w:val="he-IL"/>
              </w:rPr>
              <w:t>2015</w:t>
            </w:r>
            <w:r w:rsidR="00FE4705">
              <w:rPr>
                <w:rFonts w:ascii="Arial" w:hAnsi="Arial" w:cs="Arial"/>
                <w:rtl/>
                <w:cs/>
                <w:lang w:val="he-IL"/>
              </w:rPr>
              <w:t xml:space="preserve"> </w:t>
            </w:r>
            <w:r w:rsidR="00FE4705">
              <w:rPr>
                <w:rFonts w:ascii="Arial" w:hAnsi="Arial" w:cs="Arial"/>
                <w:rtl/>
                <w:cs/>
                <w:lang w:val="he-IL"/>
              </w:rPr>
              <w:tab/>
            </w:r>
            <w:r w:rsidR="00FE4705">
              <w:rPr>
                <w:rFonts w:ascii="Arial" w:hAnsi="Arial" w:cs="Arial" w:hint="cs"/>
                <w:rtl/>
                <w:cs/>
                <w:lang w:val="he-IL"/>
              </w:rPr>
              <w:tab/>
            </w:r>
            <w:r w:rsidR="00FE4705">
              <w:rPr>
                <w:rFonts w:ascii="Arial" w:hAnsi="Arial" w:cs="Arial" w:hint="cs"/>
                <w:rtl/>
                <w:cs/>
                <w:lang w:val="he-IL"/>
              </w:rPr>
              <w:tab/>
            </w:r>
            <w:r w:rsidR="00FE4705">
              <w:rPr>
                <w:rFonts w:ascii="Arial" w:hAnsi="Arial" w:cs="Arial" w:hint="cs"/>
                <w:rtl/>
                <w:cs/>
                <w:lang w:val="he-IL"/>
              </w:rPr>
              <w:tab/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 xml:space="preserve">עמוד </w:t>
            </w:r>
            <w:r w:rsidR="002438E2" w:rsidRPr="00CE457B">
              <w:rPr>
                <w:rFonts w:ascii="Arial" w:hAnsi="Arial" w:cs="Arial"/>
              </w:rPr>
              <w:fldChar w:fldCharType="begin"/>
            </w:r>
            <w:r w:rsidR="002438E2" w:rsidRPr="00CE457B">
              <w:rPr>
                <w:rFonts w:ascii="Arial" w:hAnsi="Arial" w:cs="Arial"/>
                <w:rtl/>
                <w:cs/>
              </w:rPr>
              <w:instrText>PAGE</w:instrText>
            </w:r>
            <w:r w:rsidR="002438E2" w:rsidRPr="00CE457B">
              <w:rPr>
                <w:rFonts w:ascii="Arial" w:hAnsi="Arial" w:cs="Arial"/>
              </w:rPr>
              <w:fldChar w:fldCharType="separate"/>
            </w:r>
            <w:r w:rsidR="005D34A5">
              <w:rPr>
                <w:rFonts w:ascii="Arial" w:hAnsi="Arial" w:cs="Arial"/>
                <w:noProof/>
                <w:rtl/>
              </w:rPr>
              <w:t>6</w:t>
            </w:r>
            <w:r w:rsidR="002438E2" w:rsidRPr="00CE457B">
              <w:rPr>
                <w:rFonts w:ascii="Arial" w:hAnsi="Arial" w:cs="Arial"/>
              </w:rPr>
              <w:fldChar w:fldCharType="end"/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 xml:space="preserve"> מתוך </w:t>
            </w:r>
            <w:r w:rsidR="002438E2" w:rsidRPr="00CE457B">
              <w:rPr>
                <w:rFonts w:ascii="Arial" w:hAnsi="Arial" w:cs="Arial"/>
              </w:rPr>
              <w:fldChar w:fldCharType="begin"/>
            </w:r>
            <w:r w:rsidR="002438E2" w:rsidRPr="00CE457B">
              <w:rPr>
                <w:rFonts w:ascii="Arial" w:hAnsi="Arial" w:cs="Arial"/>
                <w:rtl/>
                <w:cs/>
              </w:rPr>
              <w:instrText>NUMPAGES</w:instrText>
            </w:r>
            <w:r w:rsidR="002438E2" w:rsidRPr="00CE457B">
              <w:rPr>
                <w:rFonts w:ascii="Arial" w:hAnsi="Arial" w:cs="Arial"/>
              </w:rPr>
              <w:fldChar w:fldCharType="separate"/>
            </w:r>
            <w:r w:rsidR="005D34A5">
              <w:rPr>
                <w:rFonts w:ascii="Arial" w:hAnsi="Arial" w:cs="Arial"/>
                <w:noProof/>
                <w:rtl/>
              </w:rPr>
              <w:t>6</w:t>
            </w:r>
            <w:r w:rsidR="002438E2" w:rsidRPr="00CE457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C04A6B" w:rsidRPr="00CE457B" w:rsidRDefault="00C04A6B">
    <w:pPr>
      <w:pStyle w:val="a7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A5" w:rsidRDefault="005D34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9C" w:rsidRDefault="001F529C" w:rsidP="00C04A6B">
      <w:r>
        <w:separator/>
      </w:r>
    </w:p>
  </w:footnote>
  <w:footnote w:type="continuationSeparator" w:id="0">
    <w:p w:rsidR="001F529C" w:rsidRDefault="001F529C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A5" w:rsidRDefault="005D34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A5" w:rsidRDefault="005D34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A5" w:rsidRDefault="005D34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ADAC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034AED"/>
    <w:multiLevelType w:val="hybridMultilevel"/>
    <w:tmpl w:val="5304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772"/>
    <w:rsid w:val="00016D86"/>
    <w:rsid w:val="00017279"/>
    <w:rsid w:val="00020DFD"/>
    <w:rsid w:val="00031B7D"/>
    <w:rsid w:val="000331F5"/>
    <w:rsid w:val="00034E1E"/>
    <w:rsid w:val="00037E47"/>
    <w:rsid w:val="00040066"/>
    <w:rsid w:val="000418F2"/>
    <w:rsid w:val="00051063"/>
    <w:rsid w:val="0005169A"/>
    <w:rsid w:val="00053684"/>
    <w:rsid w:val="0005562A"/>
    <w:rsid w:val="000630AB"/>
    <w:rsid w:val="00063601"/>
    <w:rsid w:val="00064830"/>
    <w:rsid w:val="00065320"/>
    <w:rsid w:val="000713E4"/>
    <w:rsid w:val="00075FC4"/>
    <w:rsid w:val="000812AB"/>
    <w:rsid w:val="00081313"/>
    <w:rsid w:val="000822C2"/>
    <w:rsid w:val="000911D7"/>
    <w:rsid w:val="0009315D"/>
    <w:rsid w:val="000A588A"/>
    <w:rsid w:val="000B083E"/>
    <w:rsid w:val="000B190F"/>
    <w:rsid w:val="000B6B82"/>
    <w:rsid w:val="000B7D5E"/>
    <w:rsid w:val="000C62F4"/>
    <w:rsid w:val="000E3F1A"/>
    <w:rsid w:val="000E59A0"/>
    <w:rsid w:val="000E5A37"/>
    <w:rsid w:val="000F0D97"/>
    <w:rsid w:val="000F5653"/>
    <w:rsid w:val="000F5E2D"/>
    <w:rsid w:val="000F7FFC"/>
    <w:rsid w:val="0010106E"/>
    <w:rsid w:val="0010731B"/>
    <w:rsid w:val="00107D10"/>
    <w:rsid w:val="00115A82"/>
    <w:rsid w:val="0012175B"/>
    <w:rsid w:val="00121FF7"/>
    <w:rsid w:val="00125E7E"/>
    <w:rsid w:val="00127335"/>
    <w:rsid w:val="00127CE7"/>
    <w:rsid w:val="001316A1"/>
    <w:rsid w:val="00137006"/>
    <w:rsid w:val="001503F7"/>
    <w:rsid w:val="001510D4"/>
    <w:rsid w:val="001543AD"/>
    <w:rsid w:val="00177686"/>
    <w:rsid w:val="00180E8A"/>
    <w:rsid w:val="0018670E"/>
    <w:rsid w:val="0019015A"/>
    <w:rsid w:val="0019703C"/>
    <w:rsid w:val="001C5132"/>
    <w:rsid w:val="001D0A90"/>
    <w:rsid w:val="001D0E31"/>
    <w:rsid w:val="001D364B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2046E"/>
    <w:rsid w:val="002237E5"/>
    <w:rsid w:val="002430F6"/>
    <w:rsid w:val="002438E2"/>
    <w:rsid w:val="00250CB1"/>
    <w:rsid w:val="00251288"/>
    <w:rsid w:val="00252CD1"/>
    <w:rsid w:val="00254010"/>
    <w:rsid w:val="0025408D"/>
    <w:rsid w:val="00264230"/>
    <w:rsid w:val="00265361"/>
    <w:rsid w:val="0027192B"/>
    <w:rsid w:val="00274A6A"/>
    <w:rsid w:val="00283EC9"/>
    <w:rsid w:val="00286AB2"/>
    <w:rsid w:val="00287BE1"/>
    <w:rsid w:val="00287E45"/>
    <w:rsid w:val="00292BAD"/>
    <w:rsid w:val="00295751"/>
    <w:rsid w:val="002972B4"/>
    <w:rsid w:val="002A2B75"/>
    <w:rsid w:val="002A60C4"/>
    <w:rsid w:val="002B39A4"/>
    <w:rsid w:val="002B3FB0"/>
    <w:rsid w:val="002B447B"/>
    <w:rsid w:val="002B74E5"/>
    <w:rsid w:val="002C29DA"/>
    <w:rsid w:val="002C3A77"/>
    <w:rsid w:val="002C7213"/>
    <w:rsid w:val="002C756B"/>
    <w:rsid w:val="002D0FD7"/>
    <w:rsid w:val="002D1779"/>
    <w:rsid w:val="002D3C1F"/>
    <w:rsid w:val="002E5ADF"/>
    <w:rsid w:val="002E7A87"/>
    <w:rsid w:val="002F2629"/>
    <w:rsid w:val="002F6C4C"/>
    <w:rsid w:val="00300E82"/>
    <w:rsid w:val="003018A7"/>
    <w:rsid w:val="00303DA6"/>
    <w:rsid w:val="003055E7"/>
    <w:rsid w:val="00317948"/>
    <w:rsid w:val="00320FD1"/>
    <w:rsid w:val="00323164"/>
    <w:rsid w:val="0033214F"/>
    <w:rsid w:val="003439F5"/>
    <w:rsid w:val="003509EF"/>
    <w:rsid w:val="003537B9"/>
    <w:rsid w:val="00357818"/>
    <w:rsid w:val="003641D5"/>
    <w:rsid w:val="00370901"/>
    <w:rsid w:val="003713E8"/>
    <w:rsid w:val="003766F9"/>
    <w:rsid w:val="00377C33"/>
    <w:rsid w:val="0038353E"/>
    <w:rsid w:val="0038394F"/>
    <w:rsid w:val="00383F02"/>
    <w:rsid w:val="003901E0"/>
    <w:rsid w:val="00390EEB"/>
    <w:rsid w:val="00391389"/>
    <w:rsid w:val="003928D7"/>
    <w:rsid w:val="003A0C66"/>
    <w:rsid w:val="003A242C"/>
    <w:rsid w:val="003A2FA9"/>
    <w:rsid w:val="003A315C"/>
    <w:rsid w:val="003A43C0"/>
    <w:rsid w:val="003A490D"/>
    <w:rsid w:val="003B0ADC"/>
    <w:rsid w:val="003B140B"/>
    <w:rsid w:val="003B17BC"/>
    <w:rsid w:val="003B2A0D"/>
    <w:rsid w:val="003B388A"/>
    <w:rsid w:val="003B4CCA"/>
    <w:rsid w:val="003B61BA"/>
    <w:rsid w:val="003B6ADF"/>
    <w:rsid w:val="003D04A2"/>
    <w:rsid w:val="003D06D2"/>
    <w:rsid w:val="003D54D0"/>
    <w:rsid w:val="003E4002"/>
    <w:rsid w:val="003E68CF"/>
    <w:rsid w:val="003F12AD"/>
    <w:rsid w:val="003F4002"/>
    <w:rsid w:val="00400630"/>
    <w:rsid w:val="004024AB"/>
    <w:rsid w:val="00420F93"/>
    <w:rsid w:val="004268D2"/>
    <w:rsid w:val="0043226F"/>
    <w:rsid w:val="0044713E"/>
    <w:rsid w:val="00453DD1"/>
    <w:rsid w:val="00460712"/>
    <w:rsid w:val="004625EB"/>
    <w:rsid w:val="0046354A"/>
    <w:rsid w:val="00464A9A"/>
    <w:rsid w:val="00466F96"/>
    <w:rsid w:val="00470630"/>
    <w:rsid w:val="00470996"/>
    <w:rsid w:val="00472EDE"/>
    <w:rsid w:val="00480FFC"/>
    <w:rsid w:val="00484208"/>
    <w:rsid w:val="00497BD0"/>
    <w:rsid w:val="004B5D8D"/>
    <w:rsid w:val="004B6112"/>
    <w:rsid w:val="004C705A"/>
    <w:rsid w:val="004D0866"/>
    <w:rsid w:val="004D216C"/>
    <w:rsid w:val="004D285B"/>
    <w:rsid w:val="004D63EE"/>
    <w:rsid w:val="004D746B"/>
    <w:rsid w:val="004F06E0"/>
    <w:rsid w:val="004F16EA"/>
    <w:rsid w:val="004F1EB9"/>
    <w:rsid w:val="004F3279"/>
    <w:rsid w:val="004F426F"/>
    <w:rsid w:val="004F4E43"/>
    <w:rsid w:val="00502068"/>
    <w:rsid w:val="005042A9"/>
    <w:rsid w:val="00507193"/>
    <w:rsid w:val="00513C0C"/>
    <w:rsid w:val="00516A2C"/>
    <w:rsid w:val="00520122"/>
    <w:rsid w:val="00521DE3"/>
    <w:rsid w:val="0054311D"/>
    <w:rsid w:val="00546295"/>
    <w:rsid w:val="0056103E"/>
    <w:rsid w:val="0056258A"/>
    <w:rsid w:val="00572730"/>
    <w:rsid w:val="00577146"/>
    <w:rsid w:val="00585612"/>
    <w:rsid w:val="005913CE"/>
    <w:rsid w:val="005921D5"/>
    <w:rsid w:val="005958D0"/>
    <w:rsid w:val="00596389"/>
    <w:rsid w:val="005A199D"/>
    <w:rsid w:val="005A4B9C"/>
    <w:rsid w:val="005A5B31"/>
    <w:rsid w:val="005A7029"/>
    <w:rsid w:val="005C1140"/>
    <w:rsid w:val="005C32B3"/>
    <w:rsid w:val="005C5130"/>
    <w:rsid w:val="005C5F1D"/>
    <w:rsid w:val="005D012F"/>
    <w:rsid w:val="005D0E2A"/>
    <w:rsid w:val="005D34A5"/>
    <w:rsid w:val="005E409F"/>
    <w:rsid w:val="005E6AF0"/>
    <w:rsid w:val="005E77A7"/>
    <w:rsid w:val="005F482A"/>
    <w:rsid w:val="005F663A"/>
    <w:rsid w:val="006028EA"/>
    <w:rsid w:val="006038EA"/>
    <w:rsid w:val="00604E10"/>
    <w:rsid w:val="00612DAA"/>
    <w:rsid w:val="00613223"/>
    <w:rsid w:val="00614095"/>
    <w:rsid w:val="006176B8"/>
    <w:rsid w:val="00624A20"/>
    <w:rsid w:val="00624C40"/>
    <w:rsid w:val="00626A71"/>
    <w:rsid w:val="00632F81"/>
    <w:rsid w:val="00636483"/>
    <w:rsid w:val="00636A4D"/>
    <w:rsid w:val="006373FB"/>
    <w:rsid w:val="0064196B"/>
    <w:rsid w:val="006453AB"/>
    <w:rsid w:val="0064551B"/>
    <w:rsid w:val="00652294"/>
    <w:rsid w:val="00675FDA"/>
    <w:rsid w:val="00676F2C"/>
    <w:rsid w:val="0069062B"/>
    <w:rsid w:val="00691556"/>
    <w:rsid w:val="00695778"/>
    <w:rsid w:val="006961B2"/>
    <w:rsid w:val="00697C2E"/>
    <w:rsid w:val="006A66B4"/>
    <w:rsid w:val="006B0BAE"/>
    <w:rsid w:val="006B6ACF"/>
    <w:rsid w:val="006C01FB"/>
    <w:rsid w:val="006D7644"/>
    <w:rsid w:val="006E7116"/>
    <w:rsid w:val="006E7BF6"/>
    <w:rsid w:val="006F0620"/>
    <w:rsid w:val="007102C4"/>
    <w:rsid w:val="00725208"/>
    <w:rsid w:val="00737755"/>
    <w:rsid w:val="00744938"/>
    <w:rsid w:val="0074787D"/>
    <w:rsid w:val="00751A3D"/>
    <w:rsid w:val="00752B5B"/>
    <w:rsid w:val="00760730"/>
    <w:rsid w:val="00762D5A"/>
    <w:rsid w:val="00763347"/>
    <w:rsid w:val="0077670A"/>
    <w:rsid w:val="0077779F"/>
    <w:rsid w:val="00781240"/>
    <w:rsid w:val="0078308F"/>
    <w:rsid w:val="00784F91"/>
    <w:rsid w:val="0078511C"/>
    <w:rsid w:val="0079675B"/>
    <w:rsid w:val="007A2DDB"/>
    <w:rsid w:val="007B174B"/>
    <w:rsid w:val="007B45DE"/>
    <w:rsid w:val="007C2446"/>
    <w:rsid w:val="007C3769"/>
    <w:rsid w:val="007D32BF"/>
    <w:rsid w:val="007E13A9"/>
    <w:rsid w:val="007E14D9"/>
    <w:rsid w:val="007E18EE"/>
    <w:rsid w:val="007E5070"/>
    <w:rsid w:val="007F2CEB"/>
    <w:rsid w:val="007F3842"/>
    <w:rsid w:val="007F5009"/>
    <w:rsid w:val="00802DD5"/>
    <w:rsid w:val="00811358"/>
    <w:rsid w:val="008121D7"/>
    <w:rsid w:val="00814206"/>
    <w:rsid w:val="00825878"/>
    <w:rsid w:val="008259B7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72529"/>
    <w:rsid w:val="00877900"/>
    <w:rsid w:val="00880DF0"/>
    <w:rsid w:val="00881187"/>
    <w:rsid w:val="00881EF7"/>
    <w:rsid w:val="0088690D"/>
    <w:rsid w:val="0089040A"/>
    <w:rsid w:val="008B0765"/>
    <w:rsid w:val="008B10B8"/>
    <w:rsid w:val="008B2B4C"/>
    <w:rsid w:val="008B3B63"/>
    <w:rsid w:val="008B55E9"/>
    <w:rsid w:val="008C197C"/>
    <w:rsid w:val="008C335C"/>
    <w:rsid w:val="008C5990"/>
    <w:rsid w:val="008C6760"/>
    <w:rsid w:val="008D2EA6"/>
    <w:rsid w:val="008D5AD7"/>
    <w:rsid w:val="008E2AE6"/>
    <w:rsid w:val="008F47C4"/>
    <w:rsid w:val="0090225A"/>
    <w:rsid w:val="00902402"/>
    <w:rsid w:val="0090346B"/>
    <w:rsid w:val="009065F1"/>
    <w:rsid w:val="00912494"/>
    <w:rsid w:val="00915424"/>
    <w:rsid w:val="00917C1C"/>
    <w:rsid w:val="009231C3"/>
    <w:rsid w:val="00925F5D"/>
    <w:rsid w:val="009311DE"/>
    <w:rsid w:val="00933604"/>
    <w:rsid w:val="00943887"/>
    <w:rsid w:val="009444D9"/>
    <w:rsid w:val="009516D8"/>
    <w:rsid w:val="00961EFC"/>
    <w:rsid w:val="00966322"/>
    <w:rsid w:val="00967A2D"/>
    <w:rsid w:val="0097338C"/>
    <w:rsid w:val="00975122"/>
    <w:rsid w:val="00977BED"/>
    <w:rsid w:val="009818C2"/>
    <w:rsid w:val="00985045"/>
    <w:rsid w:val="00995039"/>
    <w:rsid w:val="00996693"/>
    <w:rsid w:val="009A7195"/>
    <w:rsid w:val="009B0128"/>
    <w:rsid w:val="009B27C2"/>
    <w:rsid w:val="009B5DCF"/>
    <w:rsid w:val="009C1434"/>
    <w:rsid w:val="009C16BD"/>
    <w:rsid w:val="009C24AF"/>
    <w:rsid w:val="009C27D3"/>
    <w:rsid w:val="009D0E00"/>
    <w:rsid w:val="009F574F"/>
    <w:rsid w:val="00A03BFC"/>
    <w:rsid w:val="00A30DCC"/>
    <w:rsid w:val="00A322B9"/>
    <w:rsid w:val="00A32A72"/>
    <w:rsid w:val="00A333C5"/>
    <w:rsid w:val="00A334F6"/>
    <w:rsid w:val="00A44417"/>
    <w:rsid w:val="00A45303"/>
    <w:rsid w:val="00A46B0C"/>
    <w:rsid w:val="00A54983"/>
    <w:rsid w:val="00A57161"/>
    <w:rsid w:val="00A65531"/>
    <w:rsid w:val="00A73792"/>
    <w:rsid w:val="00A7630F"/>
    <w:rsid w:val="00A85E92"/>
    <w:rsid w:val="00A878A6"/>
    <w:rsid w:val="00A933C6"/>
    <w:rsid w:val="00A94B36"/>
    <w:rsid w:val="00A96870"/>
    <w:rsid w:val="00A96BDC"/>
    <w:rsid w:val="00A979CF"/>
    <w:rsid w:val="00AA0C2F"/>
    <w:rsid w:val="00AA22D1"/>
    <w:rsid w:val="00AA3E80"/>
    <w:rsid w:val="00AA51B0"/>
    <w:rsid w:val="00AA70E3"/>
    <w:rsid w:val="00AB409F"/>
    <w:rsid w:val="00AB44C3"/>
    <w:rsid w:val="00AB5B06"/>
    <w:rsid w:val="00AC3E61"/>
    <w:rsid w:val="00AC75BF"/>
    <w:rsid w:val="00AD1348"/>
    <w:rsid w:val="00AD4F67"/>
    <w:rsid w:val="00AD5FFC"/>
    <w:rsid w:val="00AD655A"/>
    <w:rsid w:val="00AD759C"/>
    <w:rsid w:val="00AE591E"/>
    <w:rsid w:val="00AF0AD5"/>
    <w:rsid w:val="00AF126A"/>
    <w:rsid w:val="00AF2FE3"/>
    <w:rsid w:val="00AF5FCE"/>
    <w:rsid w:val="00B01C0D"/>
    <w:rsid w:val="00B03DCA"/>
    <w:rsid w:val="00B058F3"/>
    <w:rsid w:val="00B072ED"/>
    <w:rsid w:val="00B110D9"/>
    <w:rsid w:val="00B1299B"/>
    <w:rsid w:val="00B24F7C"/>
    <w:rsid w:val="00B24FBE"/>
    <w:rsid w:val="00B2503D"/>
    <w:rsid w:val="00B27269"/>
    <w:rsid w:val="00B2798D"/>
    <w:rsid w:val="00B27A62"/>
    <w:rsid w:val="00B31EFB"/>
    <w:rsid w:val="00B34583"/>
    <w:rsid w:val="00B474E8"/>
    <w:rsid w:val="00B478D2"/>
    <w:rsid w:val="00B51372"/>
    <w:rsid w:val="00B55813"/>
    <w:rsid w:val="00B62933"/>
    <w:rsid w:val="00B63D9F"/>
    <w:rsid w:val="00B63DC4"/>
    <w:rsid w:val="00B6415C"/>
    <w:rsid w:val="00B6481E"/>
    <w:rsid w:val="00B6578A"/>
    <w:rsid w:val="00B74551"/>
    <w:rsid w:val="00B76814"/>
    <w:rsid w:val="00B801AB"/>
    <w:rsid w:val="00B80AE5"/>
    <w:rsid w:val="00B84782"/>
    <w:rsid w:val="00B84BD7"/>
    <w:rsid w:val="00B85D55"/>
    <w:rsid w:val="00B90D40"/>
    <w:rsid w:val="00B91326"/>
    <w:rsid w:val="00BA3AE7"/>
    <w:rsid w:val="00BA4CA3"/>
    <w:rsid w:val="00BA5E1F"/>
    <w:rsid w:val="00BB15EB"/>
    <w:rsid w:val="00BB4550"/>
    <w:rsid w:val="00BB4F5C"/>
    <w:rsid w:val="00BB7F49"/>
    <w:rsid w:val="00BD1037"/>
    <w:rsid w:val="00BD3A1C"/>
    <w:rsid w:val="00BD55EC"/>
    <w:rsid w:val="00BE235C"/>
    <w:rsid w:val="00BE3716"/>
    <w:rsid w:val="00BE49A2"/>
    <w:rsid w:val="00BF0E66"/>
    <w:rsid w:val="00BF4C2E"/>
    <w:rsid w:val="00C016F6"/>
    <w:rsid w:val="00C04A6B"/>
    <w:rsid w:val="00C05088"/>
    <w:rsid w:val="00C1139C"/>
    <w:rsid w:val="00C22E09"/>
    <w:rsid w:val="00C259B6"/>
    <w:rsid w:val="00C25C1C"/>
    <w:rsid w:val="00C411E7"/>
    <w:rsid w:val="00C44E9B"/>
    <w:rsid w:val="00C45C9C"/>
    <w:rsid w:val="00C4703E"/>
    <w:rsid w:val="00C47A82"/>
    <w:rsid w:val="00C5174C"/>
    <w:rsid w:val="00C51835"/>
    <w:rsid w:val="00C6135C"/>
    <w:rsid w:val="00C656C3"/>
    <w:rsid w:val="00C71943"/>
    <w:rsid w:val="00C84B20"/>
    <w:rsid w:val="00C87F91"/>
    <w:rsid w:val="00C9110B"/>
    <w:rsid w:val="00C94676"/>
    <w:rsid w:val="00CA10CF"/>
    <w:rsid w:val="00CA6DAB"/>
    <w:rsid w:val="00CB040E"/>
    <w:rsid w:val="00CB1B2B"/>
    <w:rsid w:val="00CB39D9"/>
    <w:rsid w:val="00CB450C"/>
    <w:rsid w:val="00CC1A24"/>
    <w:rsid w:val="00CD06A0"/>
    <w:rsid w:val="00CD6F68"/>
    <w:rsid w:val="00CE0B3C"/>
    <w:rsid w:val="00CE2510"/>
    <w:rsid w:val="00CE3340"/>
    <w:rsid w:val="00CE36E7"/>
    <w:rsid w:val="00CE457B"/>
    <w:rsid w:val="00CE5DAC"/>
    <w:rsid w:val="00CE71DF"/>
    <w:rsid w:val="00CF1E50"/>
    <w:rsid w:val="00CF6B60"/>
    <w:rsid w:val="00CF76EE"/>
    <w:rsid w:val="00D02264"/>
    <w:rsid w:val="00D02682"/>
    <w:rsid w:val="00D04887"/>
    <w:rsid w:val="00D213B7"/>
    <w:rsid w:val="00D240DB"/>
    <w:rsid w:val="00D25967"/>
    <w:rsid w:val="00D30667"/>
    <w:rsid w:val="00D31183"/>
    <w:rsid w:val="00D34A00"/>
    <w:rsid w:val="00D3721C"/>
    <w:rsid w:val="00D37BCB"/>
    <w:rsid w:val="00D40D4B"/>
    <w:rsid w:val="00D50029"/>
    <w:rsid w:val="00D541E8"/>
    <w:rsid w:val="00D56E66"/>
    <w:rsid w:val="00D577AA"/>
    <w:rsid w:val="00D57DF3"/>
    <w:rsid w:val="00D66172"/>
    <w:rsid w:val="00D6658B"/>
    <w:rsid w:val="00D71E63"/>
    <w:rsid w:val="00D80B77"/>
    <w:rsid w:val="00D81061"/>
    <w:rsid w:val="00D81660"/>
    <w:rsid w:val="00D81866"/>
    <w:rsid w:val="00D86BF0"/>
    <w:rsid w:val="00D87DC1"/>
    <w:rsid w:val="00D95186"/>
    <w:rsid w:val="00DA3CE5"/>
    <w:rsid w:val="00DB2E03"/>
    <w:rsid w:val="00DB5322"/>
    <w:rsid w:val="00DB630B"/>
    <w:rsid w:val="00DB6C55"/>
    <w:rsid w:val="00DC3899"/>
    <w:rsid w:val="00DC3BC8"/>
    <w:rsid w:val="00DD0FB0"/>
    <w:rsid w:val="00DD100F"/>
    <w:rsid w:val="00DD5923"/>
    <w:rsid w:val="00DD599F"/>
    <w:rsid w:val="00DE4BB3"/>
    <w:rsid w:val="00DE6ABB"/>
    <w:rsid w:val="00DF4120"/>
    <w:rsid w:val="00E01030"/>
    <w:rsid w:val="00E10836"/>
    <w:rsid w:val="00E15796"/>
    <w:rsid w:val="00E20EC3"/>
    <w:rsid w:val="00E3272D"/>
    <w:rsid w:val="00E36930"/>
    <w:rsid w:val="00E46A8F"/>
    <w:rsid w:val="00E577A9"/>
    <w:rsid w:val="00E67ECB"/>
    <w:rsid w:val="00E73497"/>
    <w:rsid w:val="00E7456B"/>
    <w:rsid w:val="00E76607"/>
    <w:rsid w:val="00E80E85"/>
    <w:rsid w:val="00E85E11"/>
    <w:rsid w:val="00E870DD"/>
    <w:rsid w:val="00E91E57"/>
    <w:rsid w:val="00EB61B0"/>
    <w:rsid w:val="00EC6205"/>
    <w:rsid w:val="00EC65F0"/>
    <w:rsid w:val="00ED153D"/>
    <w:rsid w:val="00EE57B2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7AF"/>
    <w:rsid w:val="00F53C31"/>
    <w:rsid w:val="00F5509B"/>
    <w:rsid w:val="00F57830"/>
    <w:rsid w:val="00F57D67"/>
    <w:rsid w:val="00F632C4"/>
    <w:rsid w:val="00F712F6"/>
    <w:rsid w:val="00F74172"/>
    <w:rsid w:val="00F74693"/>
    <w:rsid w:val="00F8033E"/>
    <w:rsid w:val="00F81C4A"/>
    <w:rsid w:val="00F8315C"/>
    <w:rsid w:val="00F83505"/>
    <w:rsid w:val="00F852D0"/>
    <w:rsid w:val="00F9053D"/>
    <w:rsid w:val="00F90780"/>
    <w:rsid w:val="00F96916"/>
    <w:rsid w:val="00FA02EF"/>
    <w:rsid w:val="00FA6355"/>
    <w:rsid w:val="00FA6451"/>
    <w:rsid w:val="00FC1281"/>
    <w:rsid w:val="00FC6CF7"/>
    <w:rsid w:val="00FD0096"/>
    <w:rsid w:val="00FE034E"/>
    <w:rsid w:val="00FE1F75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e.boi.org.il/he/BankingSupervision/Data/Pages/Tables.aspx?ChapterId=1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s://e.boi.org.il/he/DataAndStatistics/Pages/MainPage.aspx?Level=4&amp;Sid=53&amp;SubjectType=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2015-07-28T10:00:00+00:00</PublishingStartDate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9A668D6-4CCC-4362-9DB4-C42DD165A52B}"/>
</file>

<file path=customXml/itemProps2.xml><?xml version="1.0" encoding="utf-8"?>
<ds:datastoreItem xmlns:ds="http://schemas.openxmlformats.org/officeDocument/2006/customXml" ds:itemID="{0D8D7302-728A-4EA0-A374-6A19E7934B0E}"/>
</file>

<file path=customXml/itemProps3.xml><?xml version="1.0" encoding="utf-8"?>
<ds:datastoreItem xmlns:ds="http://schemas.openxmlformats.org/officeDocument/2006/customXml" ds:itemID="{D5123BA2-A00D-4F7C-A3D4-89DB07CD4ACB}"/>
</file>

<file path=customXml/itemProps4.xml><?xml version="1.0" encoding="utf-8"?>
<ds:datastoreItem xmlns:ds="http://schemas.openxmlformats.org/officeDocument/2006/customXml" ds:itemID="{5CD9E7AF-FF29-44B3-9573-290F52D25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2015-07-28T07:07:00Z</dcterms:created>
  <dcterms:modified xsi:type="dcterms:W3CDTF">2015-07-28T07:07:00Z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