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1A2" w:rsidRPr="00DB1CBC" w:rsidTr="002E5159">
        <w:trPr>
          <w:jc w:val="center"/>
        </w:trPr>
        <w:tc>
          <w:tcPr>
            <w:tcW w:w="284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ק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vAlign w:val="center"/>
          </w:tcPr>
          <w:p w:rsidR="00D921A2" w:rsidRPr="000B3287" w:rsidRDefault="00D921A2" w:rsidP="00DC2EAB">
            <w:pPr>
              <w:spacing w:before="240" w:line="480" w:lineRule="auto"/>
              <w:jc w:val="right"/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D96916">
              <w:rPr>
                <w:rFonts w:hint="cs"/>
                <w:rtl/>
              </w:rPr>
              <w:t>י"ב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524CB2" w:rsidRPr="000B3287">
              <w:rPr>
                <w:rFonts w:hint="cs"/>
                <w:rtl/>
              </w:rPr>
              <w:t>ב</w:t>
            </w:r>
            <w:r w:rsidR="00D96916">
              <w:rPr>
                <w:rFonts w:hint="cs"/>
                <w:rtl/>
              </w:rPr>
              <w:t>אדר ב'</w:t>
            </w:r>
            <w:r w:rsidR="00D43807" w:rsidRPr="000B3287">
              <w:rPr>
                <w:rFonts w:hint="cs"/>
                <w:rtl/>
              </w:rPr>
              <w:t xml:space="preserve"> </w:t>
            </w:r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תשע"</w:t>
            </w:r>
            <w:r w:rsidR="00F26049">
              <w:rPr>
                <w:rFonts w:hint="cs"/>
                <w:rtl/>
              </w:rPr>
              <w:t>ט</w:t>
            </w:r>
          </w:p>
          <w:p w:rsidR="00D921A2" w:rsidRPr="000B3287" w:rsidRDefault="00CE2D8C" w:rsidP="00DC2EAB">
            <w:pPr>
              <w:spacing w:before="240" w:line="480" w:lineRule="auto"/>
              <w:jc w:val="right"/>
            </w:pPr>
            <w:r>
              <w:rPr>
                <w:rFonts w:hint="cs"/>
                <w:rtl/>
              </w:rPr>
              <w:t>19</w:t>
            </w:r>
            <w:r w:rsidR="008411FF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במרץ</w:t>
            </w:r>
            <w:r w:rsidR="00444713" w:rsidRPr="000B32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2019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Pr="002E5159" w:rsidRDefault="0078645B" w:rsidP="00DC2EAB">
      <w:pPr>
        <w:pStyle w:val="af1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CE2D8C">
        <w:rPr>
          <w:rFonts w:hint="cs"/>
          <w:b/>
          <w:bCs/>
          <w:rtl/>
        </w:rPr>
        <w:t>הרביעי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2018</w:t>
      </w:r>
    </w:p>
    <w:p w:rsidR="00091F3F" w:rsidRPr="009264FD" w:rsidRDefault="00F502DF" w:rsidP="009709E0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9264FD">
        <w:rPr>
          <w:b/>
          <w:bCs/>
          <w:rtl/>
        </w:rPr>
        <w:t xml:space="preserve">ברביע </w:t>
      </w:r>
      <w:r w:rsidR="00767D86" w:rsidRPr="009264FD">
        <w:rPr>
          <w:rFonts w:hint="cs"/>
          <w:b/>
          <w:bCs/>
          <w:rtl/>
        </w:rPr>
        <w:t>ה</w:t>
      </w:r>
      <w:r w:rsidR="00DD612E">
        <w:rPr>
          <w:rFonts w:hint="cs"/>
          <w:b/>
          <w:bCs/>
          <w:rtl/>
        </w:rPr>
        <w:t>רביע</w:t>
      </w:r>
      <w:r w:rsidR="005B4B79">
        <w:rPr>
          <w:rFonts w:hint="cs"/>
          <w:b/>
          <w:bCs/>
          <w:rtl/>
        </w:rPr>
        <w:t>י</w:t>
      </w:r>
      <w:r w:rsidRPr="009264FD">
        <w:rPr>
          <w:b/>
          <w:bCs/>
          <w:rtl/>
        </w:rPr>
        <w:t xml:space="preserve"> של שנת 201</w:t>
      </w:r>
      <w:r w:rsidR="00AF6E96" w:rsidRPr="009264FD">
        <w:rPr>
          <w:rFonts w:hint="cs"/>
          <w:b/>
          <w:bCs/>
          <w:rtl/>
        </w:rPr>
        <w:t>8</w:t>
      </w:r>
      <w:r w:rsidRPr="009264FD">
        <w:rPr>
          <w:b/>
          <w:bCs/>
          <w:rtl/>
        </w:rPr>
        <w:t xml:space="preserve"> </w:t>
      </w:r>
      <w:r w:rsidR="00DD612E">
        <w:rPr>
          <w:rFonts w:hint="cs"/>
          <w:b/>
          <w:bCs/>
          <w:rtl/>
        </w:rPr>
        <w:t>ירד</w:t>
      </w:r>
      <w:r w:rsidR="003F7C50">
        <w:rPr>
          <w:rFonts w:hint="cs"/>
          <w:b/>
          <w:bCs/>
          <w:rtl/>
        </w:rPr>
        <w:t>ה</w:t>
      </w:r>
      <w:r w:rsidRPr="009264FD">
        <w:rPr>
          <w:b/>
          <w:bCs/>
          <w:rtl/>
        </w:rPr>
        <w:t xml:space="preserve"> </w:t>
      </w:r>
      <w:r w:rsidR="003F7C50">
        <w:rPr>
          <w:rFonts w:hint="cs"/>
          <w:b/>
          <w:bCs/>
          <w:rtl/>
        </w:rPr>
        <w:t>יתרת</w:t>
      </w:r>
      <w:r w:rsidR="00EC18EA" w:rsidRPr="009264FD">
        <w:rPr>
          <w:rFonts w:hint="cs"/>
          <w:b/>
          <w:bCs/>
          <w:rtl/>
        </w:rPr>
        <w:t xml:space="preserve"> תיק הנכסים</w:t>
      </w:r>
      <w:r w:rsidR="00235FBA" w:rsidRPr="009264FD">
        <w:rPr>
          <w:rFonts w:hint="cs"/>
          <w:b/>
          <w:bCs/>
          <w:rtl/>
        </w:rPr>
        <w:t xml:space="preserve"> הפיננסיים של הציבור</w:t>
      </w:r>
      <w:r w:rsidR="00EC18EA" w:rsidRPr="009264FD">
        <w:rPr>
          <w:rFonts w:hint="cs"/>
          <w:b/>
          <w:bCs/>
          <w:rtl/>
        </w:rPr>
        <w:t xml:space="preserve"> בכ-</w:t>
      </w:r>
      <w:r w:rsidR="00DD612E">
        <w:rPr>
          <w:rFonts w:hint="cs"/>
          <w:b/>
          <w:bCs/>
          <w:rtl/>
        </w:rPr>
        <w:t>5</w:t>
      </w:r>
      <w:r w:rsidR="00EC18EA" w:rsidRPr="009264FD">
        <w:rPr>
          <w:rFonts w:hint="cs"/>
          <w:b/>
          <w:bCs/>
          <w:rtl/>
        </w:rPr>
        <w:t xml:space="preserve"> מיליארדי 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 (</w:t>
      </w:r>
      <w:r w:rsidR="00E32E8A" w:rsidRPr="009264FD">
        <w:rPr>
          <w:b/>
          <w:bCs/>
        </w:rPr>
        <w:t>%</w:t>
      </w:r>
      <w:r w:rsidR="00DD612E">
        <w:rPr>
          <w:rFonts w:hint="cs"/>
          <w:b/>
          <w:bCs/>
          <w:rtl/>
        </w:rPr>
        <w:t>0</w:t>
      </w:r>
      <w:r w:rsidR="006D6B90" w:rsidRPr="009264FD">
        <w:rPr>
          <w:rFonts w:hint="cs"/>
          <w:b/>
          <w:bCs/>
          <w:rtl/>
        </w:rPr>
        <w:t>.</w:t>
      </w:r>
      <w:r w:rsidR="00DD612E">
        <w:rPr>
          <w:rFonts w:hint="cs"/>
          <w:b/>
          <w:bCs/>
          <w:rtl/>
        </w:rPr>
        <w:t>1-</w:t>
      </w:r>
      <w:r w:rsidR="006D6B90" w:rsidRPr="009264FD">
        <w:rPr>
          <w:rFonts w:hint="cs"/>
          <w:b/>
          <w:bCs/>
          <w:rtl/>
        </w:rPr>
        <w:t>) ועמד</w:t>
      </w:r>
      <w:r w:rsidR="003F7C50">
        <w:rPr>
          <w:rFonts w:hint="cs"/>
          <w:b/>
          <w:bCs/>
          <w:rtl/>
        </w:rPr>
        <w:t>ה</w:t>
      </w:r>
      <w:r w:rsidR="006D6B90" w:rsidRPr="009264FD">
        <w:rPr>
          <w:rFonts w:hint="cs"/>
          <w:b/>
          <w:bCs/>
          <w:rtl/>
        </w:rPr>
        <w:t xml:space="preserve"> בסופו על כ-3.</w:t>
      </w:r>
      <w:r w:rsidR="00DD612E">
        <w:rPr>
          <w:rFonts w:hint="cs"/>
          <w:b/>
          <w:bCs/>
          <w:rtl/>
        </w:rPr>
        <w:t xml:space="preserve">7 טריליוני </w:t>
      </w:r>
      <w:r w:rsidR="00EC18EA" w:rsidRPr="009264FD">
        <w:rPr>
          <w:rFonts w:hint="cs"/>
          <w:b/>
          <w:bCs/>
          <w:rtl/>
        </w:rPr>
        <w:t>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ח.</w:t>
      </w:r>
    </w:p>
    <w:p w:rsidR="00B65E49" w:rsidRPr="001E5D0A" w:rsidRDefault="00F502DF" w:rsidP="009709E0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1E5D0A">
        <w:rPr>
          <w:rFonts w:hint="cs"/>
          <w:b/>
          <w:bCs/>
          <w:rtl/>
        </w:rPr>
        <w:t>ה</w:t>
      </w:r>
      <w:r w:rsidR="00172FA5">
        <w:rPr>
          <w:rFonts w:hint="cs"/>
          <w:b/>
          <w:bCs/>
          <w:rtl/>
        </w:rPr>
        <w:t>ירידה</w:t>
      </w:r>
      <w:r w:rsidR="002F6225" w:rsidRPr="001E5D0A">
        <w:rPr>
          <w:rFonts w:hint="cs"/>
          <w:b/>
          <w:bCs/>
          <w:rtl/>
        </w:rPr>
        <w:t xml:space="preserve"> </w:t>
      </w:r>
      <w:r w:rsidR="003F7C50">
        <w:rPr>
          <w:rFonts w:hint="cs"/>
          <w:b/>
          <w:bCs/>
          <w:rtl/>
        </w:rPr>
        <w:t>ביתרת</w:t>
      </w:r>
      <w:r w:rsidR="009069AE" w:rsidRPr="001E5D0A">
        <w:rPr>
          <w:rFonts w:hint="cs"/>
          <w:b/>
          <w:bCs/>
          <w:rtl/>
        </w:rPr>
        <w:t xml:space="preserve"> התיק ברביע </w:t>
      </w:r>
      <w:r w:rsidR="001E5D0A" w:rsidRPr="001E5D0A">
        <w:rPr>
          <w:rFonts w:hint="cs"/>
          <w:b/>
          <w:bCs/>
          <w:rtl/>
        </w:rPr>
        <w:t>ה</w:t>
      </w:r>
      <w:r w:rsidR="00172FA5">
        <w:rPr>
          <w:rFonts w:hint="cs"/>
          <w:b/>
          <w:bCs/>
          <w:rtl/>
        </w:rPr>
        <w:t>רביע</w:t>
      </w:r>
      <w:r w:rsidR="004A6D6F">
        <w:rPr>
          <w:rFonts w:hint="cs"/>
          <w:b/>
          <w:bCs/>
          <w:rtl/>
        </w:rPr>
        <w:t>י</w:t>
      </w:r>
      <w:r w:rsidR="009069AE" w:rsidRPr="001E5D0A">
        <w:rPr>
          <w:rFonts w:hint="cs"/>
          <w:b/>
          <w:bCs/>
          <w:rtl/>
        </w:rPr>
        <w:t xml:space="preserve"> </w:t>
      </w:r>
      <w:r w:rsidR="002F6225" w:rsidRPr="001E5D0A">
        <w:rPr>
          <w:b/>
          <w:bCs/>
          <w:rtl/>
        </w:rPr>
        <w:t>נבע</w:t>
      </w:r>
      <w:r w:rsidR="003C6456" w:rsidRPr="001E5D0A">
        <w:rPr>
          <w:rFonts w:hint="cs"/>
          <w:b/>
          <w:bCs/>
          <w:rtl/>
        </w:rPr>
        <w:t>ה</w:t>
      </w:r>
      <w:r w:rsidR="002F6225" w:rsidRPr="001E5D0A">
        <w:rPr>
          <w:b/>
          <w:bCs/>
          <w:rtl/>
        </w:rPr>
        <w:t xml:space="preserve"> </w:t>
      </w:r>
      <w:r w:rsidR="008276EF">
        <w:rPr>
          <w:rFonts w:hint="cs"/>
          <w:b/>
          <w:bCs/>
          <w:rtl/>
        </w:rPr>
        <w:t>בעיקרה</w:t>
      </w:r>
      <w:r w:rsidR="00080C9F">
        <w:rPr>
          <w:rFonts w:hint="cs"/>
          <w:b/>
          <w:bCs/>
          <w:rtl/>
        </w:rPr>
        <w:t xml:space="preserve"> </w:t>
      </w:r>
      <w:r w:rsidR="00172FA5">
        <w:rPr>
          <w:rFonts w:hint="cs"/>
          <w:b/>
          <w:bCs/>
          <w:rtl/>
        </w:rPr>
        <w:t>מירידה</w:t>
      </w:r>
      <w:r w:rsidR="00476E62" w:rsidRPr="001E5D0A">
        <w:rPr>
          <w:rFonts w:hint="cs"/>
          <w:b/>
          <w:bCs/>
          <w:rtl/>
        </w:rPr>
        <w:t xml:space="preserve"> </w:t>
      </w:r>
      <w:r w:rsidR="007409EF">
        <w:rPr>
          <w:rFonts w:hint="cs"/>
          <w:b/>
          <w:bCs/>
          <w:rtl/>
        </w:rPr>
        <w:t>ביתרת</w:t>
      </w:r>
      <w:r w:rsidR="008276EF">
        <w:rPr>
          <w:rFonts w:hint="cs"/>
          <w:b/>
          <w:bCs/>
          <w:rtl/>
        </w:rPr>
        <w:t xml:space="preserve"> </w:t>
      </w:r>
      <w:r w:rsidR="005C307D" w:rsidRPr="005C307D">
        <w:rPr>
          <w:rFonts w:hint="cs"/>
          <w:b/>
          <w:bCs/>
          <w:rtl/>
        </w:rPr>
        <w:t>ההשקעות</w:t>
      </w:r>
      <w:r w:rsidR="008276EF">
        <w:rPr>
          <w:rFonts w:hint="cs"/>
          <w:b/>
          <w:bCs/>
          <w:rtl/>
        </w:rPr>
        <w:t xml:space="preserve"> בחו"ל</w:t>
      </w:r>
      <w:r w:rsidR="00172FA5">
        <w:rPr>
          <w:rFonts w:hint="cs"/>
          <w:b/>
          <w:bCs/>
          <w:rtl/>
        </w:rPr>
        <w:t xml:space="preserve"> ו</w:t>
      </w:r>
      <w:r w:rsidR="00D96916">
        <w:rPr>
          <w:rFonts w:hint="cs"/>
          <w:b/>
          <w:bCs/>
          <w:rtl/>
        </w:rPr>
        <w:t>ב</w:t>
      </w:r>
      <w:r w:rsidR="00172FA5">
        <w:rPr>
          <w:rFonts w:hint="cs"/>
          <w:b/>
          <w:bCs/>
          <w:rtl/>
        </w:rPr>
        <w:t xml:space="preserve">אג"ח </w:t>
      </w:r>
      <w:r w:rsidR="00D96916">
        <w:rPr>
          <w:rFonts w:hint="cs"/>
          <w:b/>
          <w:bCs/>
          <w:rtl/>
        </w:rPr>
        <w:t>בארץ.</w:t>
      </w:r>
    </w:p>
    <w:p w:rsidR="00D96916" w:rsidRPr="00D96916" w:rsidRDefault="003F7C50" w:rsidP="009709E0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342FC2">
        <w:rPr>
          <w:b/>
          <w:bCs/>
          <w:rtl/>
        </w:rPr>
        <w:t xml:space="preserve">יתרת התיק המנוהל בידי המשקיעים המוסדיים </w:t>
      </w:r>
      <w:r w:rsidRPr="003F7C50">
        <w:rPr>
          <w:rFonts w:hint="cs"/>
          <w:b/>
          <w:bCs/>
          <w:rtl/>
        </w:rPr>
        <w:t>ירדה</w:t>
      </w:r>
      <w:r w:rsidRPr="003F7C50">
        <w:rPr>
          <w:b/>
          <w:bCs/>
          <w:rtl/>
        </w:rPr>
        <w:t xml:space="preserve"> ברביע </w:t>
      </w:r>
      <w:r w:rsidRPr="003F7C50">
        <w:rPr>
          <w:rFonts w:hint="cs"/>
          <w:b/>
          <w:bCs/>
          <w:rtl/>
        </w:rPr>
        <w:t>הרביעי</w:t>
      </w:r>
      <w:r w:rsidRPr="003F7C50">
        <w:rPr>
          <w:b/>
          <w:bCs/>
          <w:rtl/>
        </w:rPr>
        <w:t xml:space="preserve"> של שנת 2018 בכ-</w:t>
      </w:r>
      <w:r w:rsidRPr="003F7C50">
        <w:rPr>
          <w:rFonts w:hint="cs"/>
          <w:b/>
          <w:bCs/>
          <w:rtl/>
        </w:rPr>
        <w:t>41.6</w:t>
      </w:r>
      <w:r w:rsidRPr="003F7C50">
        <w:rPr>
          <w:b/>
          <w:bCs/>
          <w:rtl/>
        </w:rPr>
        <w:t xml:space="preserve"> מיליארדי ש"ח </w:t>
      </w:r>
      <w:r w:rsidR="00D96916" w:rsidRPr="00D96916">
        <w:rPr>
          <w:b/>
          <w:bCs/>
          <w:rtl/>
        </w:rPr>
        <w:t>(2.5%) לרמה של כ-1.64 טריליונים</w:t>
      </w:r>
      <w:r w:rsidR="00D96916" w:rsidRPr="00D96916">
        <w:rPr>
          <w:rFonts w:hint="cs"/>
          <w:b/>
          <w:bCs/>
          <w:rtl/>
        </w:rPr>
        <w:t>.</w:t>
      </w:r>
    </w:p>
    <w:p w:rsidR="00CB18EF" w:rsidRPr="00060438" w:rsidRDefault="00CB18EF" w:rsidP="009709E0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060438">
        <w:rPr>
          <w:rFonts w:hint="cs"/>
          <w:b/>
          <w:bCs/>
          <w:rtl/>
        </w:rPr>
        <w:t>שיעורי החשיפה של ה</w:t>
      </w:r>
      <w:r w:rsidR="00060438">
        <w:rPr>
          <w:rFonts w:hint="cs"/>
          <w:b/>
          <w:bCs/>
          <w:rtl/>
        </w:rPr>
        <w:t>גופים ה</w:t>
      </w:r>
      <w:r w:rsidRPr="00060438">
        <w:rPr>
          <w:rFonts w:hint="cs"/>
          <w:b/>
          <w:bCs/>
          <w:rtl/>
        </w:rPr>
        <w:t xml:space="preserve">מוסדיים לנכסים זרים </w:t>
      </w:r>
      <w:r w:rsidR="00060438" w:rsidRPr="00060438">
        <w:rPr>
          <w:rFonts w:hint="cs"/>
          <w:b/>
          <w:bCs/>
          <w:rtl/>
        </w:rPr>
        <w:t>עלה בכ-0.5 נקודת אחוז ומנגד</w:t>
      </w:r>
      <w:r w:rsidR="00060438">
        <w:rPr>
          <w:rFonts w:hint="cs"/>
          <w:b/>
          <w:bCs/>
          <w:rtl/>
        </w:rPr>
        <w:t>,</w:t>
      </w:r>
      <w:r w:rsidR="00060438" w:rsidRPr="00060438">
        <w:rPr>
          <w:rFonts w:hint="cs"/>
          <w:b/>
          <w:bCs/>
          <w:rtl/>
        </w:rPr>
        <w:t xml:space="preserve"> שיעורי החשיפה </w:t>
      </w:r>
      <w:r w:rsidRPr="00060438">
        <w:rPr>
          <w:rFonts w:hint="cs"/>
          <w:b/>
          <w:bCs/>
          <w:rtl/>
        </w:rPr>
        <w:t xml:space="preserve">למט"ח </w:t>
      </w:r>
      <w:r w:rsidR="00060438" w:rsidRPr="00060438">
        <w:rPr>
          <w:rFonts w:hint="cs"/>
          <w:b/>
          <w:bCs/>
          <w:rtl/>
        </w:rPr>
        <w:t>ירד בכ-0.4 נקודת אחוז.</w:t>
      </w:r>
    </w:p>
    <w:p w:rsidR="00EE6489" w:rsidRDefault="00D96916" w:rsidP="009709E0">
      <w:pPr>
        <w:pStyle w:val="ae"/>
        <w:numPr>
          <w:ilvl w:val="0"/>
          <w:numId w:val="8"/>
        </w:numPr>
        <w:spacing w:before="240" w:line="360" w:lineRule="auto"/>
        <w:jc w:val="both"/>
        <w:rPr>
          <w:b/>
          <w:bCs/>
          <w:rtl/>
        </w:rPr>
      </w:pPr>
      <w:r w:rsidRPr="00D96916">
        <w:rPr>
          <w:b/>
          <w:bCs/>
          <w:rtl/>
        </w:rPr>
        <w:t xml:space="preserve">היקף התיק המנוהל באמצעות קרנות נאמנות בארץ ירד ברביע הרביעי של השנה בכ-23.6 מיליארדי </w:t>
      </w:r>
      <w:r>
        <w:rPr>
          <w:rFonts w:hint="cs"/>
          <w:b/>
          <w:bCs/>
          <w:rtl/>
        </w:rPr>
        <w:t>ש"ח.</w:t>
      </w:r>
    </w:p>
    <w:p w:rsidR="00D96916" w:rsidRDefault="00D96916" w:rsidP="009709E0">
      <w:pPr>
        <w:pStyle w:val="ae"/>
        <w:spacing w:before="240" w:line="360" w:lineRule="auto"/>
        <w:jc w:val="both"/>
        <w:rPr>
          <w:b/>
          <w:bCs/>
          <w:rtl/>
        </w:rPr>
      </w:pPr>
    </w:p>
    <w:p w:rsidR="008D130A" w:rsidRPr="00C739C4" w:rsidRDefault="002A7E7B" w:rsidP="009709E0">
      <w:pPr>
        <w:pStyle w:val="ae"/>
        <w:numPr>
          <w:ilvl w:val="0"/>
          <w:numId w:val="18"/>
        </w:numPr>
        <w:spacing w:before="240" w:line="360" w:lineRule="auto"/>
        <w:jc w:val="both"/>
        <w:rPr>
          <w:b/>
          <w:bCs/>
          <w:rtl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DD612E" w:rsidRDefault="0027468F" w:rsidP="009709E0">
      <w:pPr>
        <w:spacing w:before="240" w:line="360" w:lineRule="auto"/>
        <w:ind w:left="360"/>
        <w:jc w:val="both"/>
        <w:rPr>
          <w:rtl/>
        </w:rPr>
      </w:pPr>
      <w:r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 w:rsidR="001C18C5">
        <w:rPr>
          <w:rFonts w:hint="cs"/>
          <w:b/>
          <w:bCs/>
          <w:rtl/>
        </w:rPr>
        <w:t>ה</w:t>
      </w:r>
      <w:r w:rsidR="00DD612E">
        <w:rPr>
          <w:rFonts w:hint="cs"/>
          <w:b/>
          <w:bCs/>
          <w:rtl/>
        </w:rPr>
        <w:t>רביע</w:t>
      </w:r>
      <w:r w:rsidR="005B4B79">
        <w:rPr>
          <w:rFonts w:hint="cs"/>
          <w:b/>
          <w:bCs/>
          <w:rtl/>
        </w:rPr>
        <w:t>י</w:t>
      </w:r>
      <w:r w:rsidR="008F4C5E">
        <w:rPr>
          <w:rFonts w:hint="cs"/>
          <w:b/>
          <w:bCs/>
          <w:rtl/>
        </w:rPr>
        <w:t xml:space="preserve"> 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2018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 w:rsidR="00DD612E">
        <w:rPr>
          <w:rFonts w:hint="cs"/>
          <w:rtl/>
        </w:rPr>
        <w:t>ירד</w:t>
      </w:r>
      <w:r w:rsidR="003F7C50">
        <w:rPr>
          <w:rFonts w:hint="cs"/>
          <w:b/>
          <w:bCs/>
          <w:rtl/>
        </w:rPr>
        <w:t>ה</w:t>
      </w:r>
      <w:r w:rsidR="003C6456" w:rsidRPr="0024359D">
        <w:rPr>
          <w:rFonts w:hint="cs"/>
          <w:b/>
          <w:bCs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 w:rsidR="00DD612E">
        <w:rPr>
          <w:rFonts w:hint="cs"/>
          <w:rtl/>
        </w:rPr>
        <w:t>5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</w:t>
      </w:r>
      <w:r w:rsidR="00DD612E" w:rsidRPr="00DD612E">
        <w:rPr>
          <w:rFonts w:hint="cs"/>
          <w:rtl/>
        </w:rPr>
        <w:t>(</w:t>
      </w:r>
      <w:r w:rsidR="00DD612E" w:rsidRPr="00DD612E">
        <w:t>%</w:t>
      </w:r>
      <w:r w:rsidR="00DD612E" w:rsidRPr="00DD612E">
        <w:rPr>
          <w:rFonts w:hint="cs"/>
          <w:rtl/>
        </w:rPr>
        <w:t>0.1-)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 w:rsidR="00B5166B">
        <w:rPr>
          <w:rFonts w:hint="cs"/>
          <w:rtl/>
        </w:rPr>
        <w:t>3.</w:t>
      </w:r>
      <w:r w:rsidR="00CC0824">
        <w:rPr>
          <w:rFonts w:hint="cs"/>
          <w:rtl/>
        </w:rPr>
        <w:t>7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F7C50">
        <w:rPr>
          <w:rStyle w:val="a4"/>
          <w:rtl/>
        </w:rPr>
        <w:footnoteReference w:id="2"/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(תרשים 1).</w:t>
      </w:r>
      <w:r w:rsidR="00975AF9">
        <w:rPr>
          <w:rFonts w:hint="cs"/>
          <w:rtl/>
        </w:rPr>
        <w:t xml:space="preserve"> </w:t>
      </w:r>
      <w:r w:rsidR="00C90138" w:rsidRPr="00830F9A">
        <w:rPr>
          <w:rFonts w:hint="cs"/>
          <w:rtl/>
        </w:rPr>
        <w:t xml:space="preserve">משקל תיק הנכסים הפיננסיים של הציבור ביחס לתוצר </w:t>
      </w:r>
      <w:r w:rsidR="00DD612E">
        <w:rPr>
          <w:rFonts w:hint="cs"/>
          <w:rtl/>
        </w:rPr>
        <w:t>ירד</w:t>
      </w:r>
      <w:r w:rsidR="00BE7B9A">
        <w:rPr>
          <w:rFonts w:hint="cs"/>
          <w:rtl/>
        </w:rPr>
        <w:t xml:space="preserve"> </w:t>
      </w:r>
      <w:r w:rsidR="000D49A8">
        <w:rPr>
          <w:rFonts w:hint="cs"/>
          <w:rtl/>
        </w:rPr>
        <w:t>בכ-</w:t>
      </w:r>
      <w:r w:rsidR="00CE2D8C">
        <w:rPr>
          <w:rFonts w:hint="cs"/>
          <w:rtl/>
        </w:rPr>
        <w:t>3.8</w:t>
      </w:r>
      <w:r w:rsidR="000D49A8">
        <w:rPr>
          <w:rFonts w:hint="cs"/>
          <w:rtl/>
        </w:rPr>
        <w:t xml:space="preserve"> נקודות אחוז ועמד בסוף הרביע</w:t>
      </w:r>
      <w:r w:rsidR="00975AF9" w:rsidRPr="00830F9A">
        <w:rPr>
          <w:rFonts w:hint="cs"/>
          <w:rtl/>
        </w:rPr>
        <w:t xml:space="preserve"> על</w:t>
      </w:r>
      <w:r w:rsidR="00C90138" w:rsidRPr="00830F9A">
        <w:rPr>
          <w:rFonts w:hint="cs"/>
          <w:rtl/>
        </w:rPr>
        <w:t xml:space="preserve"> </w:t>
      </w:r>
      <w:r w:rsidR="00830F9A" w:rsidRPr="00830F9A">
        <w:rPr>
          <w:rFonts w:hint="cs"/>
          <w:rtl/>
        </w:rPr>
        <w:t>2</w:t>
      </w:r>
      <w:r w:rsidR="00DD612E">
        <w:rPr>
          <w:rFonts w:hint="cs"/>
          <w:rtl/>
        </w:rPr>
        <w:t>78</w:t>
      </w:r>
      <w:r w:rsidR="00CE2D8C">
        <w:rPr>
          <w:rFonts w:hint="cs"/>
          <w:rtl/>
        </w:rPr>
        <w:t>.4</w:t>
      </w:r>
      <w:r w:rsidR="00C90138" w:rsidRPr="00830F9A">
        <w:rPr>
          <w:rFonts w:hint="cs"/>
          <w:rtl/>
        </w:rPr>
        <w:t xml:space="preserve">% (תרשים 1). </w:t>
      </w:r>
    </w:p>
    <w:p w:rsidR="003F7C50" w:rsidRPr="00DD612E" w:rsidRDefault="003F7C50" w:rsidP="009709E0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b/>
          <w:bCs/>
          <w:noProof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636C32DF" wp14:editId="051DC690">
            <wp:simplePos x="0" y="0"/>
            <wp:positionH relativeFrom="column">
              <wp:align>center</wp:align>
            </wp:positionH>
            <wp:positionV relativeFrom="paragraph">
              <wp:posOffset>541020</wp:posOffset>
            </wp:positionV>
            <wp:extent cx="5490000" cy="2199600"/>
            <wp:effectExtent l="0" t="0" r="0" b="0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000" cy="219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B27" w:rsidRDefault="00CF5B27" w:rsidP="009709E0">
      <w:pPr>
        <w:pStyle w:val="ae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070610">
        <w:rPr>
          <w:rStyle w:val="10"/>
          <w:rFonts w:hint="cs"/>
          <w:rtl/>
        </w:rPr>
        <w:lastRenderedPageBreak/>
        <w:t xml:space="preserve">ניתוח </w:t>
      </w:r>
      <w:r w:rsidRPr="00F26049">
        <w:rPr>
          <w:rStyle w:val="10"/>
          <w:rFonts w:hint="cs"/>
          <w:rtl/>
        </w:rPr>
        <w:t>השינויים ב</w:t>
      </w:r>
      <w:r w:rsidR="00EA3535" w:rsidRPr="00F26049">
        <w:rPr>
          <w:rStyle w:val="10"/>
          <w:rFonts w:hint="cs"/>
          <w:rtl/>
        </w:rPr>
        <w:t xml:space="preserve">כלל </w:t>
      </w:r>
      <w:r w:rsidR="00327E2A" w:rsidRPr="00F26049">
        <w:rPr>
          <w:rStyle w:val="10"/>
          <w:rFonts w:hint="cs"/>
          <w:rtl/>
        </w:rPr>
        <w:t>ה</w:t>
      </w:r>
      <w:r w:rsidRPr="00F26049">
        <w:rPr>
          <w:rStyle w:val="10"/>
          <w:rFonts w:hint="cs"/>
          <w:rtl/>
        </w:rPr>
        <w:t>תיק</w:t>
      </w:r>
    </w:p>
    <w:p w:rsidR="00CE2D8C" w:rsidRDefault="001D15A4" w:rsidP="009709E0">
      <w:pPr>
        <w:pStyle w:val="ae"/>
        <w:spacing w:before="240" w:line="360" w:lineRule="auto"/>
        <w:ind w:left="360"/>
        <w:jc w:val="both"/>
        <w:rPr>
          <w:rtl/>
        </w:rPr>
      </w:pPr>
      <w:r w:rsidRPr="00CE2D8C">
        <w:rPr>
          <w:rFonts w:hint="cs"/>
          <w:rtl/>
        </w:rPr>
        <w:t xml:space="preserve">במהלך הרביע </w:t>
      </w:r>
      <w:r w:rsidR="00CE2D8C" w:rsidRPr="00CE2D8C">
        <w:rPr>
          <w:rFonts w:hint="cs"/>
          <w:rtl/>
        </w:rPr>
        <w:t>הרביעי</w:t>
      </w:r>
      <w:r w:rsidRPr="00CE2D8C">
        <w:rPr>
          <w:rFonts w:hint="cs"/>
          <w:rtl/>
        </w:rPr>
        <w:t xml:space="preserve"> </w:t>
      </w:r>
      <w:r w:rsidR="00CE2D8C" w:rsidRPr="00CE2D8C">
        <w:rPr>
          <w:rFonts w:hint="cs"/>
          <w:rtl/>
        </w:rPr>
        <w:t>ירד</w:t>
      </w:r>
      <w:r w:rsidR="000A525E">
        <w:rPr>
          <w:rFonts w:hint="cs"/>
          <w:rtl/>
        </w:rPr>
        <w:t>ו</w:t>
      </w:r>
      <w:r w:rsidR="00CE2D8C" w:rsidRPr="00CE2D8C">
        <w:rPr>
          <w:rFonts w:hint="cs"/>
          <w:rtl/>
        </w:rPr>
        <w:t xml:space="preserve"> </w:t>
      </w:r>
      <w:r w:rsidR="000A525E">
        <w:rPr>
          <w:rFonts w:hint="cs"/>
          <w:rtl/>
        </w:rPr>
        <w:t>היתרות</w:t>
      </w:r>
      <w:r w:rsidR="00CE2D8C" w:rsidRPr="00CE2D8C">
        <w:rPr>
          <w:rFonts w:hint="cs"/>
          <w:rtl/>
        </w:rPr>
        <w:t xml:space="preserve"> </w:t>
      </w:r>
      <w:r w:rsidR="00CE2D8C">
        <w:rPr>
          <w:rFonts w:hint="cs"/>
          <w:rtl/>
        </w:rPr>
        <w:t xml:space="preserve">של </w:t>
      </w:r>
      <w:r w:rsidR="00CE2D8C" w:rsidRPr="00CE2D8C">
        <w:rPr>
          <w:rFonts w:hint="cs"/>
          <w:rtl/>
        </w:rPr>
        <w:t xml:space="preserve">מרבית </w:t>
      </w:r>
      <w:r w:rsidRPr="00CE2D8C">
        <w:rPr>
          <w:rFonts w:hint="cs"/>
          <w:rtl/>
        </w:rPr>
        <w:t xml:space="preserve">הרכיבים בתיק, למעט </w:t>
      </w:r>
      <w:r w:rsidR="006E0D76" w:rsidRPr="00CE2D8C">
        <w:rPr>
          <w:rFonts w:hint="cs"/>
          <w:rtl/>
        </w:rPr>
        <w:t xml:space="preserve">יתרת </w:t>
      </w:r>
      <w:r w:rsidRPr="00CE2D8C">
        <w:rPr>
          <w:rFonts w:hint="cs"/>
          <w:rtl/>
        </w:rPr>
        <w:t xml:space="preserve">המזומן והפיקדונות </w:t>
      </w:r>
      <w:r w:rsidR="00CE2D8C" w:rsidRPr="00CE2D8C">
        <w:rPr>
          <w:rFonts w:hint="cs"/>
          <w:rtl/>
        </w:rPr>
        <w:t>והמניות בארץ</w:t>
      </w:r>
      <w:r w:rsidR="002E23BA" w:rsidRPr="00CE2D8C">
        <w:rPr>
          <w:rFonts w:hint="cs"/>
          <w:rtl/>
        </w:rPr>
        <w:t xml:space="preserve">. בלטו </w:t>
      </w:r>
      <w:r w:rsidR="00CE2D8C">
        <w:rPr>
          <w:rFonts w:hint="cs"/>
          <w:rtl/>
        </w:rPr>
        <w:t>הירידות</w:t>
      </w:r>
      <w:r w:rsidR="002E23BA" w:rsidRPr="00CE2D8C">
        <w:rPr>
          <w:rFonts w:hint="cs"/>
          <w:rtl/>
        </w:rPr>
        <w:t xml:space="preserve"> ביתרת </w:t>
      </w:r>
      <w:r w:rsidR="00112327">
        <w:rPr>
          <w:rFonts w:hint="cs"/>
          <w:rtl/>
        </w:rPr>
        <w:t>החזקת הציבור בנכסים</w:t>
      </w:r>
      <w:r w:rsidR="00CE2D8C">
        <w:rPr>
          <w:rFonts w:hint="cs"/>
          <w:rtl/>
        </w:rPr>
        <w:t xml:space="preserve"> בחו"ל ובאג"ח החברות והממשלתיות.</w:t>
      </w:r>
    </w:p>
    <w:p w:rsidR="000430C8" w:rsidRPr="009F64A1" w:rsidRDefault="00060438" w:rsidP="009709E0">
      <w:pPr>
        <w:spacing w:before="240" w:line="360" w:lineRule="auto"/>
        <w:jc w:val="both"/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D6F4830" wp14:editId="0C5ED8BE">
            <wp:simplePos x="0" y="0"/>
            <wp:positionH relativeFrom="column">
              <wp:align>center</wp:align>
            </wp:positionH>
            <wp:positionV relativeFrom="paragraph">
              <wp:posOffset>65405</wp:posOffset>
            </wp:positionV>
            <wp:extent cx="5485239" cy="2196000"/>
            <wp:effectExtent l="0" t="0" r="1270" b="0"/>
            <wp:wrapTight wrapText="bothSides">
              <wp:wrapPolygon edited="0">
                <wp:start x="0" y="0"/>
                <wp:lineTo x="0" y="21363"/>
                <wp:lineTo x="21530" y="21363"/>
                <wp:lineTo x="21530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39" cy="21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D76" w:rsidRPr="00B650D5" w:rsidRDefault="00F510AA" w:rsidP="0040565B">
      <w:pPr>
        <w:pStyle w:val="ae"/>
        <w:numPr>
          <w:ilvl w:val="0"/>
          <w:numId w:val="24"/>
        </w:numPr>
        <w:spacing w:before="240" w:line="360" w:lineRule="auto"/>
        <w:jc w:val="both"/>
      </w:pPr>
      <w:r>
        <w:rPr>
          <w:rFonts w:hint="cs"/>
          <w:rtl/>
        </w:rPr>
        <w:t>יתרת ההחזקות</w:t>
      </w:r>
      <w:r w:rsidR="006E0D76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ב</w:t>
      </w:r>
      <w:r w:rsidR="006E0D76" w:rsidRPr="008A5A5C">
        <w:rPr>
          <w:rFonts w:hint="cs"/>
          <w:b/>
          <w:bCs/>
          <w:rtl/>
        </w:rPr>
        <w:t>מניות בארץ</w:t>
      </w:r>
      <w:r w:rsidR="006E0D76">
        <w:rPr>
          <w:rFonts w:hint="cs"/>
          <w:rtl/>
        </w:rPr>
        <w:t xml:space="preserve"> על</w:t>
      </w:r>
      <w:r w:rsidR="00AB6EE0">
        <w:rPr>
          <w:rFonts w:hint="cs"/>
          <w:rtl/>
        </w:rPr>
        <w:t>ת</w:t>
      </w:r>
      <w:r w:rsidR="006E0D76">
        <w:rPr>
          <w:rFonts w:hint="cs"/>
          <w:rtl/>
        </w:rPr>
        <w:t>ה בכ-</w:t>
      </w:r>
      <w:r w:rsidR="00172FA5">
        <w:rPr>
          <w:rFonts w:hint="cs"/>
          <w:rtl/>
        </w:rPr>
        <w:t>15</w:t>
      </w:r>
      <w:r w:rsidR="006E0D76">
        <w:rPr>
          <w:rFonts w:hint="cs"/>
          <w:rtl/>
        </w:rPr>
        <w:t xml:space="preserve"> </w:t>
      </w:r>
      <w:r w:rsidR="00CE2D8C">
        <w:rPr>
          <w:rFonts w:hint="cs"/>
          <w:rtl/>
        </w:rPr>
        <w:t>מיליארדי ש"ח</w:t>
      </w:r>
      <w:r w:rsidR="006E0D76">
        <w:rPr>
          <w:rFonts w:hint="cs"/>
          <w:rtl/>
        </w:rPr>
        <w:t xml:space="preserve"> (</w:t>
      </w:r>
      <w:r w:rsidR="00172FA5">
        <w:rPr>
          <w:rFonts w:hint="cs"/>
          <w:rtl/>
        </w:rPr>
        <w:t>3</w:t>
      </w:r>
      <w:r w:rsidR="006E0D76">
        <w:rPr>
          <w:rFonts w:hint="cs"/>
          <w:rtl/>
        </w:rPr>
        <w:t>%)</w:t>
      </w:r>
      <w:r w:rsidR="00CE2D8C">
        <w:rPr>
          <w:rFonts w:hint="cs"/>
          <w:rtl/>
        </w:rPr>
        <w:t>, זאת כתוצאה מהשקעות נטו שקוזז</w:t>
      </w:r>
      <w:r w:rsidR="0040565B">
        <w:rPr>
          <w:rFonts w:hint="cs"/>
          <w:rtl/>
        </w:rPr>
        <w:t xml:space="preserve">ו </w:t>
      </w:r>
      <w:r w:rsidR="00CE2D8C">
        <w:rPr>
          <w:rFonts w:hint="cs"/>
          <w:rtl/>
        </w:rPr>
        <w:t>בחלק</w:t>
      </w:r>
      <w:r w:rsidR="0040565B">
        <w:rPr>
          <w:rFonts w:hint="cs"/>
          <w:rtl/>
        </w:rPr>
        <w:t>ן</w:t>
      </w:r>
      <w:r w:rsidR="006E0D76">
        <w:rPr>
          <w:rFonts w:hint="cs"/>
          <w:rtl/>
        </w:rPr>
        <w:t xml:space="preserve"> </w:t>
      </w:r>
      <w:r w:rsidR="00CE2D8C" w:rsidRPr="00CE2D8C">
        <w:rPr>
          <w:rFonts w:hint="cs"/>
          <w:rtl/>
        </w:rPr>
        <w:t>על ידי</w:t>
      </w:r>
      <w:r w:rsidR="006E0D76" w:rsidRPr="00CE2D8C">
        <w:rPr>
          <w:rFonts w:hint="cs"/>
          <w:rtl/>
        </w:rPr>
        <w:t xml:space="preserve"> </w:t>
      </w:r>
      <w:r w:rsidR="00CE2D8C" w:rsidRPr="00CE2D8C">
        <w:rPr>
          <w:rFonts w:hint="cs"/>
          <w:rtl/>
        </w:rPr>
        <w:t>ירידות</w:t>
      </w:r>
      <w:r w:rsidR="006E0D76" w:rsidRPr="00CE2D8C">
        <w:rPr>
          <w:rFonts w:hint="cs"/>
          <w:rtl/>
        </w:rPr>
        <w:t xml:space="preserve"> המחירים בבורסה בת"א</w:t>
      </w:r>
      <w:r w:rsidR="00CE2D8C" w:rsidRPr="00CE2D8C">
        <w:rPr>
          <w:rFonts w:hint="cs"/>
          <w:rtl/>
        </w:rPr>
        <w:t>, בעיקר בחודש דצמבר.</w:t>
      </w:r>
      <w:r w:rsidR="006E0D76" w:rsidRPr="00172FA5">
        <w:rPr>
          <w:rFonts w:hint="cs"/>
          <w:highlight w:val="green"/>
          <w:rtl/>
        </w:rPr>
        <w:t xml:space="preserve"> </w:t>
      </w:r>
    </w:p>
    <w:p w:rsidR="002F6207" w:rsidRPr="00766361" w:rsidRDefault="002F6207" w:rsidP="009709E0">
      <w:pPr>
        <w:pStyle w:val="ae"/>
        <w:numPr>
          <w:ilvl w:val="0"/>
          <w:numId w:val="24"/>
        </w:numPr>
        <w:spacing w:before="240" w:line="360" w:lineRule="auto"/>
        <w:jc w:val="both"/>
      </w:pPr>
      <w:r w:rsidRPr="00766361">
        <w:rPr>
          <w:rFonts w:hint="cs"/>
          <w:b/>
          <w:bCs/>
          <w:rtl/>
        </w:rPr>
        <w:t xml:space="preserve">יתרת האג"ח החברות הסחירות בארץ </w:t>
      </w:r>
      <w:r w:rsidRPr="00766361">
        <w:rPr>
          <w:rFonts w:hint="cs"/>
          <w:rtl/>
        </w:rPr>
        <w:t>ירדה ב-7.5 מיליארדי ש"ח (2.2%-) ועמדה בסוף הרביע על כ-336 מיליארדים, זאת כתוצאה מהשקעות נטו</w:t>
      </w:r>
      <w:r>
        <w:rPr>
          <w:rFonts w:hint="cs"/>
          <w:rtl/>
        </w:rPr>
        <w:t xml:space="preserve"> </w:t>
      </w:r>
      <w:r w:rsidRPr="00766361">
        <w:rPr>
          <w:rFonts w:hint="cs"/>
          <w:rtl/>
        </w:rPr>
        <w:t>שקוזז</w:t>
      </w:r>
      <w:r>
        <w:rPr>
          <w:rFonts w:hint="cs"/>
          <w:rtl/>
        </w:rPr>
        <w:t>ו</w:t>
      </w:r>
      <w:r w:rsidRPr="00766361">
        <w:rPr>
          <w:rFonts w:hint="cs"/>
          <w:rtl/>
        </w:rPr>
        <w:t>, ואף יותר, על ידי ירידת המחירים.</w:t>
      </w:r>
      <w:r>
        <w:rPr>
          <w:rFonts w:hint="cs"/>
          <w:rtl/>
        </w:rPr>
        <w:t xml:space="preserve"> </w:t>
      </w:r>
    </w:p>
    <w:p w:rsidR="000430C8" w:rsidRDefault="00293346" w:rsidP="009709E0">
      <w:pPr>
        <w:pStyle w:val="ae"/>
        <w:numPr>
          <w:ilvl w:val="0"/>
          <w:numId w:val="24"/>
        </w:numPr>
        <w:spacing w:before="240" w:line="360" w:lineRule="auto"/>
        <w:jc w:val="both"/>
        <w:rPr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68C9AA84" wp14:editId="0B0EAF1A">
            <wp:simplePos x="0" y="0"/>
            <wp:positionH relativeFrom="column">
              <wp:align>center</wp:align>
            </wp:positionH>
            <wp:positionV relativeFrom="paragraph">
              <wp:posOffset>558800</wp:posOffset>
            </wp:positionV>
            <wp:extent cx="5486400" cy="2844000"/>
            <wp:effectExtent l="0" t="0" r="0" b="0"/>
            <wp:wrapTopAndBottom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D76" w:rsidRPr="00A339FF">
        <w:rPr>
          <w:rFonts w:hint="cs"/>
          <w:rtl/>
        </w:rPr>
        <w:t xml:space="preserve">יתרת </w:t>
      </w:r>
      <w:r w:rsidR="006E0D76" w:rsidRPr="00A339FF">
        <w:rPr>
          <w:rFonts w:hint="cs"/>
          <w:b/>
          <w:bCs/>
          <w:rtl/>
        </w:rPr>
        <w:t>האג"ח הממשלתיות</w:t>
      </w:r>
      <w:r w:rsidR="006E0D76" w:rsidRPr="00A339FF">
        <w:rPr>
          <w:rFonts w:hint="cs"/>
          <w:rtl/>
        </w:rPr>
        <w:t xml:space="preserve"> (סחירות ולא-סחירות) </w:t>
      </w:r>
      <w:r w:rsidR="006E0D76" w:rsidRPr="00A339FF">
        <w:rPr>
          <w:rFonts w:hint="cs"/>
          <w:b/>
          <w:bCs/>
          <w:rtl/>
        </w:rPr>
        <w:t>והמק"ם</w:t>
      </w:r>
      <w:r w:rsidR="006E0D76" w:rsidRPr="00A339FF">
        <w:rPr>
          <w:rFonts w:hint="cs"/>
          <w:rtl/>
        </w:rPr>
        <w:t xml:space="preserve"> </w:t>
      </w:r>
      <w:r w:rsidR="00172FA5" w:rsidRPr="00A339FF">
        <w:rPr>
          <w:rFonts w:hint="cs"/>
          <w:rtl/>
        </w:rPr>
        <w:t>ירד</w:t>
      </w:r>
      <w:r w:rsidR="00F510AA" w:rsidRPr="00A339FF">
        <w:rPr>
          <w:rFonts w:hint="cs"/>
          <w:rtl/>
        </w:rPr>
        <w:t>ה</w:t>
      </w:r>
      <w:r w:rsidR="006E0D76" w:rsidRPr="00A339FF">
        <w:rPr>
          <w:rFonts w:hint="cs"/>
          <w:rtl/>
        </w:rPr>
        <w:t xml:space="preserve"> ב-</w:t>
      </w:r>
      <w:r w:rsidR="00172FA5" w:rsidRPr="00A339FF">
        <w:rPr>
          <w:rFonts w:hint="cs"/>
          <w:rtl/>
        </w:rPr>
        <w:t>4</w:t>
      </w:r>
      <w:r w:rsidR="006E0D76" w:rsidRPr="00A339FF">
        <w:rPr>
          <w:rFonts w:hint="cs"/>
          <w:rtl/>
        </w:rPr>
        <w:t>.</w:t>
      </w:r>
      <w:r w:rsidR="00172FA5" w:rsidRPr="00A339FF">
        <w:rPr>
          <w:rFonts w:hint="cs"/>
          <w:rtl/>
        </w:rPr>
        <w:t>1</w:t>
      </w:r>
      <w:r w:rsidR="006E0D76" w:rsidRPr="00A339FF">
        <w:rPr>
          <w:rFonts w:hint="cs"/>
          <w:rtl/>
        </w:rPr>
        <w:t xml:space="preserve"> מיליארדי ש</w:t>
      </w:r>
      <w:r w:rsidR="006E0D76" w:rsidRPr="00A339FF">
        <w:rPr>
          <w:rtl/>
        </w:rPr>
        <w:t>"</w:t>
      </w:r>
      <w:r w:rsidR="006E0D76" w:rsidRPr="00A339FF">
        <w:rPr>
          <w:rFonts w:hint="cs"/>
          <w:rtl/>
        </w:rPr>
        <w:t>ח (</w:t>
      </w:r>
      <w:r w:rsidR="00172FA5" w:rsidRPr="00A339FF">
        <w:rPr>
          <w:rFonts w:hint="cs"/>
          <w:rtl/>
        </w:rPr>
        <w:t>0.5%-</w:t>
      </w:r>
      <w:r w:rsidR="006E0D76" w:rsidRPr="00A339FF">
        <w:rPr>
          <w:rFonts w:hint="cs"/>
          <w:rtl/>
        </w:rPr>
        <w:t xml:space="preserve">). </w:t>
      </w:r>
    </w:p>
    <w:p w:rsidR="00247F73" w:rsidRPr="00594308" w:rsidRDefault="009F64A1" w:rsidP="009709E0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AB6EE0">
        <w:rPr>
          <w:rFonts w:hint="cs"/>
          <w:rtl/>
        </w:rPr>
        <w:t>ירדה</w:t>
      </w:r>
      <w:r w:rsidR="00FD6210">
        <w:rPr>
          <w:rFonts w:hint="cs"/>
          <w:rtl/>
        </w:rPr>
        <w:t xml:space="preserve"> </w:t>
      </w:r>
      <w:r w:rsidR="00F510AA">
        <w:rPr>
          <w:rFonts w:hint="cs"/>
          <w:rtl/>
        </w:rPr>
        <w:t xml:space="preserve">במהלך הרביע </w:t>
      </w:r>
      <w:r w:rsidR="00247F73" w:rsidRPr="00594308">
        <w:rPr>
          <w:rFonts w:hint="cs"/>
          <w:rtl/>
        </w:rPr>
        <w:t>ב-</w:t>
      </w:r>
      <w:r w:rsidR="00AB6EE0">
        <w:rPr>
          <w:rFonts w:hint="cs"/>
          <w:rtl/>
        </w:rPr>
        <w:t>27</w:t>
      </w:r>
      <w:r w:rsidR="00247F73" w:rsidRPr="00594308">
        <w:rPr>
          <w:rFonts w:hint="cs"/>
          <w:rtl/>
        </w:rPr>
        <w:t xml:space="preserve"> מיליארדי ש</w:t>
      </w:r>
      <w:r w:rsidR="00247F73" w:rsidRPr="00594308">
        <w:rPr>
          <w:rtl/>
        </w:rPr>
        <w:t>"</w:t>
      </w:r>
      <w:r w:rsidR="00247F73" w:rsidRPr="00594308">
        <w:rPr>
          <w:rFonts w:hint="cs"/>
          <w:rtl/>
        </w:rPr>
        <w:t xml:space="preserve">ח </w:t>
      </w:r>
      <w:r w:rsidR="00AB6EE0">
        <w:rPr>
          <w:rFonts w:hint="cs"/>
          <w:rtl/>
        </w:rPr>
        <w:t>(5.1%-</w:t>
      </w:r>
      <w:r w:rsidR="00247F73" w:rsidRPr="00594308">
        <w:rPr>
          <w:rFonts w:hint="cs"/>
          <w:rtl/>
        </w:rPr>
        <w:t>) 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בסופו</w:t>
      </w:r>
      <w:r w:rsidR="00247F73" w:rsidRPr="00594308">
        <w:rPr>
          <w:rFonts w:hint="cs"/>
          <w:rtl/>
        </w:rPr>
        <w:t xml:space="preserve"> על כ-5</w:t>
      </w:r>
      <w:r w:rsidR="00AB6EE0">
        <w:rPr>
          <w:rFonts w:hint="cs"/>
          <w:rtl/>
        </w:rPr>
        <w:t>30</w:t>
      </w:r>
      <w:r w:rsidR="00247F73" w:rsidRPr="00594308">
        <w:rPr>
          <w:rFonts w:hint="cs"/>
          <w:rtl/>
        </w:rPr>
        <w:t xml:space="preserve"> מיליארדי ש"ח - המהווים </w:t>
      </w:r>
      <w:r w:rsidR="00FD6210">
        <w:rPr>
          <w:rFonts w:hint="cs"/>
          <w:rtl/>
        </w:rPr>
        <w:t>1</w:t>
      </w:r>
      <w:r w:rsidR="00AB6EE0">
        <w:rPr>
          <w:rFonts w:hint="cs"/>
          <w:rtl/>
        </w:rPr>
        <w:t>4</w:t>
      </w:r>
      <w:r w:rsidR="00247F73" w:rsidRPr="00594308">
        <w:rPr>
          <w:rFonts w:hint="cs"/>
          <w:rtl/>
        </w:rPr>
        <w:t>% מסך תיק הנכסים:</w:t>
      </w:r>
    </w:p>
    <w:p w:rsidR="00247F73" w:rsidRPr="00C82318" w:rsidRDefault="00247F73" w:rsidP="009709E0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C82318">
        <w:rPr>
          <w:rFonts w:hint="cs"/>
          <w:rtl/>
        </w:rPr>
        <w:t xml:space="preserve">יתרת </w:t>
      </w:r>
      <w:r w:rsidRPr="00C82318">
        <w:rPr>
          <w:rFonts w:hint="cs"/>
          <w:b/>
          <w:bCs/>
          <w:rtl/>
        </w:rPr>
        <w:t>המניות בחו"ל</w:t>
      </w:r>
      <w:r w:rsidRPr="00C82318">
        <w:rPr>
          <w:rFonts w:hint="cs"/>
          <w:rtl/>
        </w:rPr>
        <w:t xml:space="preserve"> </w:t>
      </w:r>
      <w:r w:rsidR="00C82318" w:rsidRPr="00C82318">
        <w:rPr>
          <w:rFonts w:hint="cs"/>
          <w:rtl/>
        </w:rPr>
        <w:t>ירדה</w:t>
      </w:r>
      <w:r w:rsidRPr="00C82318">
        <w:rPr>
          <w:rFonts w:hint="cs"/>
          <w:rtl/>
        </w:rPr>
        <w:t xml:space="preserve"> בכ-</w:t>
      </w:r>
      <w:r w:rsidR="00C82318" w:rsidRPr="00C82318">
        <w:rPr>
          <w:rFonts w:hint="cs"/>
          <w:rtl/>
        </w:rPr>
        <w:t>27.8</w:t>
      </w:r>
      <w:r w:rsidRPr="00C82318">
        <w:rPr>
          <w:rFonts w:hint="cs"/>
          <w:rtl/>
        </w:rPr>
        <w:t xml:space="preserve"> מיליארדי ש"ח (</w:t>
      </w:r>
      <w:r w:rsidR="00C82318" w:rsidRPr="00C82318">
        <w:rPr>
          <w:rFonts w:hint="cs"/>
          <w:rtl/>
        </w:rPr>
        <w:t>7.8</w:t>
      </w:r>
      <w:r w:rsidRPr="00C82318">
        <w:rPr>
          <w:rFonts w:hint="cs"/>
          <w:rtl/>
        </w:rPr>
        <w:t>%) ועמדה בסוף הרביע על כ-</w:t>
      </w:r>
      <w:r w:rsidR="00C82318" w:rsidRPr="00C82318">
        <w:rPr>
          <w:rFonts w:hint="cs"/>
          <w:rtl/>
        </w:rPr>
        <w:t>331</w:t>
      </w:r>
      <w:r w:rsidRPr="00C82318">
        <w:rPr>
          <w:rFonts w:hint="cs"/>
          <w:rtl/>
        </w:rPr>
        <w:t xml:space="preserve"> מיליארדי ש"ח. </w:t>
      </w:r>
      <w:r w:rsidR="00C82318" w:rsidRPr="00C82318">
        <w:rPr>
          <w:rFonts w:hint="cs"/>
          <w:rtl/>
        </w:rPr>
        <w:t>ירידה</w:t>
      </w:r>
      <w:r w:rsidRPr="00C82318">
        <w:rPr>
          <w:rFonts w:hint="cs"/>
          <w:rtl/>
        </w:rPr>
        <w:t xml:space="preserve"> </w:t>
      </w:r>
      <w:r w:rsidR="00C82318" w:rsidRPr="00C82318">
        <w:rPr>
          <w:rFonts w:hint="cs"/>
          <w:rtl/>
        </w:rPr>
        <w:t>זו נבעה</w:t>
      </w:r>
      <w:r w:rsidRPr="00C82318">
        <w:rPr>
          <w:rFonts w:hint="cs"/>
          <w:rtl/>
        </w:rPr>
        <w:t xml:space="preserve"> משילוב של </w:t>
      </w:r>
      <w:r w:rsidR="00C82318" w:rsidRPr="00C82318">
        <w:rPr>
          <w:rFonts w:hint="cs"/>
          <w:rtl/>
        </w:rPr>
        <w:t xml:space="preserve">ירידות המחירים בבורסות בחו"ל </w:t>
      </w:r>
      <w:r w:rsidR="00C82318">
        <w:rPr>
          <w:rFonts w:hint="cs"/>
          <w:rtl/>
        </w:rPr>
        <w:t xml:space="preserve">שקוזזו חלקית על ידי </w:t>
      </w:r>
      <w:r w:rsidRPr="00C82318">
        <w:rPr>
          <w:rFonts w:hint="cs"/>
          <w:rtl/>
        </w:rPr>
        <w:t>השקעות נטו</w:t>
      </w:r>
      <w:r w:rsidR="006D3812" w:rsidRPr="00C82318">
        <w:rPr>
          <w:rFonts w:hint="cs"/>
          <w:rtl/>
        </w:rPr>
        <w:t xml:space="preserve"> (אומדן של כ-</w:t>
      </w:r>
      <w:r w:rsidR="00C82318" w:rsidRPr="00C82318">
        <w:rPr>
          <w:rFonts w:hint="cs"/>
          <w:rtl/>
        </w:rPr>
        <w:t>5.5</w:t>
      </w:r>
      <w:r w:rsidR="006D3812" w:rsidRPr="00C82318">
        <w:rPr>
          <w:rFonts w:hint="cs"/>
          <w:rtl/>
        </w:rPr>
        <w:t xml:space="preserve"> מיליארדי ש"ח)</w:t>
      </w:r>
      <w:r w:rsidR="00FA4BBE" w:rsidRPr="00C82318">
        <w:rPr>
          <w:rFonts w:hint="cs"/>
          <w:rtl/>
        </w:rPr>
        <w:t xml:space="preserve"> </w:t>
      </w:r>
      <w:r w:rsidR="00C82318" w:rsidRPr="00C82318">
        <w:rPr>
          <w:rFonts w:hint="cs"/>
          <w:rtl/>
        </w:rPr>
        <w:t>ופיחות השקל מול הדולר (3.3%) שהעלה את השווי השקלי של התיק</w:t>
      </w:r>
      <w:r w:rsidR="00C82318">
        <w:rPr>
          <w:rFonts w:hint="cs"/>
          <w:rtl/>
        </w:rPr>
        <w:t>.</w:t>
      </w:r>
    </w:p>
    <w:p w:rsidR="00247F73" w:rsidRPr="008A763C" w:rsidRDefault="00247F73" w:rsidP="009709E0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8A763C">
        <w:rPr>
          <w:rFonts w:hint="cs"/>
          <w:rtl/>
        </w:rPr>
        <w:lastRenderedPageBreak/>
        <w:t xml:space="preserve">יתרת </w:t>
      </w:r>
      <w:r w:rsidRPr="008A763C">
        <w:rPr>
          <w:rFonts w:hint="cs"/>
          <w:b/>
          <w:bCs/>
          <w:rtl/>
        </w:rPr>
        <w:t>האג"ח הסחירות (חברות וממשלתיות)</w:t>
      </w:r>
      <w:r w:rsidRPr="008A763C">
        <w:rPr>
          <w:rFonts w:hint="cs"/>
          <w:rtl/>
        </w:rPr>
        <w:t xml:space="preserve"> </w:t>
      </w:r>
      <w:r w:rsidRPr="008A763C">
        <w:rPr>
          <w:rFonts w:hint="cs"/>
          <w:b/>
          <w:bCs/>
          <w:rtl/>
        </w:rPr>
        <w:t>בחו"ל</w:t>
      </w:r>
      <w:r w:rsidRPr="008A763C">
        <w:rPr>
          <w:rFonts w:hint="cs"/>
          <w:rtl/>
        </w:rPr>
        <w:t xml:space="preserve"> </w:t>
      </w:r>
      <w:r w:rsidR="00A36DFB" w:rsidRPr="008A763C">
        <w:rPr>
          <w:rFonts w:hint="cs"/>
          <w:rtl/>
        </w:rPr>
        <w:t>עלתה</w:t>
      </w:r>
      <w:r w:rsidRPr="008A763C">
        <w:rPr>
          <w:rFonts w:hint="cs"/>
          <w:rtl/>
        </w:rPr>
        <w:t xml:space="preserve"> בכ-</w:t>
      </w:r>
      <w:r w:rsidR="008A763C" w:rsidRPr="008A763C">
        <w:rPr>
          <w:rFonts w:hint="cs"/>
          <w:rtl/>
        </w:rPr>
        <w:t>2.7</w:t>
      </w:r>
      <w:r w:rsidRPr="008A763C">
        <w:rPr>
          <w:rFonts w:hint="cs"/>
          <w:rtl/>
        </w:rPr>
        <w:t xml:space="preserve"> מיליארדים </w:t>
      </w:r>
      <w:r w:rsidR="0024440A" w:rsidRPr="008A763C">
        <w:rPr>
          <w:rFonts w:hint="cs"/>
          <w:rtl/>
        </w:rPr>
        <w:t>(</w:t>
      </w:r>
      <w:r w:rsidR="008A763C" w:rsidRPr="008A763C">
        <w:rPr>
          <w:rFonts w:hint="cs"/>
          <w:rtl/>
        </w:rPr>
        <w:t>1.5</w:t>
      </w:r>
      <w:r w:rsidR="0024440A" w:rsidRPr="008A763C">
        <w:rPr>
          <w:rFonts w:hint="cs"/>
          <w:rtl/>
        </w:rPr>
        <w:t xml:space="preserve">%) </w:t>
      </w:r>
      <w:r w:rsidRPr="008A763C">
        <w:rPr>
          <w:rFonts w:hint="cs"/>
          <w:rtl/>
        </w:rPr>
        <w:t>ועמדה בסוף הרביע על כ-</w:t>
      </w:r>
      <w:r w:rsidR="008A763C" w:rsidRPr="008A763C">
        <w:rPr>
          <w:rFonts w:hint="cs"/>
          <w:rtl/>
        </w:rPr>
        <w:t>191</w:t>
      </w:r>
      <w:r w:rsidR="00A36DFB" w:rsidRPr="008A763C">
        <w:rPr>
          <w:rFonts w:hint="cs"/>
          <w:rtl/>
        </w:rPr>
        <w:t xml:space="preserve"> </w:t>
      </w:r>
      <w:r w:rsidRPr="008A763C">
        <w:rPr>
          <w:rFonts w:hint="cs"/>
          <w:rtl/>
        </w:rPr>
        <w:t xml:space="preserve">מיליארדי ש"ח. </w:t>
      </w:r>
      <w:r w:rsidR="000F4780" w:rsidRPr="008A763C">
        <w:rPr>
          <w:rFonts w:hint="cs"/>
          <w:rtl/>
        </w:rPr>
        <w:t>עלייה</w:t>
      </w:r>
      <w:r w:rsidRPr="008A763C">
        <w:rPr>
          <w:rFonts w:hint="cs"/>
          <w:rtl/>
        </w:rPr>
        <w:t xml:space="preserve"> </w:t>
      </w:r>
      <w:r w:rsidR="008A763C" w:rsidRPr="008A763C">
        <w:rPr>
          <w:rFonts w:hint="cs"/>
          <w:rtl/>
        </w:rPr>
        <w:t xml:space="preserve">זו </w:t>
      </w:r>
      <w:r w:rsidRPr="008A763C">
        <w:rPr>
          <w:rFonts w:hint="cs"/>
          <w:rtl/>
        </w:rPr>
        <w:t xml:space="preserve">נבעה בעיקר </w:t>
      </w:r>
      <w:r w:rsidR="008A763C" w:rsidRPr="008A763C">
        <w:rPr>
          <w:rFonts w:hint="cs"/>
          <w:rtl/>
        </w:rPr>
        <w:t xml:space="preserve">מפיחות השקל מול הדולר, שקוזזה במקצת על ידי מימושים נטו </w:t>
      </w:r>
      <w:r w:rsidR="006D3812" w:rsidRPr="008A763C">
        <w:rPr>
          <w:rFonts w:hint="cs"/>
          <w:rtl/>
        </w:rPr>
        <w:t>(אומדן של כ-</w:t>
      </w:r>
      <w:r w:rsidR="000F4780" w:rsidRPr="008A763C">
        <w:rPr>
          <w:rFonts w:hint="cs"/>
          <w:rtl/>
        </w:rPr>
        <w:t>1.</w:t>
      </w:r>
      <w:r w:rsidR="008A763C" w:rsidRPr="008A763C">
        <w:rPr>
          <w:rFonts w:hint="cs"/>
          <w:rtl/>
        </w:rPr>
        <w:t>6 מיליארדי ש"ח).</w:t>
      </w:r>
    </w:p>
    <w:p w:rsidR="0045455B" w:rsidRPr="00274984" w:rsidRDefault="00247F73" w:rsidP="009709E0">
      <w:pPr>
        <w:pStyle w:val="ae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6B440B">
        <w:rPr>
          <w:rFonts w:hint="cs"/>
          <w:rtl/>
        </w:rPr>
        <w:t xml:space="preserve">יתרת </w:t>
      </w:r>
      <w:r w:rsidRPr="006B440B">
        <w:rPr>
          <w:rFonts w:hint="cs"/>
          <w:b/>
          <w:bCs/>
          <w:rtl/>
        </w:rPr>
        <w:t>הפיקדונות בבנקים בחו"ל</w:t>
      </w:r>
      <w:r w:rsidRPr="006B440B">
        <w:rPr>
          <w:rFonts w:hint="cs"/>
          <w:rtl/>
        </w:rPr>
        <w:t xml:space="preserve"> </w:t>
      </w:r>
      <w:r w:rsidR="0024440A" w:rsidRPr="006B440B">
        <w:rPr>
          <w:rFonts w:hint="cs"/>
          <w:rtl/>
        </w:rPr>
        <w:t>ירד</w:t>
      </w:r>
      <w:r w:rsidR="00513B71" w:rsidRPr="006B440B">
        <w:rPr>
          <w:rFonts w:hint="cs"/>
          <w:rtl/>
        </w:rPr>
        <w:t>ה</w:t>
      </w:r>
      <w:r w:rsidRPr="006B440B">
        <w:rPr>
          <w:rFonts w:hint="cs"/>
          <w:rtl/>
        </w:rPr>
        <w:t xml:space="preserve"> במהלך הרביע בכ-</w:t>
      </w:r>
      <w:r w:rsidR="00A36DFB">
        <w:rPr>
          <w:rFonts w:hint="cs"/>
          <w:rtl/>
        </w:rPr>
        <w:t>2</w:t>
      </w:r>
      <w:r w:rsidRPr="006B440B">
        <w:rPr>
          <w:rFonts w:hint="cs"/>
          <w:rtl/>
        </w:rPr>
        <w:t xml:space="preserve"> מיליארדים ועמדה בסופו על כ-</w:t>
      </w:r>
      <w:r w:rsidR="008A763C">
        <w:rPr>
          <w:rFonts w:hint="cs"/>
          <w:rtl/>
        </w:rPr>
        <w:t>8.6</w:t>
      </w:r>
      <w:r w:rsidRPr="006B440B">
        <w:rPr>
          <w:rFonts w:hint="cs"/>
          <w:rtl/>
        </w:rPr>
        <w:t xml:space="preserve"> מיליארדי ש"ח, </w:t>
      </w:r>
      <w:r w:rsidRPr="00274984">
        <w:rPr>
          <w:rFonts w:hint="cs"/>
          <w:rtl/>
        </w:rPr>
        <w:t xml:space="preserve">בעיקר כתוצאה </w:t>
      </w:r>
      <w:r w:rsidR="00A24556" w:rsidRPr="00274984">
        <w:rPr>
          <w:rFonts w:hint="cs"/>
          <w:rtl/>
        </w:rPr>
        <w:t>ממשיכות</w:t>
      </w:r>
      <w:r w:rsidRPr="00274984">
        <w:rPr>
          <w:rFonts w:hint="cs"/>
          <w:rtl/>
        </w:rPr>
        <w:t xml:space="preserve"> נטו.</w:t>
      </w:r>
    </w:p>
    <w:p w:rsidR="007C2B07" w:rsidRDefault="00F510AA" w:rsidP="009709E0">
      <w:pPr>
        <w:spacing w:before="240" w:after="240" w:line="360" w:lineRule="auto"/>
        <w:ind w:left="360"/>
        <w:jc w:val="both"/>
        <w:rPr>
          <w:rtl/>
        </w:rPr>
      </w:pPr>
      <w:r w:rsidRPr="00804DFA">
        <w:rPr>
          <w:rFonts w:hint="cs"/>
          <w:rtl/>
        </w:rPr>
        <w:t>כתוצאה מההתפתחויות במהלך הרביע,</w:t>
      </w:r>
      <w:r w:rsidR="00C46ABC" w:rsidRPr="00804DFA">
        <w:rPr>
          <w:rFonts w:hint="cs"/>
          <w:rtl/>
        </w:rPr>
        <w:t xml:space="preserve"> חלה </w:t>
      </w:r>
      <w:r w:rsidR="00D21053" w:rsidRPr="00804DFA">
        <w:rPr>
          <w:rFonts w:hint="cs"/>
          <w:rtl/>
        </w:rPr>
        <w:t>ירידה</w:t>
      </w:r>
      <w:r w:rsidR="00C46ABC" w:rsidRPr="00804DFA">
        <w:rPr>
          <w:rFonts w:hint="cs"/>
          <w:rtl/>
        </w:rPr>
        <w:t xml:space="preserve"> </w:t>
      </w:r>
      <w:r w:rsidR="006B440B" w:rsidRPr="00804DFA">
        <w:rPr>
          <w:rFonts w:hint="cs"/>
          <w:rtl/>
        </w:rPr>
        <w:t>של כ</w:t>
      </w:r>
      <w:r w:rsidR="00D21053" w:rsidRPr="00804DFA">
        <w:rPr>
          <w:rFonts w:hint="cs"/>
          <w:rtl/>
        </w:rPr>
        <w:t xml:space="preserve">-0.7 </w:t>
      </w:r>
      <w:r w:rsidR="001006AD" w:rsidRPr="00804DFA">
        <w:rPr>
          <w:rFonts w:hint="cs"/>
          <w:rtl/>
        </w:rPr>
        <w:t>נקודת</w:t>
      </w:r>
      <w:r w:rsidR="006B440B" w:rsidRPr="00804DFA">
        <w:rPr>
          <w:rFonts w:hint="cs"/>
          <w:rtl/>
        </w:rPr>
        <w:t xml:space="preserve"> אחוז</w:t>
      </w:r>
      <w:r w:rsidR="00D21053" w:rsidRPr="00804DFA">
        <w:rPr>
          <w:rFonts w:hint="cs"/>
          <w:rtl/>
        </w:rPr>
        <w:t>, בממוצע,</w:t>
      </w:r>
      <w:r w:rsidR="006B440B" w:rsidRPr="00804DFA">
        <w:rPr>
          <w:rFonts w:hint="cs"/>
          <w:rtl/>
        </w:rPr>
        <w:t xml:space="preserve"> הן </w:t>
      </w:r>
      <w:r w:rsidR="00C46ABC" w:rsidRPr="00804DFA">
        <w:rPr>
          <w:rFonts w:hint="cs"/>
          <w:rtl/>
        </w:rPr>
        <w:t xml:space="preserve">בשיעור הנכסים </w:t>
      </w:r>
      <w:r w:rsidR="00D21053" w:rsidRPr="00804DFA">
        <w:rPr>
          <w:rFonts w:hint="cs"/>
          <w:rtl/>
        </w:rPr>
        <w:t>הזרים</w:t>
      </w:r>
      <w:r w:rsidR="00C46ABC" w:rsidRPr="00804DFA">
        <w:rPr>
          <w:rFonts w:hint="cs"/>
          <w:rtl/>
        </w:rPr>
        <w:t xml:space="preserve"> ו</w:t>
      </w:r>
      <w:r w:rsidR="006B440B" w:rsidRPr="00804DFA">
        <w:rPr>
          <w:rFonts w:hint="cs"/>
          <w:rtl/>
        </w:rPr>
        <w:t xml:space="preserve">הן </w:t>
      </w:r>
      <w:r w:rsidR="00C46ABC" w:rsidRPr="00804DFA">
        <w:rPr>
          <w:rFonts w:hint="cs"/>
          <w:rtl/>
        </w:rPr>
        <w:t xml:space="preserve">בשיעור הנכסים </w:t>
      </w:r>
      <w:r w:rsidR="001006AD" w:rsidRPr="00804DFA">
        <w:rPr>
          <w:rFonts w:hint="cs"/>
          <w:rtl/>
        </w:rPr>
        <w:t>בסיכון</w:t>
      </w:r>
      <w:r w:rsidR="000A525E">
        <w:rPr>
          <w:rStyle w:val="a4"/>
          <w:rtl/>
        </w:rPr>
        <w:footnoteReference w:id="3"/>
      </w:r>
      <w:r w:rsidRPr="00804DFA">
        <w:rPr>
          <w:rFonts w:hint="cs"/>
          <w:rtl/>
        </w:rPr>
        <w:t xml:space="preserve"> ועמדו בסופו על כ-</w:t>
      </w:r>
      <w:r w:rsidR="00D21053" w:rsidRPr="00804DFA">
        <w:rPr>
          <w:rFonts w:hint="cs"/>
          <w:rtl/>
        </w:rPr>
        <w:t>14.3</w:t>
      </w:r>
      <w:r w:rsidR="006D3F47" w:rsidRPr="00804DFA">
        <w:rPr>
          <w:rFonts w:hint="cs"/>
          <w:rtl/>
        </w:rPr>
        <w:t xml:space="preserve"> ו-</w:t>
      </w:r>
      <w:r w:rsidR="00D21053" w:rsidRPr="00804DFA">
        <w:rPr>
          <w:rFonts w:hint="cs"/>
          <w:rtl/>
        </w:rPr>
        <w:t>42.5</w:t>
      </w:r>
      <w:r w:rsidR="006D3F47" w:rsidRPr="00804DFA">
        <w:rPr>
          <w:rFonts w:hint="cs"/>
          <w:rtl/>
        </w:rPr>
        <w:t>, בהתאמה</w:t>
      </w:r>
      <w:r w:rsidR="00C46ABC" w:rsidRPr="00804DFA">
        <w:rPr>
          <w:rFonts w:hint="cs"/>
          <w:rtl/>
        </w:rPr>
        <w:t>. זאת</w:t>
      </w:r>
      <w:r w:rsidR="008A5A5C" w:rsidRPr="00804DFA">
        <w:rPr>
          <w:rFonts w:hint="cs"/>
          <w:rtl/>
        </w:rPr>
        <w:t>, בעיקר</w:t>
      </w:r>
      <w:r w:rsidR="00C46ABC" w:rsidRPr="00804DFA">
        <w:rPr>
          <w:rFonts w:hint="cs"/>
          <w:rtl/>
        </w:rPr>
        <w:t xml:space="preserve"> כתוצאה </w:t>
      </w:r>
      <w:r w:rsidR="00D21053" w:rsidRPr="00804DFA">
        <w:rPr>
          <w:rFonts w:hint="cs"/>
          <w:rtl/>
        </w:rPr>
        <w:t>מהירידה</w:t>
      </w:r>
      <w:r w:rsidR="001006AD" w:rsidRPr="00804DFA">
        <w:rPr>
          <w:rFonts w:hint="cs"/>
          <w:rtl/>
        </w:rPr>
        <w:t xml:space="preserve"> </w:t>
      </w:r>
      <w:r w:rsidR="009709E0">
        <w:rPr>
          <w:rFonts w:hint="cs"/>
          <w:rtl/>
        </w:rPr>
        <w:t>ב</w:t>
      </w:r>
      <w:r w:rsidR="001006AD" w:rsidRPr="00804DFA">
        <w:rPr>
          <w:rFonts w:hint="cs"/>
          <w:rtl/>
        </w:rPr>
        <w:t xml:space="preserve">יתרת המניות </w:t>
      </w:r>
      <w:r w:rsidR="00D21053" w:rsidRPr="00804DFA">
        <w:rPr>
          <w:rFonts w:hint="cs"/>
          <w:rtl/>
        </w:rPr>
        <w:t xml:space="preserve">בחו"ל </w:t>
      </w:r>
      <w:r w:rsidR="001006AD" w:rsidRPr="00804DFA">
        <w:rPr>
          <w:rFonts w:hint="cs"/>
          <w:rtl/>
        </w:rPr>
        <w:t>בתיק הנכסים.</w:t>
      </w:r>
    </w:p>
    <w:p w:rsidR="00283B13" w:rsidRPr="00C739C4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DD0FA1">
        <w:rPr>
          <w:rFonts w:hint="cs"/>
          <w:rtl/>
        </w:rPr>
        <w:t xml:space="preserve">התיק המנוהל </w:t>
      </w:r>
      <w:r w:rsidR="00C46ABC">
        <w:rPr>
          <w:rFonts w:hint="cs"/>
          <w:rtl/>
        </w:rPr>
        <w:t>בידי</w:t>
      </w:r>
      <w:r w:rsidRPr="00DD0FA1">
        <w:rPr>
          <w:rFonts w:hint="cs"/>
          <w:rtl/>
        </w:rPr>
        <w:t xml:space="preserve"> המשקיעים המוסדיים</w:t>
      </w:r>
      <w:r w:rsidR="0053162E">
        <w:rPr>
          <w:rStyle w:val="a4"/>
          <w:rtl/>
        </w:rPr>
        <w:footnoteReference w:id="4"/>
      </w:r>
    </w:p>
    <w:p w:rsidR="000620EE" w:rsidRDefault="00AE49AB" w:rsidP="009709E0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b/>
          <w:bCs/>
          <w:noProof/>
          <w:rtl/>
          <w:lang w:eastAsia="en-US"/>
        </w:rPr>
        <w:drawing>
          <wp:anchor distT="0" distB="0" distL="114300" distR="114300" simplePos="0" relativeHeight="251665408" behindDoc="0" locked="0" layoutInCell="1" allowOverlap="1" wp14:anchorId="03E1109C" wp14:editId="6E835C63">
            <wp:simplePos x="0" y="0"/>
            <wp:positionH relativeFrom="column">
              <wp:align>center</wp:align>
            </wp:positionH>
            <wp:positionV relativeFrom="paragraph">
              <wp:posOffset>1247140</wp:posOffset>
            </wp:positionV>
            <wp:extent cx="5491056" cy="2199600"/>
            <wp:effectExtent l="0" t="0" r="0" b="0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056" cy="219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B07" w:rsidRPr="00342FC2">
        <w:rPr>
          <w:b/>
          <w:bCs/>
          <w:rtl/>
        </w:rPr>
        <w:t xml:space="preserve">יתרת התיק המנוהל בידי המשקיעים המוסדיים </w:t>
      </w:r>
      <w:r w:rsidR="00804DFA">
        <w:rPr>
          <w:rFonts w:hint="cs"/>
          <w:rtl/>
        </w:rPr>
        <w:t>ירדה</w:t>
      </w:r>
      <w:r w:rsidR="007C2B07" w:rsidRPr="00342FC2">
        <w:rPr>
          <w:rtl/>
        </w:rPr>
        <w:t xml:space="preserve"> ברביע </w:t>
      </w:r>
      <w:r w:rsidR="00D21053">
        <w:rPr>
          <w:rFonts w:hint="cs"/>
          <w:rtl/>
        </w:rPr>
        <w:t>הרביעי</w:t>
      </w:r>
      <w:r w:rsidR="007C2B07" w:rsidRPr="00342FC2">
        <w:rPr>
          <w:rtl/>
        </w:rPr>
        <w:t xml:space="preserve"> של שנת 2018 בכ-</w:t>
      </w:r>
      <w:r w:rsidR="00D21053">
        <w:rPr>
          <w:rFonts w:hint="cs"/>
          <w:rtl/>
        </w:rPr>
        <w:t>41.</w:t>
      </w:r>
      <w:r w:rsidR="00804DFA">
        <w:rPr>
          <w:rFonts w:hint="cs"/>
          <w:rtl/>
        </w:rPr>
        <w:t>6</w:t>
      </w:r>
      <w:r w:rsidR="007C2B07" w:rsidRPr="00342FC2">
        <w:rPr>
          <w:rtl/>
        </w:rPr>
        <w:t xml:space="preserve"> מיליארדי ש"ח </w:t>
      </w:r>
      <w:r w:rsidR="00377914" w:rsidRPr="00342FC2">
        <w:rPr>
          <w:rFonts w:hint="cs"/>
          <w:rtl/>
        </w:rPr>
        <w:t>(2.</w:t>
      </w:r>
      <w:r w:rsidR="00D21053">
        <w:rPr>
          <w:rFonts w:hint="cs"/>
          <w:rtl/>
        </w:rPr>
        <w:t>5</w:t>
      </w:r>
      <w:r w:rsidR="00377914" w:rsidRPr="00342FC2">
        <w:rPr>
          <w:rFonts w:hint="cs"/>
          <w:rtl/>
        </w:rPr>
        <w:t xml:space="preserve">%) </w:t>
      </w:r>
      <w:r w:rsidR="007C2B07" w:rsidRPr="00342FC2">
        <w:rPr>
          <w:rtl/>
        </w:rPr>
        <w:t>לרמה של כ-1.6</w:t>
      </w:r>
      <w:r w:rsidR="00804DFA">
        <w:rPr>
          <w:rFonts w:hint="cs"/>
          <w:rtl/>
        </w:rPr>
        <w:t>4</w:t>
      </w:r>
      <w:r w:rsidR="007C2B07" w:rsidRPr="00342FC2">
        <w:rPr>
          <w:rtl/>
        </w:rPr>
        <w:t xml:space="preserve"> טריליונים</w:t>
      </w:r>
      <w:r w:rsidR="007C2B07" w:rsidRPr="00342FC2">
        <w:rPr>
          <w:rFonts w:hint="cs"/>
          <w:rtl/>
        </w:rPr>
        <w:t xml:space="preserve"> (</w:t>
      </w:r>
      <w:r w:rsidR="00804DFA">
        <w:rPr>
          <w:rFonts w:hint="cs"/>
          <w:rtl/>
        </w:rPr>
        <w:t>44</w:t>
      </w:r>
      <w:r w:rsidR="009D4A0F" w:rsidRPr="00342FC2">
        <w:rPr>
          <w:rFonts w:hint="cs"/>
          <w:rtl/>
        </w:rPr>
        <w:t>.</w:t>
      </w:r>
      <w:r w:rsidR="000A525E">
        <w:rPr>
          <w:rFonts w:hint="cs"/>
          <w:rtl/>
        </w:rPr>
        <w:t>2</w:t>
      </w:r>
      <w:r w:rsidR="007C2B07" w:rsidRPr="00342FC2">
        <w:rPr>
          <w:rFonts w:hint="cs"/>
          <w:rtl/>
        </w:rPr>
        <w:t>% מסך תיק הנכסים הפיננסים של הציבור)</w:t>
      </w:r>
      <w:r w:rsidR="00377914" w:rsidRPr="00342FC2">
        <w:rPr>
          <w:rFonts w:hint="cs"/>
          <w:rtl/>
        </w:rPr>
        <w:t xml:space="preserve">. </w:t>
      </w:r>
      <w:r w:rsidR="000620EE">
        <w:rPr>
          <w:rFonts w:hint="cs"/>
          <w:rtl/>
        </w:rPr>
        <w:t>הירידה</w:t>
      </w:r>
      <w:r w:rsidR="007C2B07" w:rsidRPr="00342FC2">
        <w:rPr>
          <w:rtl/>
        </w:rPr>
        <w:t xml:space="preserve"> ביתרת התיק נבעה </w:t>
      </w:r>
      <w:r w:rsidR="000620EE">
        <w:rPr>
          <w:rFonts w:hint="cs"/>
          <w:rtl/>
        </w:rPr>
        <w:t>מירידה</w:t>
      </w:r>
      <w:r w:rsidR="007C2B07" w:rsidRPr="00342FC2">
        <w:rPr>
          <w:rtl/>
        </w:rPr>
        <w:t xml:space="preserve"> </w:t>
      </w:r>
      <w:r w:rsidR="000620EE">
        <w:rPr>
          <w:rFonts w:hint="cs"/>
          <w:rtl/>
        </w:rPr>
        <w:t xml:space="preserve">בכל </w:t>
      </w:r>
      <w:r w:rsidR="000A525E">
        <w:rPr>
          <w:rFonts w:hint="cs"/>
          <w:rtl/>
        </w:rPr>
        <w:t>המכשירים המוחזקים בידי הציבור</w:t>
      </w:r>
      <w:r w:rsidR="000620EE">
        <w:rPr>
          <w:rFonts w:hint="cs"/>
          <w:rtl/>
        </w:rPr>
        <w:t xml:space="preserve">. אך בעיקר מירידה </w:t>
      </w:r>
      <w:r w:rsidR="00900B16" w:rsidRPr="00342FC2">
        <w:rPr>
          <w:rFonts w:hint="cs"/>
          <w:rtl/>
        </w:rPr>
        <w:t xml:space="preserve">ביתרת </w:t>
      </w:r>
      <w:r w:rsidR="000620EE" w:rsidRPr="00342FC2">
        <w:rPr>
          <w:rFonts w:hint="cs"/>
          <w:rtl/>
        </w:rPr>
        <w:t>ההחזקה באג"ח הממשלתיות והמק"מ (</w:t>
      </w:r>
      <w:r w:rsidR="000620EE">
        <w:rPr>
          <w:rFonts w:hint="cs"/>
          <w:rtl/>
        </w:rPr>
        <w:t>17</w:t>
      </w:r>
      <w:r w:rsidR="000620EE" w:rsidRPr="00342FC2">
        <w:rPr>
          <w:rFonts w:hint="cs"/>
          <w:rtl/>
        </w:rPr>
        <w:t xml:space="preserve">.7 מיליארדים, </w:t>
      </w:r>
      <w:r w:rsidR="000620EE">
        <w:rPr>
          <w:rFonts w:hint="cs"/>
          <w:rtl/>
        </w:rPr>
        <w:t>2.6</w:t>
      </w:r>
      <w:r w:rsidR="000620EE" w:rsidRPr="00342FC2">
        <w:rPr>
          <w:rFonts w:hint="cs"/>
          <w:rtl/>
        </w:rPr>
        <w:t>%</w:t>
      </w:r>
      <w:r w:rsidR="000620EE">
        <w:rPr>
          <w:rFonts w:hint="cs"/>
          <w:rtl/>
        </w:rPr>
        <w:t>-</w:t>
      </w:r>
      <w:r w:rsidR="000620EE" w:rsidRPr="00342FC2">
        <w:rPr>
          <w:rFonts w:hint="cs"/>
          <w:rtl/>
        </w:rPr>
        <w:t>)</w:t>
      </w:r>
      <w:r w:rsidR="000620EE">
        <w:rPr>
          <w:rFonts w:hint="cs"/>
          <w:rtl/>
        </w:rPr>
        <w:t>,</w:t>
      </w:r>
      <w:r w:rsidR="000620EE" w:rsidRPr="000620EE">
        <w:rPr>
          <w:rFonts w:hint="cs"/>
          <w:rtl/>
        </w:rPr>
        <w:t xml:space="preserve"> </w:t>
      </w:r>
      <w:r w:rsidR="000620EE" w:rsidRPr="00342FC2">
        <w:rPr>
          <w:rFonts w:hint="cs"/>
          <w:rtl/>
        </w:rPr>
        <w:t>המניות בארץ (</w:t>
      </w:r>
      <w:r w:rsidR="00592C9A">
        <w:rPr>
          <w:rFonts w:hint="cs"/>
          <w:rtl/>
        </w:rPr>
        <w:t>10.7</w:t>
      </w:r>
      <w:r w:rsidR="000620EE" w:rsidRPr="00342FC2">
        <w:rPr>
          <w:rFonts w:hint="cs"/>
          <w:rtl/>
        </w:rPr>
        <w:t xml:space="preserve"> מיליארדים, </w:t>
      </w:r>
      <w:r w:rsidR="00592C9A">
        <w:rPr>
          <w:rFonts w:hint="cs"/>
          <w:rtl/>
        </w:rPr>
        <w:t>7.5</w:t>
      </w:r>
      <w:r w:rsidR="000620EE" w:rsidRPr="00342FC2">
        <w:rPr>
          <w:rFonts w:hint="cs"/>
          <w:rtl/>
        </w:rPr>
        <w:t>%</w:t>
      </w:r>
      <w:r w:rsidR="000620EE">
        <w:rPr>
          <w:rFonts w:hint="cs"/>
          <w:rtl/>
        </w:rPr>
        <w:t>-</w:t>
      </w:r>
      <w:r w:rsidR="000620EE" w:rsidRPr="00342FC2">
        <w:rPr>
          <w:rFonts w:hint="cs"/>
          <w:rtl/>
        </w:rPr>
        <w:t>)</w:t>
      </w:r>
      <w:r w:rsidR="000620EE">
        <w:rPr>
          <w:rFonts w:hint="cs"/>
          <w:rtl/>
        </w:rPr>
        <w:t xml:space="preserve"> וההשקעות בחו"ל </w:t>
      </w:r>
      <w:r w:rsidR="000620EE" w:rsidRPr="00342FC2">
        <w:rPr>
          <w:rFonts w:hint="cs"/>
          <w:rtl/>
        </w:rPr>
        <w:t>(</w:t>
      </w:r>
      <w:r w:rsidR="000620EE">
        <w:rPr>
          <w:rFonts w:hint="cs"/>
          <w:rtl/>
        </w:rPr>
        <w:t>5.4</w:t>
      </w:r>
      <w:r w:rsidR="000620EE" w:rsidRPr="00342FC2">
        <w:rPr>
          <w:rFonts w:hint="cs"/>
          <w:rtl/>
        </w:rPr>
        <w:t xml:space="preserve"> מיליארדים, </w:t>
      </w:r>
      <w:r w:rsidR="000620EE">
        <w:rPr>
          <w:rFonts w:hint="cs"/>
          <w:rtl/>
        </w:rPr>
        <w:t>1.5</w:t>
      </w:r>
      <w:r w:rsidR="000620EE" w:rsidRPr="00342FC2">
        <w:rPr>
          <w:rFonts w:hint="cs"/>
          <w:rtl/>
        </w:rPr>
        <w:t>%</w:t>
      </w:r>
      <w:r w:rsidR="000620EE">
        <w:rPr>
          <w:rFonts w:hint="cs"/>
          <w:rtl/>
        </w:rPr>
        <w:t>-</w:t>
      </w:r>
      <w:r w:rsidR="000620EE" w:rsidRPr="00342FC2">
        <w:rPr>
          <w:rFonts w:hint="cs"/>
          <w:rtl/>
        </w:rPr>
        <w:t>)</w:t>
      </w:r>
      <w:r w:rsidR="000620EE">
        <w:rPr>
          <w:rFonts w:hint="cs"/>
          <w:rtl/>
        </w:rPr>
        <w:t>.</w:t>
      </w:r>
    </w:p>
    <w:p w:rsidR="00AE49AB" w:rsidRDefault="00AE49AB" w:rsidP="009709E0">
      <w:pPr>
        <w:spacing w:before="240" w:line="360" w:lineRule="auto"/>
        <w:ind w:left="390"/>
        <w:jc w:val="both"/>
        <w:rPr>
          <w:b/>
          <w:bCs/>
          <w:rtl/>
        </w:rPr>
      </w:pPr>
    </w:p>
    <w:p w:rsidR="00AE49AB" w:rsidRDefault="00AE49AB" w:rsidP="009709E0">
      <w:pPr>
        <w:spacing w:before="240" w:line="360" w:lineRule="auto"/>
        <w:ind w:left="390"/>
        <w:jc w:val="both"/>
        <w:rPr>
          <w:b/>
          <w:bCs/>
          <w:rtl/>
        </w:rPr>
      </w:pPr>
    </w:p>
    <w:p w:rsidR="00AE49AB" w:rsidRDefault="00AE49AB" w:rsidP="009709E0">
      <w:pPr>
        <w:spacing w:before="240" w:line="360" w:lineRule="auto"/>
        <w:ind w:left="390"/>
        <w:jc w:val="both"/>
        <w:rPr>
          <w:b/>
          <w:bCs/>
          <w:rtl/>
        </w:rPr>
      </w:pPr>
    </w:p>
    <w:p w:rsidR="00AE49AB" w:rsidRDefault="00AE49AB" w:rsidP="009709E0">
      <w:pPr>
        <w:spacing w:before="240" w:line="360" w:lineRule="auto"/>
        <w:ind w:left="390"/>
        <w:jc w:val="both"/>
        <w:rPr>
          <w:b/>
          <w:bCs/>
          <w:rtl/>
        </w:rPr>
      </w:pPr>
    </w:p>
    <w:p w:rsidR="00AE49AB" w:rsidRDefault="00AE49AB" w:rsidP="009709E0">
      <w:pPr>
        <w:spacing w:before="240" w:line="360" w:lineRule="auto"/>
        <w:ind w:left="390"/>
        <w:jc w:val="both"/>
        <w:rPr>
          <w:b/>
          <w:bCs/>
          <w:rtl/>
        </w:rPr>
      </w:pPr>
    </w:p>
    <w:p w:rsidR="00AE49AB" w:rsidRDefault="00AE49AB" w:rsidP="009709E0">
      <w:pPr>
        <w:spacing w:before="240" w:line="360" w:lineRule="auto"/>
        <w:ind w:left="390"/>
        <w:jc w:val="both"/>
        <w:rPr>
          <w:b/>
          <w:bCs/>
          <w:rtl/>
        </w:rPr>
      </w:pPr>
    </w:p>
    <w:p w:rsidR="00AE49AB" w:rsidRDefault="00AE49AB" w:rsidP="009709E0">
      <w:pPr>
        <w:spacing w:before="240" w:line="360" w:lineRule="auto"/>
        <w:ind w:left="390"/>
        <w:jc w:val="both"/>
        <w:rPr>
          <w:b/>
          <w:bCs/>
          <w:rtl/>
        </w:rPr>
      </w:pPr>
    </w:p>
    <w:p w:rsidR="007C2B07" w:rsidRPr="007C2B07" w:rsidRDefault="007C2B07" w:rsidP="009709E0">
      <w:pPr>
        <w:spacing w:before="240" w:line="360" w:lineRule="auto"/>
        <w:ind w:left="390"/>
        <w:jc w:val="both"/>
        <w:rPr>
          <w:rtl/>
        </w:rPr>
      </w:pPr>
      <w:r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4"/>
          <w:b/>
          <w:bCs/>
          <w:rtl/>
        </w:rPr>
        <w:footnoteReference w:id="5"/>
      </w:r>
      <w:r>
        <w:rPr>
          <w:rFonts w:hint="cs"/>
          <w:b/>
          <w:bCs/>
          <w:rtl/>
        </w:rPr>
        <w:t xml:space="preserve"> לנכסים זרים ולייסוף השקל מול מט"ח </w:t>
      </w:r>
      <w:r w:rsidR="00620D7A">
        <w:rPr>
          <w:rFonts w:hint="cs"/>
          <w:b/>
          <w:bCs/>
          <w:rtl/>
        </w:rPr>
        <w:t>-</w:t>
      </w:r>
      <w:r w:rsidR="000A525E">
        <w:rPr>
          <w:rFonts w:hint="cs"/>
          <w:b/>
          <w:bCs/>
          <w:rtl/>
        </w:rPr>
        <w:t xml:space="preserve"> </w:t>
      </w:r>
      <w:r>
        <w:rPr>
          <w:rtl/>
        </w:rPr>
        <w:t xml:space="preserve">ברביע </w:t>
      </w:r>
      <w:r w:rsidR="00847D19">
        <w:rPr>
          <w:rFonts w:hint="cs"/>
          <w:rtl/>
        </w:rPr>
        <w:t>הרביעי</w:t>
      </w:r>
      <w:r>
        <w:rPr>
          <w:rtl/>
        </w:rPr>
        <w:t xml:space="preserve"> </w:t>
      </w:r>
      <w:r w:rsidRPr="007C2B07">
        <w:rPr>
          <w:rtl/>
        </w:rPr>
        <w:t xml:space="preserve">של שנת </w:t>
      </w:r>
      <w:r w:rsidRPr="007C2B07">
        <w:rPr>
          <w:rFonts w:hint="cs"/>
          <w:rtl/>
        </w:rPr>
        <w:t>2018</w:t>
      </w:r>
      <w:r w:rsidRPr="007C2B07">
        <w:rPr>
          <w:rtl/>
        </w:rPr>
        <w:t xml:space="preserve"> </w:t>
      </w:r>
      <w:r w:rsidRPr="007C2B07">
        <w:rPr>
          <w:b/>
          <w:bCs/>
          <w:rtl/>
        </w:rPr>
        <w:t>שיעור החשיפה של המשקיעים המוסדיים לנכסים זרים</w:t>
      </w:r>
      <w:r w:rsidRPr="007C2B07">
        <w:rPr>
          <w:rtl/>
        </w:rPr>
        <w:t xml:space="preserve"> עלה בכ-</w:t>
      </w:r>
      <w:r w:rsidR="00847D19">
        <w:rPr>
          <w:rFonts w:hint="cs"/>
          <w:rtl/>
        </w:rPr>
        <w:t>0.5</w:t>
      </w:r>
      <w:r w:rsidRPr="007C2B07">
        <w:rPr>
          <w:rtl/>
        </w:rPr>
        <w:t xml:space="preserve"> נקודות אחוז לרמה של כ-</w:t>
      </w:r>
      <w:r w:rsidR="001B7370">
        <w:rPr>
          <w:rFonts w:hint="cs"/>
          <w:rtl/>
        </w:rPr>
        <w:t>28</w:t>
      </w:r>
      <w:r w:rsidRPr="007C2B07">
        <w:rPr>
          <w:rtl/>
        </w:rPr>
        <w:t>.</w:t>
      </w:r>
      <w:r w:rsidR="00847D19">
        <w:rPr>
          <w:rFonts w:hint="cs"/>
          <w:rtl/>
        </w:rPr>
        <w:t>6</w:t>
      </w:r>
      <w:r w:rsidRPr="007C2B07">
        <w:rPr>
          <w:rtl/>
        </w:rPr>
        <w:t>% מהתיק.</w:t>
      </w:r>
      <w:r w:rsidRPr="007C2B07">
        <w:rPr>
          <w:rFonts w:hint="cs"/>
          <w:rtl/>
        </w:rPr>
        <w:t xml:space="preserve"> </w:t>
      </w:r>
      <w:r w:rsidR="001F2235" w:rsidRPr="00AE49AB">
        <w:rPr>
          <w:rFonts w:hint="cs"/>
          <w:rtl/>
        </w:rPr>
        <w:t>זאת כתוצאה מירידה גדולה יותר בסך נכסי ההשקעה מאשר בסך הנכסים הזרים</w:t>
      </w:r>
      <w:r w:rsidR="00AE49AB" w:rsidRPr="00AE49AB">
        <w:rPr>
          <w:rFonts w:hint="cs"/>
          <w:rtl/>
        </w:rPr>
        <w:t>, אשר ירדו בעיקר כתוצאה מירידת המחירים</w:t>
      </w:r>
      <w:r w:rsidR="001F2235" w:rsidRPr="00AE49AB">
        <w:rPr>
          <w:rFonts w:hint="cs"/>
          <w:rtl/>
        </w:rPr>
        <w:t>.</w:t>
      </w:r>
      <w:r w:rsidR="001F2235">
        <w:rPr>
          <w:rFonts w:hint="cs"/>
          <w:rtl/>
        </w:rPr>
        <w:t xml:space="preserve"> </w:t>
      </w:r>
      <w:r w:rsidR="00432AAF">
        <w:rPr>
          <w:rFonts w:hint="cs"/>
          <w:rtl/>
        </w:rPr>
        <w:t>העלייה התרחשה אצל מרבית הגופים, כאשר</w:t>
      </w:r>
      <w:r w:rsidRPr="00EE7382">
        <w:rPr>
          <w:rtl/>
        </w:rPr>
        <w:t xml:space="preserve"> </w:t>
      </w:r>
      <w:r w:rsidR="00432AAF">
        <w:rPr>
          <w:rFonts w:hint="cs"/>
          <w:rtl/>
        </w:rPr>
        <w:t>העלייה המשמעותית ביותר</w:t>
      </w:r>
      <w:r w:rsidRPr="00EE7382">
        <w:rPr>
          <w:rtl/>
        </w:rPr>
        <w:t xml:space="preserve"> </w:t>
      </w:r>
      <w:r w:rsidR="00432AAF">
        <w:rPr>
          <w:rFonts w:hint="cs"/>
          <w:rtl/>
        </w:rPr>
        <w:t>התרחשה אצל קופות הגמל וקרנות ההשתלמות שהגדילו</w:t>
      </w:r>
      <w:r w:rsidRPr="007C2B07">
        <w:rPr>
          <w:rtl/>
        </w:rPr>
        <w:t xml:space="preserve"> את היקף חשיפתן לנכסים זרים בכ-</w:t>
      </w:r>
      <w:r w:rsidR="00432AAF">
        <w:rPr>
          <w:rFonts w:hint="cs"/>
          <w:rtl/>
        </w:rPr>
        <w:t>0.9</w:t>
      </w:r>
      <w:r w:rsidRPr="007C2B07">
        <w:rPr>
          <w:rtl/>
        </w:rPr>
        <w:t xml:space="preserve"> נקודות אחוז עד לרמה של כ-</w:t>
      </w:r>
      <w:r w:rsidR="00432AAF">
        <w:rPr>
          <w:rFonts w:hint="cs"/>
          <w:rtl/>
        </w:rPr>
        <w:t>30.2</w:t>
      </w:r>
      <w:r w:rsidRPr="007C2B07">
        <w:rPr>
          <w:rtl/>
        </w:rPr>
        <w:t xml:space="preserve">%. </w:t>
      </w:r>
    </w:p>
    <w:p w:rsidR="000430C8" w:rsidRPr="00C739C4" w:rsidRDefault="007C2B07" w:rsidP="009709E0">
      <w:pPr>
        <w:spacing w:before="240" w:line="360" w:lineRule="auto"/>
        <w:ind w:left="390"/>
        <w:jc w:val="both"/>
        <w:outlineLvl w:val="0"/>
        <w:rPr>
          <w:rtl/>
        </w:rPr>
      </w:pPr>
      <w:r w:rsidRPr="007C2B07">
        <w:rPr>
          <w:rtl/>
        </w:rPr>
        <w:t xml:space="preserve">ברביע </w:t>
      </w:r>
      <w:r w:rsidR="00432AAF">
        <w:rPr>
          <w:rFonts w:hint="cs"/>
          <w:rtl/>
        </w:rPr>
        <w:t>הרביעי</w:t>
      </w:r>
      <w:r w:rsidRPr="007C2B07">
        <w:rPr>
          <w:rtl/>
        </w:rPr>
        <w:t xml:space="preserve"> של השנה </w:t>
      </w:r>
      <w:r w:rsidR="00432AAF">
        <w:rPr>
          <w:rFonts w:hint="cs"/>
          <w:rtl/>
        </w:rPr>
        <w:t>ירד</w:t>
      </w:r>
      <w:r w:rsidRPr="007C2B07">
        <w:rPr>
          <w:rtl/>
        </w:rPr>
        <w:t xml:space="preserve"> </w:t>
      </w:r>
      <w:r w:rsidRPr="007C2B07">
        <w:rPr>
          <w:b/>
          <w:bCs/>
          <w:rtl/>
        </w:rPr>
        <w:t>שיעור החשיפה למט"ח (כולל נגזרי ש"ח/מט"ח)</w:t>
      </w:r>
      <w:r w:rsidRPr="007C2B07">
        <w:rPr>
          <w:rtl/>
        </w:rPr>
        <w:t xml:space="preserve"> ב</w:t>
      </w:r>
      <w:r w:rsidR="00EE7382">
        <w:rPr>
          <w:rFonts w:hint="cs"/>
          <w:rtl/>
        </w:rPr>
        <w:t>כ-0.</w:t>
      </w:r>
      <w:r w:rsidR="00432AAF">
        <w:rPr>
          <w:rFonts w:hint="cs"/>
          <w:rtl/>
        </w:rPr>
        <w:t>4</w:t>
      </w:r>
      <w:r w:rsidR="00EE7382">
        <w:rPr>
          <w:rFonts w:hint="cs"/>
          <w:rtl/>
        </w:rPr>
        <w:t xml:space="preserve"> </w:t>
      </w:r>
      <w:r w:rsidRPr="007C2B07">
        <w:rPr>
          <w:rtl/>
        </w:rPr>
        <w:t>נקודת אחוז לרמה של כ-</w:t>
      </w:r>
      <w:r w:rsidR="00EE7382">
        <w:rPr>
          <w:rFonts w:hint="cs"/>
          <w:rtl/>
        </w:rPr>
        <w:t>17.</w:t>
      </w:r>
      <w:r w:rsidR="00432AAF">
        <w:rPr>
          <w:rFonts w:hint="cs"/>
          <w:rtl/>
        </w:rPr>
        <w:t>2</w:t>
      </w:r>
      <w:r w:rsidRPr="007C2B07">
        <w:rPr>
          <w:rtl/>
        </w:rPr>
        <w:t xml:space="preserve">%; </w:t>
      </w:r>
      <w:r w:rsidR="00432AAF">
        <w:rPr>
          <w:rFonts w:hint="cs"/>
          <w:rtl/>
        </w:rPr>
        <w:t>הירידה</w:t>
      </w:r>
      <w:r w:rsidRPr="007C2B07">
        <w:rPr>
          <w:rtl/>
        </w:rPr>
        <w:t xml:space="preserve"> ביתרת החשיפה נבעה </w:t>
      </w:r>
      <w:r w:rsidR="00060438">
        <w:rPr>
          <w:rFonts w:hint="cs"/>
          <w:rtl/>
        </w:rPr>
        <w:t xml:space="preserve">בעיקר </w:t>
      </w:r>
      <w:r w:rsidR="00592C9A">
        <w:rPr>
          <w:rFonts w:hint="cs"/>
          <w:rtl/>
        </w:rPr>
        <w:t>מירידה</w:t>
      </w:r>
      <w:r w:rsidR="00592C9A" w:rsidRPr="007C2B07">
        <w:rPr>
          <w:rtl/>
        </w:rPr>
        <w:t xml:space="preserve"> במחירי </w:t>
      </w:r>
      <w:r w:rsidR="00592C9A">
        <w:rPr>
          <w:rFonts w:hint="cs"/>
          <w:rtl/>
        </w:rPr>
        <w:t>המניות</w:t>
      </w:r>
      <w:r w:rsidR="00592C9A" w:rsidRPr="007C2B07">
        <w:rPr>
          <w:rtl/>
        </w:rPr>
        <w:t xml:space="preserve"> בשוקי חו"ל</w:t>
      </w:r>
      <w:r w:rsidR="00060438">
        <w:rPr>
          <w:rFonts w:hint="cs"/>
          <w:rtl/>
        </w:rPr>
        <w:t>. כמו כן,</w:t>
      </w:r>
      <w:r w:rsidR="00592C9A" w:rsidRPr="00E82168">
        <w:rPr>
          <w:rFonts w:hint="cs"/>
          <w:rtl/>
        </w:rPr>
        <w:t xml:space="preserve"> </w:t>
      </w:r>
      <w:r w:rsidR="00060438">
        <w:rPr>
          <w:rFonts w:hint="cs"/>
          <w:rtl/>
        </w:rPr>
        <w:t>הגופים המוסדיים השקיעו</w:t>
      </w:r>
      <w:r w:rsidRPr="007C2B07">
        <w:t xml:space="preserve"> </w:t>
      </w:r>
      <w:r w:rsidRPr="007C2B07">
        <w:rPr>
          <w:rFonts w:hint="cs"/>
          <w:rtl/>
        </w:rPr>
        <w:lastRenderedPageBreak/>
        <w:t>נטו כ-</w:t>
      </w:r>
      <w:r w:rsidR="00432AAF">
        <w:rPr>
          <w:rFonts w:hint="cs"/>
          <w:rtl/>
        </w:rPr>
        <w:t>5</w:t>
      </w:r>
      <w:r w:rsidRPr="007C2B07">
        <w:rPr>
          <w:rFonts w:hint="cs"/>
          <w:rtl/>
        </w:rPr>
        <w:t xml:space="preserve"> מיליארדי דולר</w:t>
      </w:r>
      <w:r w:rsidRPr="007C2B07">
        <w:rPr>
          <w:rtl/>
        </w:rPr>
        <w:t xml:space="preserve"> בנכסים נקובים וצמודים למט"ח</w:t>
      </w:r>
      <w:r w:rsidRPr="007C2B07">
        <w:rPr>
          <w:rFonts w:hint="cs"/>
          <w:rtl/>
        </w:rPr>
        <w:t xml:space="preserve"> (בעיקר</w:t>
      </w:r>
      <w:r w:rsidR="00E014CE">
        <w:rPr>
          <w:rFonts w:hint="cs"/>
          <w:rtl/>
        </w:rPr>
        <w:t xml:space="preserve"> </w:t>
      </w:r>
      <w:r w:rsidRPr="007C2B07">
        <w:rPr>
          <w:rFonts w:hint="cs"/>
          <w:rtl/>
        </w:rPr>
        <w:t xml:space="preserve">מניות </w:t>
      </w:r>
      <w:r w:rsidR="00E014CE">
        <w:rPr>
          <w:rFonts w:hint="cs"/>
          <w:rtl/>
        </w:rPr>
        <w:t>ו</w:t>
      </w:r>
      <w:r w:rsidR="00E014CE" w:rsidRPr="007C2B07">
        <w:rPr>
          <w:rFonts w:hint="cs"/>
          <w:rtl/>
        </w:rPr>
        <w:t>קרנות השקעה בחו"ל</w:t>
      </w:r>
      <w:r w:rsidRPr="007C2B07">
        <w:rPr>
          <w:rFonts w:hint="cs"/>
          <w:rtl/>
        </w:rPr>
        <w:t>)</w:t>
      </w:r>
      <w:r w:rsidR="00B2245B">
        <w:rPr>
          <w:rFonts w:hint="cs"/>
          <w:rtl/>
        </w:rPr>
        <w:t>, במקביל לעלייה</w:t>
      </w:r>
      <w:r w:rsidRPr="007C2B07">
        <w:rPr>
          <w:rtl/>
        </w:rPr>
        <w:t xml:space="preserve"> </w:t>
      </w:r>
      <w:r w:rsidR="00B2245B">
        <w:rPr>
          <w:rFonts w:hint="cs"/>
          <w:rtl/>
        </w:rPr>
        <w:t>ב</w:t>
      </w:r>
      <w:r w:rsidR="00E014CE">
        <w:rPr>
          <w:rFonts w:hint="cs"/>
          <w:rtl/>
        </w:rPr>
        <w:t xml:space="preserve">יתרת </w:t>
      </w:r>
      <w:r w:rsidRPr="007C2B07">
        <w:rPr>
          <w:rFonts w:hint="cs"/>
          <w:rtl/>
        </w:rPr>
        <w:t>העסקאות העתידיות למכירת מט"ח נטו באמצעות מכשי</w:t>
      </w:r>
      <w:r>
        <w:rPr>
          <w:rFonts w:hint="cs"/>
          <w:rtl/>
        </w:rPr>
        <w:t xml:space="preserve">רים פיננסים נגזרים </w:t>
      </w:r>
      <w:r w:rsidR="00B2245B">
        <w:rPr>
          <w:rFonts w:hint="cs"/>
          <w:rtl/>
        </w:rPr>
        <w:t xml:space="preserve">של </w:t>
      </w:r>
      <w:r w:rsidR="00E82168">
        <w:rPr>
          <w:rFonts w:hint="cs"/>
          <w:rtl/>
        </w:rPr>
        <w:t>כמיליארד דולרים</w:t>
      </w:r>
      <w:r w:rsidR="00060438">
        <w:rPr>
          <w:rFonts w:hint="cs"/>
          <w:rtl/>
        </w:rPr>
        <w:t>.</w:t>
      </w:r>
      <w:r w:rsidR="00E82168">
        <w:rPr>
          <w:rFonts w:hint="cs"/>
          <w:rtl/>
        </w:rPr>
        <w:t xml:space="preserve"> </w:t>
      </w:r>
    </w:p>
    <w:p w:rsidR="0033163E" w:rsidRPr="00C739C4" w:rsidRDefault="00C1444A" w:rsidP="0033163E">
      <w:pPr>
        <w:spacing w:before="240" w:line="360" w:lineRule="auto"/>
        <w:jc w:val="both"/>
        <w:rPr>
          <w:b/>
          <w:bCs/>
        </w:rPr>
      </w:pPr>
      <w:r>
        <w:rPr>
          <w:noProof/>
          <w:lang w:eastAsia="en-US"/>
        </w:rPr>
        <w:drawing>
          <wp:inline distT="0" distB="0" distL="0" distR="0" wp14:anchorId="206AE644" wp14:editId="6FF9E82B">
            <wp:extent cx="2896738" cy="2313830"/>
            <wp:effectExtent l="0" t="0" r="0" b="0"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9933" cy="231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33BE">
        <w:rPr>
          <w:rFonts w:hint="cs"/>
          <w:b/>
          <w:bCs/>
          <w:rtl/>
        </w:rPr>
        <w:t xml:space="preserve"> </w:t>
      </w:r>
      <w:r>
        <w:rPr>
          <w:b/>
          <w:bCs/>
          <w:noProof/>
          <w:lang w:eastAsia="en-US"/>
        </w:rPr>
        <w:drawing>
          <wp:inline distT="0" distB="0" distL="0" distR="0" wp14:anchorId="10AE7753" wp14:editId="7443E493">
            <wp:extent cx="2878372" cy="2316974"/>
            <wp:effectExtent l="0" t="0" r="0" b="762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132" cy="2317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C15" w:rsidRPr="002E1C15" w:rsidRDefault="009B2E23" w:rsidP="009709E0">
      <w:pPr>
        <w:pStyle w:val="1"/>
        <w:numPr>
          <w:ilvl w:val="0"/>
          <w:numId w:val="18"/>
        </w:numPr>
        <w:spacing w:before="240"/>
        <w:rPr>
          <w:rtl/>
        </w:rPr>
      </w:pPr>
      <w:r>
        <w:rPr>
          <w:rFonts w:hint="cs"/>
          <w:rtl/>
        </w:rPr>
        <w:t xml:space="preserve">התיק המנוהל באמצעות </w:t>
      </w:r>
      <w:r w:rsidR="0094399B" w:rsidRPr="009530C6">
        <w:rPr>
          <w:rFonts w:hint="cs"/>
          <w:rtl/>
        </w:rPr>
        <w:t xml:space="preserve">קרנות </w:t>
      </w:r>
      <w:r w:rsidR="0027681B" w:rsidRPr="009530C6">
        <w:rPr>
          <w:rFonts w:hint="cs"/>
          <w:rtl/>
        </w:rPr>
        <w:t>ה</w:t>
      </w:r>
      <w:r w:rsidR="0094399B" w:rsidRPr="009530C6">
        <w:rPr>
          <w:rFonts w:hint="cs"/>
          <w:rtl/>
        </w:rPr>
        <w:t>נאמנות</w:t>
      </w:r>
    </w:p>
    <w:p w:rsidR="00377914" w:rsidRDefault="0012692B" w:rsidP="009709E0">
      <w:pPr>
        <w:spacing w:before="240" w:line="360" w:lineRule="auto"/>
        <w:ind w:left="360"/>
        <w:jc w:val="both"/>
        <w:rPr>
          <w:rtl/>
        </w:rPr>
      </w:pPr>
      <w:r w:rsidRPr="0012692B">
        <w:rPr>
          <w:rtl/>
        </w:rPr>
        <w:t>היקף התיק המנוהל באמצעות קרנות נאמנות</w:t>
      </w:r>
      <w:r w:rsidR="004D33BB">
        <w:rPr>
          <w:rFonts w:hint="cs"/>
          <w:rtl/>
        </w:rPr>
        <w:t xml:space="preserve"> (ללא קרנות סל)</w:t>
      </w:r>
      <w:r w:rsidRPr="0012692B">
        <w:rPr>
          <w:rtl/>
        </w:rPr>
        <w:t xml:space="preserve"> </w:t>
      </w:r>
      <w:r w:rsidR="007C2B07">
        <w:rPr>
          <w:rFonts w:hint="cs"/>
          <w:rtl/>
        </w:rPr>
        <w:t>בארץ</w:t>
      </w:r>
      <w:r w:rsidR="00543423">
        <w:rPr>
          <w:rFonts w:hint="cs"/>
          <w:rtl/>
        </w:rPr>
        <w:t xml:space="preserve"> </w:t>
      </w:r>
      <w:r w:rsidR="00FE595A">
        <w:rPr>
          <w:rFonts w:hint="cs"/>
          <w:rtl/>
        </w:rPr>
        <w:t>ירד</w:t>
      </w:r>
      <w:r w:rsidR="00543423">
        <w:rPr>
          <w:rFonts w:hint="cs"/>
          <w:rtl/>
        </w:rPr>
        <w:t xml:space="preserve"> ברביע ה</w:t>
      </w:r>
      <w:r w:rsidR="00FE595A">
        <w:rPr>
          <w:rFonts w:hint="cs"/>
          <w:rtl/>
        </w:rPr>
        <w:t>רביע</w:t>
      </w:r>
      <w:r w:rsidR="00543423">
        <w:rPr>
          <w:rFonts w:hint="cs"/>
          <w:rtl/>
        </w:rPr>
        <w:t xml:space="preserve">י </w:t>
      </w:r>
      <w:r w:rsidR="00377914">
        <w:rPr>
          <w:rFonts w:hint="cs"/>
          <w:rtl/>
        </w:rPr>
        <w:t xml:space="preserve">של השנה </w:t>
      </w:r>
      <w:r w:rsidR="00543423">
        <w:rPr>
          <w:rFonts w:hint="cs"/>
          <w:rtl/>
        </w:rPr>
        <w:t>בכ-</w:t>
      </w:r>
      <w:r w:rsidR="00FE595A" w:rsidRPr="00CB6699">
        <w:rPr>
          <w:rFonts w:hint="cs"/>
          <w:rtl/>
        </w:rPr>
        <w:t>23</w:t>
      </w:r>
      <w:r w:rsidR="006E3BA6" w:rsidRPr="00CB6699">
        <w:rPr>
          <w:rFonts w:hint="cs"/>
          <w:rtl/>
        </w:rPr>
        <w:t>.</w:t>
      </w:r>
      <w:r w:rsidR="00FE595A">
        <w:rPr>
          <w:rFonts w:hint="cs"/>
          <w:rtl/>
        </w:rPr>
        <w:t>6</w:t>
      </w:r>
      <w:r w:rsidR="006E3BA6">
        <w:rPr>
          <w:rFonts w:hint="cs"/>
          <w:rtl/>
        </w:rPr>
        <w:t xml:space="preserve"> מיליארדי ש"ח </w:t>
      </w:r>
      <w:r w:rsidR="00CB6699">
        <w:rPr>
          <w:rFonts w:hint="cs"/>
          <w:rtl/>
        </w:rPr>
        <w:t>(10%-)</w:t>
      </w:r>
      <w:r w:rsidR="006E3BA6">
        <w:rPr>
          <w:rFonts w:hint="cs"/>
          <w:rtl/>
        </w:rPr>
        <w:t xml:space="preserve"> </w:t>
      </w:r>
      <w:r w:rsidR="00E77E06">
        <w:rPr>
          <w:rFonts w:hint="cs"/>
          <w:rtl/>
        </w:rPr>
        <w:t>ו</w:t>
      </w:r>
      <w:r w:rsidRPr="0012692B">
        <w:rPr>
          <w:rtl/>
        </w:rPr>
        <w:t xml:space="preserve">עמד </w:t>
      </w:r>
      <w:r w:rsidR="006D3437">
        <w:rPr>
          <w:rFonts w:hint="cs"/>
          <w:rtl/>
        </w:rPr>
        <w:t>בסופו</w:t>
      </w:r>
      <w:r w:rsidRPr="0012692B">
        <w:rPr>
          <w:rtl/>
        </w:rPr>
        <w:t xml:space="preserve"> על כ-</w:t>
      </w:r>
      <w:r w:rsidR="00CB6699">
        <w:rPr>
          <w:rFonts w:hint="cs"/>
          <w:rtl/>
        </w:rPr>
        <w:t>219.9</w:t>
      </w:r>
      <w:r w:rsidRPr="0012692B">
        <w:rPr>
          <w:rtl/>
        </w:rPr>
        <w:t xml:space="preserve"> מיליארדי ש"ח, כ-</w:t>
      </w:r>
      <w:r w:rsidRPr="00D50557">
        <w:rPr>
          <w:rtl/>
        </w:rPr>
        <w:t>6%</w:t>
      </w:r>
      <w:r w:rsidRPr="0012692B">
        <w:rPr>
          <w:rtl/>
        </w:rPr>
        <w:t xml:space="preserve"> מסך תיק הנכסים של הציבור.</w:t>
      </w:r>
      <w:r w:rsidR="006E3BA6">
        <w:rPr>
          <w:rFonts w:hint="cs"/>
          <w:rtl/>
        </w:rPr>
        <w:t xml:space="preserve"> </w:t>
      </w:r>
    </w:p>
    <w:p w:rsidR="00620D7A" w:rsidRDefault="00CB6699" w:rsidP="009709E0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 xml:space="preserve">הירידה ברביע הרביעי הינה תוצאה בעיקר של ירידות מחירים, לצד </w:t>
      </w:r>
      <w:r w:rsidR="00377914" w:rsidRPr="00377914">
        <w:rPr>
          <w:rFonts w:hint="cs"/>
          <w:rtl/>
        </w:rPr>
        <w:t xml:space="preserve">פדיונות נטו </w:t>
      </w:r>
      <w:r w:rsidR="00377914" w:rsidRPr="0012692B">
        <w:rPr>
          <w:rtl/>
        </w:rPr>
        <w:t xml:space="preserve">(עודף </w:t>
      </w:r>
      <w:r w:rsidR="00377914">
        <w:rPr>
          <w:rFonts w:hint="cs"/>
          <w:rtl/>
        </w:rPr>
        <w:t>פדיונות</w:t>
      </w:r>
      <w:r w:rsidR="00377914" w:rsidRPr="0012692B">
        <w:rPr>
          <w:rtl/>
        </w:rPr>
        <w:t xml:space="preserve"> על </w:t>
      </w:r>
      <w:r w:rsidR="00377914">
        <w:rPr>
          <w:rFonts w:hint="cs"/>
          <w:rtl/>
        </w:rPr>
        <w:t>הפקדות</w:t>
      </w:r>
      <w:r w:rsidR="00377914" w:rsidRPr="0012692B">
        <w:rPr>
          <w:rtl/>
        </w:rPr>
        <w:t>, בניכוי דיבידנד)</w:t>
      </w:r>
      <w:r w:rsidR="00377914">
        <w:rPr>
          <w:rFonts w:hint="cs"/>
          <w:rtl/>
        </w:rPr>
        <w:t xml:space="preserve"> </w:t>
      </w:r>
      <w:r>
        <w:rPr>
          <w:rFonts w:hint="cs"/>
          <w:rtl/>
        </w:rPr>
        <w:t>מהקרנות בהיקף של 9.3 מיליארדי ש"ח</w:t>
      </w:r>
      <w:r w:rsidR="00377914" w:rsidRPr="00377914">
        <w:rPr>
          <w:rFonts w:hint="cs"/>
          <w:rtl/>
        </w:rPr>
        <w:t>.</w:t>
      </w:r>
      <w:r w:rsidR="00377914">
        <w:rPr>
          <w:rFonts w:hint="cs"/>
          <w:rtl/>
        </w:rPr>
        <w:t xml:space="preserve"> </w:t>
      </w:r>
      <w:r w:rsidR="004279F8">
        <w:rPr>
          <w:rFonts w:hint="cs"/>
          <w:rtl/>
        </w:rPr>
        <w:t xml:space="preserve">זאת, בהמשך </w:t>
      </w:r>
      <w:r w:rsidR="00377914">
        <w:rPr>
          <w:rFonts w:hint="cs"/>
          <w:rtl/>
        </w:rPr>
        <w:t xml:space="preserve">לפדיונות </w:t>
      </w:r>
      <w:r>
        <w:rPr>
          <w:rFonts w:hint="cs"/>
          <w:rtl/>
        </w:rPr>
        <w:t xml:space="preserve">נטו </w:t>
      </w:r>
      <w:r w:rsidR="00377914">
        <w:rPr>
          <w:rFonts w:hint="cs"/>
          <w:rtl/>
        </w:rPr>
        <w:t>ברביע השני</w:t>
      </w:r>
      <w:r w:rsidR="004279F8">
        <w:rPr>
          <w:rFonts w:hint="cs"/>
          <w:rtl/>
        </w:rPr>
        <w:t xml:space="preserve"> </w:t>
      </w:r>
      <w:r>
        <w:rPr>
          <w:rFonts w:hint="cs"/>
          <w:rtl/>
        </w:rPr>
        <w:t>והשלישי של השנה</w:t>
      </w:r>
      <w:r w:rsidR="004279F8">
        <w:rPr>
          <w:rFonts w:hint="cs"/>
          <w:rtl/>
        </w:rPr>
        <w:t xml:space="preserve"> (</w:t>
      </w:r>
      <w:r w:rsidR="00377914">
        <w:rPr>
          <w:rFonts w:hint="cs"/>
          <w:rtl/>
        </w:rPr>
        <w:t>תרשים 7</w:t>
      </w:r>
      <w:r w:rsidR="004279F8">
        <w:rPr>
          <w:rFonts w:hint="cs"/>
          <w:rtl/>
        </w:rPr>
        <w:t>).</w:t>
      </w:r>
      <w:r w:rsidR="00620D7A">
        <w:rPr>
          <w:rFonts w:hint="cs"/>
          <w:rtl/>
        </w:rPr>
        <w:t xml:space="preserve"> </w:t>
      </w:r>
    </w:p>
    <w:p w:rsidR="003F276B" w:rsidRDefault="003F276B" w:rsidP="009709E0">
      <w:pPr>
        <w:spacing w:before="240" w:line="360" w:lineRule="auto"/>
        <w:ind w:left="360"/>
        <w:jc w:val="both"/>
        <w:rPr>
          <w:rtl/>
        </w:rPr>
      </w:pPr>
      <w:r w:rsidRPr="003F276B">
        <w:rPr>
          <w:rtl/>
        </w:rPr>
        <w:t>מהתפלגות הקרנות לפי התמחויות עולה כי ברביע ה</w:t>
      </w:r>
      <w:r w:rsidR="00CB6699">
        <w:rPr>
          <w:rFonts w:hint="cs"/>
          <w:rtl/>
        </w:rPr>
        <w:t>רביע</w:t>
      </w:r>
      <w:r w:rsidRPr="003F276B">
        <w:rPr>
          <w:rtl/>
        </w:rPr>
        <w:t xml:space="preserve">י </w:t>
      </w:r>
      <w:r w:rsidR="00CB6699">
        <w:rPr>
          <w:rFonts w:hint="cs"/>
          <w:rtl/>
        </w:rPr>
        <w:t>התאפיינו מרבית ההתמחויות ב</w:t>
      </w:r>
      <w:r w:rsidRPr="003F276B">
        <w:rPr>
          <w:rtl/>
        </w:rPr>
        <w:t>פדיונות נטו</w:t>
      </w:r>
      <w:r w:rsidR="00CB6699">
        <w:rPr>
          <w:rFonts w:hint="cs"/>
          <w:rtl/>
        </w:rPr>
        <w:t>. בלטו ה</w:t>
      </w:r>
      <w:r w:rsidRPr="003F276B">
        <w:rPr>
          <w:rtl/>
        </w:rPr>
        <w:t xml:space="preserve">קרנות המתמחות באג"ח </w:t>
      </w:r>
      <w:r w:rsidR="00CB6699">
        <w:rPr>
          <w:rFonts w:hint="cs"/>
          <w:rtl/>
        </w:rPr>
        <w:t xml:space="preserve">שרשמו פדיונות בהיקף של כ-11 מיליארדי ש"ח, בעיקר בהתמחות אג"ח </w:t>
      </w:r>
      <w:r w:rsidRPr="003F276B">
        <w:rPr>
          <w:rtl/>
        </w:rPr>
        <w:t>בארץ</w:t>
      </w:r>
      <w:r w:rsidR="00CB6699">
        <w:rPr>
          <w:rFonts w:hint="cs"/>
          <w:rtl/>
        </w:rPr>
        <w:t xml:space="preserve"> כללי</w:t>
      </w:r>
      <w:r w:rsidRPr="003F276B">
        <w:rPr>
          <w:rtl/>
        </w:rPr>
        <w:t xml:space="preserve"> </w:t>
      </w:r>
      <w:r w:rsidR="00CB6699">
        <w:rPr>
          <w:rFonts w:hint="cs"/>
          <w:rtl/>
        </w:rPr>
        <w:t>- 7</w:t>
      </w:r>
      <w:r w:rsidRPr="003F276B">
        <w:rPr>
          <w:rtl/>
        </w:rPr>
        <w:t>.</w:t>
      </w:r>
      <w:r w:rsidR="00CB6699">
        <w:rPr>
          <w:rFonts w:hint="cs"/>
          <w:rtl/>
        </w:rPr>
        <w:t>3</w:t>
      </w:r>
      <w:r w:rsidRPr="003F276B">
        <w:rPr>
          <w:rtl/>
        </w:rPr>
        <w:t xml:space="preserve"> מיליארדים. לעומת זאת, בקבוצת </w:t>
      </w:r>
      <w:r w:rsidRPr="00D46D7B">
        <w:rPr>
          <w:rtl/>
        </w:rPr>
        <w:t xml:space="preserve">ההתמחות </w:t>
      </w:r>
      <w:r w:rsidR="00CB6699">
        <w:rPr>
          <w:rFonts w:hint="cs"/>
          <w:rtl/>
        </w:rPr>
        <w:t xml:space="preserve">כספיות שקליות </w:t>
      </w:r>
      <w:r w:rsidRPr="00D46D7B">
        <w:rPr>
          <w:rtl/>
        </w:rPr>
        <w:t xml:space="preserve">נרשמו </w:t>
      </w:r>
      <w:r w:rsidR="004D64DB" w:rsidRPr="00D46D7B">
        <w:rPr>
          <w:rFonts w:hint="cs"/>
          <w:rtl/>
        </w:rPr>
        <w:t>הפקדות</w:t>
      </w:r>
      <w:r w:rsidRPr="003F276B">
        <w:rPr>
          <w:rtl/>
        </w:rPr>
        <w:t xml:space="preserve"> </w:t>
      </w:r>
      <w:r w:rsidR="00C20F2D">
        <w:rPr>
          <w:rFonts w:hint="cs"/>
          <w:rtl/>
        </w:rPr>
        <w:t>של כ-</w:t>
      </w:r>
      <w:r w:rsidR="00CB6699">
        <w:rPr>
          <w:rFonts w:hint="cs"/>
          <w:rtl/>
        </w:rPr>
        <w:t>2</w:t>
      </w:r>
      <w:r w:rsidRPr="003F276B">
        <w:rPr>
          <w:rtl/>
        </w:rPr>
        <w:t>.</w:t>
      </w:r>
      <w:r w:rsidR="00CB6699">
        <w:rPr>
          <w:rFonts w:hint="cs"/>
          <w:rtl/>
        </w:rPr>
        <w:t>3</w:t>
      </w:r>
      <w:r w:rsidRPr="003F276B">
        <w:rPr>
          <w:rtl/>
        </w:rPr>
        <w:t xml:space="preserve"> </w:t>
      </w:r>
      <w:r w:rsidR="00CB6699">
        <w:rPr>
          <w:rFonts w:hint="cs"/>
          <w:rtl/>
        </w:rPr>
        <w:t>מיליארדי ש"ח.</w:t>
      </w:r>
    </w:p>
    <w:p w:rsidR="00293346" w:rsidRDefault="00293346" w:rsidP="009709E0">
      <w:pPr>
        <w:spacing w:before="240" w:line="360" w:lineRule="auto"/>
        <w:ind w:left="360"/>
        <w:jc w:val="both"/>
        <w:rPr>
          <w:rtl/>
        </w:rPr>
      </w:pPr>
      <w:r>
        <w:rPr>
          <w:noProof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4E3907BD" wp14:editId="534F9135">
            <wp:simplePos x="0" y="0"/>
            <wp:positionH relativeFrom="column">
              <wp:align>center</wp:align>
            </wp:positionH>
            <wp:positionV relativeFrom="paragraph">
              <wp:posOffset>9525</wp:posOffset>
            </wp:positionV>
            <wp:extent cx="5486400" cy="2199600"/>
            <wp:effectExtent l="0" t="0" r="0" b="0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6F3" w:rsidRPr="00C739C4" w:rsidRDefault="004056F3" w:rsidP="009709E0">
      <w:pPr>
        <w:spacing w:before="240" w:line="360" w:lineRule="auto"/>
        <w:jc w:val="both"/>
        <w:rPr>
          <w:rtl/>
        </w:rPr>
      </w:pPr>
    </w:p>
    <w:p w:rsidR="00293346" w:rsidRDefault="00293346" w:rsidP="009709E0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</w:p>
    <w:p w:rsidR="00293346" w:rsidRDefault="00293346" w:rsidP="009709E0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</w:p>
    <w:p w:rsidR="000A525E" w:rsidRDefault="000A525E" w:rsidP="009709E0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</w:p>
    <w:p w:rsidR="000A525E" w:rsidRDefault="000A525E" w:rsidP="009709E0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</w:p>
    <w:p w:rsidR="00CA3E19" w:rsidRPr="009444D3" w:rsidRDefault="009444D3" w:rsidP="009709E0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u w:val="single"/>
          <w:rtl/>
        </w:rPr>
      </w:pPr>
      <w:r w:rsidRPr="009444D3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9709E0">
      <w:pPr>
        <w:autoSpaceDE w:val="0"/>
        <w:autoSpaceDN w:val="0"/>
        <w:adjustRightInd w:val="0"/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20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9709E0">
      <w:pPr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21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9709E0">
      <w:pPr>
        <w:autoSpaceDE w:val="0"/>
        <w:autoSpaceDN w:val="0"/>
        <w:adjustRightInd w:val="0"/>
        <w:spacing w:before="240" w:line="360" w:lineRule="auto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22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default" r:id="rId23"/>
      <w:footerReference w:type="even" r:id="rId24"/>
      <w:footerReference w:type="default" r:id="rId25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B3" w:rsidRDefault="000824B3">
      <w:r>
        <w:separator/>
      </w:r>
    </w:p>
  </w:endnote>
  <w:endnote w:type="continuationSeparator" w:id="0">
    <w:p w:rsidR="000824B3" w:rsidRDefault="000824B3">
      <w:r>
        <w:continuationSeparator/>
      </w:r>
    </w:p>
  </w:endnote>
  <w:endnote w:type="continuationNotice" w:id="1">
    <w:p w:rsidR="000824B3" w:rsidRDefault="00082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BA" w:rsidRDefault="002E23BA" w:rsidP="004530BD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2E23BA" w:rsidRDefault="002E23BA" w:rsidP="005F72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BA" w:rsidRPr="002E2C04" w:rsidRDefault="002E23BA" w:rsidP="00CE2D8C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CE2D8C">
      <w:rPr>
        <w:rFonts w:hint="cs"/>
        <w:rtl/>
      </w:rPr>
      <w:t>רביעי</w:t>
    </w:r>
    <w:r w:rsidRPr="002E2C04">
      <w:rPr>
        <w:rFonts w:hint="cs"/>
        <w:rtl/>
      </w:rPr>
      <w:t xml:space="preserve"> </w:t>
    </w:r>
    <w:r>
      <w:rPr>
        <w:rFonts w:hint="cs"/>
        <w:rtl/>
      </w:rPr>
      <w:t>2018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DC2EAB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DC2EAB">
      <w:rPr>
        <w:b/>
        <w:bCs/>
        <w:noProof/>
        <w:rtl/>
      </w:rPr>
      <w:t>4</w:t>
    </w:r>
    <w:r w:rsidRPr="002E2C04">
      <w:rPr>
        <w:b/>
        <w:bCs/>
      </w:rPr>
      <w:fldChar w:fldCharType="end"/>
    </w:r>
  </w:p>
  <w:p w:rsidR="002E23BA" w:rsidRDefault="002E23BA" w:rsidP="005F72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B3" w:rsidRDefault="000824B3">
      <w:r>
        <w:separator/>
      </w:r>
    </w:p>
  </w:footnote>
  <w:footnote w:type="continuationSeparator" w:id="0">
    <w:p w:rsidR="000824B3" w:rsidRDefault="000824B3">
      <w:r>
        <w:continuationSeparator/>
      </w:r>
    </w:p>
  </w:footnote>
  <w:footnote w:type="continuationNotice" w:id="1">
    <w:p w:rsidR="000824B3" w:rsidRDefault="000824B3"/>
  </w:footnote>
  <w:footnote w:id="2">
    <w:p w:rsidR="003F7C50" w:rsidRDefault="003F7C50" w:rsidP="003F7C50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לסיכום שנתי של הנתונים ראו 'מבט סטטיסטי 2018'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3F7C50" w:rsidRDefault="00DC2EAB" w:rsidP="003F7C50">
      <w:pPr>
        <w:pStyle w:val="a3"/>
        <w:rPr>
          <w:rtl/>
        </w:rPr>
      </w:pPr>
      <w:hyperlink r:id="rId1" w:history="1">
        <w:r w:rsidR="003F7C50" w:rsidRPr="00315B24">
          <w:rPr>
            <w:rStyle w:val="Hyperlink"/>
          </w:rPr>
          <w:t>https://www.boi.org.il/he/NewsAndPublications/RegularPublications/Pages/MabatStat2018.aspx</w:t>
        </w:r>
      </w:hyperlink>
    </w:p>
    <w:p w:rsidR="003F7C50" w:rsidRDefault="003F7C50" w:rsidP="003F7C50">
      <w:pPr>
        <w:pStyle w:val="a3"/>
        <w:rPr>
          <w:rtl/>
        </w:rPr>
      </w:pPr>
    </w:p>
  </w:footnote>
  <w:footnote w:id="3">
    <w:p w:rsidR="000A525E" w:rsidRPr="000A525E" w:rsidRDefault="000A525E" w:rsidP="000A525E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2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4">
    <w:p w:rsidR="002E23BA" w:rsidRDefault="002E23BA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5">
    <w:p w:rsidR="002E23BA" w:rsidRDefault="002E23BA" w:rsidP="00377914">
      <w:pPr>
        <w:pStyle w:val="a3"/>
        <w:rPr>
          <w:rtl/>
        </w:rPr>
      </w:pPr>
      <w:r w:rsidRPr="00794343">
        <w:rPr>
          <w:rStyle w:val="a4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BA" w:rsidRDefault="002E23BA" w:rsidP="00057FBC">
    <w:pPr>
      <w:pStyle w:val="a9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A851AA4"/>
    <w:multiLevelType w:val="hybridMultilevel"/>
    <w:tmpl w:val="BB148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777FDE"/>
    <w:multiLevelType w:val="hybridMultilevel"/>
    <w:tmpl w:val="6880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15"/>
  </w:num>
  <w:num w:numId="5">
    <w:abstractNumId w:val="11"/>
  </w:num>
  <w:num w:numId="6">
    <w:abstractNumId w:val="17"/>
  </w:num>
  <w:num w:numId="7">
    <w:abstractNumId w:val="13"/>
  </w:num>
  <w:num w:numId="8">
    <w:abstractNumId w:val="20"/>
  </w:num>
  <w:num w:numId="9">
    <w:abstractNumId w:val="2"/>
  </w:num>
  <w:num w:numId="10">
    <w:abstractNumId w:val="9"/>
  </w:num>
  <w:num w:numId="11">
    <w:abstractNumId w:val="22"/>
  </w:num>
  <w:num w:numId="12">
    <w:abstractNumId w:val="0"/>
  </w:num>
  <w:num w:numId="13">
    <w:abstractNumId w:val="16"/>
  </w:num>
  <w:num w:numId="14">
    <w:abstractNumId w:val="5"/>
  </w:num>
  <w:num w:numId="15">
    <w:abstractNumId w:val="18"/>
  </w:num>
  <w:num w:numId="16">
    <w:abstractNumId w:val="6"/>
  </w:num>
  <w:num w:numId="17">
    <w:abstractNumId w:val="10"/>
  </w:num>
  <w:num w:numId="18">
    <w:abstractNumId w:val="19"/>
  </w:num>
  <w:num w:numId="19">
    <w:abstractNumId w:val="4"/>
  </w:num>
  <w:num w:numId="20">
    <w:abstractNumId w:val="1"/>
  </w:num>
  <w:num w:numId="21">
    <w:abstractNumId w:val="7"/>
  </w:num>
  <w:num w:numId="22">
    <w:abstractNumId w:val="14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36"/>
    <w:rsid w:val="0000050F"/>
    <w:rsid w:val="00000F00"/>
    <w:rsid w:val="000017DF"/>
    <w:rsid w:val="00001C31"/>
    <w:rsid w:val="000020FA"/>
    <w:rsid w:val="000022B8"/>
    <w:rsid w:val="00002A43"/>
    <w:rsid w:val="0000402C"/>
    <w:rsid w:val="000043D3"/>
    <w:rsid w:val="00005815"/>
    <w:rsid w:val="00005EA0"/>
    <w:rsid w:val="000060F2"/>
    <w:rsid w:val="00006D46"/>
    <w:rsid w:val="00007808"/>
    <w:rsid w:val="00010E95"/>
    <w:rsid w:val="000115E8"/>
    <w:rsid w:val="00011802"/>
    <w:rsid w:val="000119A8"/>
    <w:rsid w:val="00011A9F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32FA"/>
    <w:rsid w:val="00023EE3"/>
    <w:rsid w:val="00024D12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581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50E7"/>
    <w:rsid w:val="00045462"/>
    <w:rsid w:val="000458D4"/>
    <w:rsid w:val="00046F09"/>
    <w:rsid w:val="000471D2"/>
    <w:rsid w:val="00047E41"/>
    <w:rsid w:val="0005021A"/>
    <w:rsid w:val="00051250"/>
    <w:rsid w:val="00051E43"/>
    <w:rsid w:val="00052A72"/>
    <w:rsid w:val="00053087"/>
    <w:rsid w:val="000536B9"/>
    <w:rsid w:val="00054020"/>
    <w:rsid w:val="00054513"/>
    <w:rsid w:val="000546A3"/>
    <w:rsid w:val="00055921"/>
    <w:rsid w:val="000559EC"/>
    <w:rsid w:val="00055A9E"/>
    <w:rsid w:val="000564E4"/>
    <w:rsid w:val="00056736"/>
    <w:rsid w:val="00056C8C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20EE"/>
    <w:rsid w:val="00062277"/>
    <w:rsid w:val="0006250C"/>
    <w:rsid w:val="00062933"/>
    <w:rsid w:val="00063A3F"/>
    <w:rsid w:val="00063EA2"/>
    <w:rsid w:val="00064EC7"/>
    <w:rsid w:val="00065EE2"/>
    <w:rsid w:val="00066482"/>
    <w:rsid w:val="00067385"/>
    <w:rsid w:val="00067625"/>
    <w:rsid w:val="00067ADF"/>
    <w:rsid w:val="00070610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C91"/>
    <w:rsid w:val="00080C9F"/>
    <w:rsid w:val="0008142A"/>
    <w:rsid w:val="00081868"/>
    <w:rsid w:val="00081BD3"/>
    <w:rsid w:val="000820EA"/>
    <w:rsid w:val="000824B3"/>
    <w:rsid w:val="00083BDF"/>
    <w:rsid w:val="000842B9"/>
    <w:rsid w:val="000857FF"/>
    <w:rsid w:val="00085961"/>
    <w:rsid w:val="00085EA2"/>
    <w:rsid w:val="00086B1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87D"/>
    <w:rsid w:val="000C6588"/>
    <w:rsid w:val="000C6A74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E48"/>
    <w:rsid w:val="000D4F71"/>
    <w:rsid w:val="000D6B53"/>
    <w:rsid w:val="000D6BCE"/>
    <w:rsid w:val="000D6E59"/>
    <w:rsid w:val="000D6FF2"/>
    <w:rsid w:val="000E1096"/>
    <w:rsid w:val="000E1501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F96"/>
    <w:rsid w:val="000F6504"/>
    <w:rsid w:val="000F6CAC"/>
    <w:rsid w:val="000F7611"/>
    <w:rsid w:val="00100334"/>
    <w:rsid w:val="00100611"/>
    <w:rsid w:val="001006AD"/>
    <w:rsid w:val="00100FA0"/>
    <w:rsid w:val="00101362"/>
    <w:rsid w:val="00101E9A"/>
    <w:rsid w:val="00101EB2"/>
    <w:rsid w:val="00103128"/>
    <w:rsid w:val="00103942"/>
    <w:rsid w:val="00103C1F"/>
    <w:rsid w:val="00104AED"/>
    <w:rsid w:val="00104CDD"/>
    <w:rsid w:val="001056DE"/>
    <w:rsid w:val="0010593A"/>
    <w:rsid w:val="0010631E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373"/>
    <w:rsid w:val="00150AD5"/>
    <w:rsid w:val="00150BFB"/>
    <w:rsid w:val="00150E47"/>
    <w:rsid w:val="001510D5"/>
    <w:rsid w:val="00151D1D"/>
    <w:rsid w:val="0015236A"/>
    <w:rsid w:val="00152F2D"/>
    <w:rsid w:val="00154533"/>
    <w:rsid w:val="001553C3"/>
    <w:rsid w:val="001555E5"/>
    <w:rsid w:val="001558E4"/>
    <w:rsid w:val="0015662F"/>
    <w:rsid w:val="00156C5F"/>
    <w:rsid w:val="00156D03"/>
    <w:rsid w:val="001574CD"/>
    <w:rsid w:val="00157C66"/>
    <w:rsid w:val="00157E94"/>
    <w:rsid w:val="00160292"/>
    <w:rsid w:val="001602C1"/>
    <w:rsid w:val="001607A3"/>
    <w:rsid w:val="00160CCF"/>
    <w:rsid w:val="001613B9"/>
    <w:rsid w:val="00161545"/>
    <w:rsid w:val="0016191B"/>
    <w:rsid w:val="00161BE9"/>
    <w:rsid w:val="00162774"/>
    <w:rsid w:val="00162F67"/>
    <w:rsid w:val="00163E3F"/>
    <w:rsid w:val="0016427F"/>
    <w:rsid w:val="00164788"/>
    <w:rsid w:val="00164A39"/>
    <w:rsid w:val="00165449"/>
    <w:rsid w:val="00166430"/>
    <w:rsid w:val="00167682"/>
    <w:rsid w:val="001707D5"/>
    <w:rsid w:val="00170A50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DA9"/>
    <w:rsid w:val="001776A3"/>
    <w:rsid w:val="00180446"/>
    <w:rsid w:val="001804EC"/>
    <w:rsid w:val="00180C9F"/>
    <w:rsid w:val="00180FBD"/>
    <w:rsid w:val="001816FC"/>
    <w:rsid w:val="00181977"/>
    <w:rsid w:val="00181A28"/>
    <w:rsid w:val="00182280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E44"/>
    <w:rsid w:val="00194180"/>
    <w:rsid w:val="001949E8"/>
    <w:rsid w:val="00194CB7"/>
    <w:rsid w:val="0019565E"/>
    <w:rsid w:val="00196A7F"/>
    <w:rsid w:val="00197A7E"/>
    <w:rsid w:val="00197D0B"/>
    <w:rsid w:val="001A095A"/>
    <w:rsid w:val="001A0A07"/>
    <w:rsid w:val="001A0AAC"/>
    <w:rsid w:val="001A176C"/>
    <w:rsid w:val="001A17E8"/>
    <w:rsid w:val="001A1A30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C99"/>
    <w:rsid w:val="001B6E57"/>
    <w:rsid w:val="001B7370"/>
    <w:rsid w:val="001B7547"/>
    <w:rsid w:val="001B7675"/>
    <w:rsid w:val="001B7E7B"/>
    <w:rsid w:val="001C0856"/>
    <w:rsid w:val="001C1347"/>
    <w:rsid w:val="001C18C5"/>
    <w:rsid w:val="001C1CA1"/>
    <w:rsid w:val="001C264C"/>
    <w:rsid w:val="001C33AA"/>
    <w:rsid w:val="001C46CF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970"/>
    <w:rsid w:val="001E02E6"/>
    <w:rsid w:val="001E25EF"/>
    <w:rsid w:val="001E2E5B"/>
    <w:rsid w:val="001E2E95"/>
    <w:rsid w:val="001E31AC"/>
    <w:rsid w:val="001E42B4"/>
    <w:rsid w:val="001E47F2"/>
    <w:rsid w:val="001E4FB1"/>
    <w:rsid w:val="001E5746"/>
    <w:rsid w:val="001E5953"/>
    <w:rsid w:val="001E5B84"/>
    <w:rsid w:val="001E5D0A"/>
    <w:rsid w:val="001E5EF4"/>
    <w:rsid w:val="001E6A6C"/>
    <w:rsid w:val="001E7B49"/>
    <w:rsid w:val="001E7CD6"/>
    <w:rsid w:val="001F043C"/>
    <w:rsid w:val="001F0470"/>
    <w:rsid w:val="001F0485"/>
    <w:rsid w:val="001F0DF7"/>
    <w:rsid w:val="001F1C05"/>
    <w:rsid w:val="001F2087"/>
    <w:rsid w:val="001F2235"/>
    <w:rsid w:val="001F3A15"/>
    <w:rsid w:val="001F4211"/>
    <w:rsid w:val="001F4BA3"/>
    <w:rsid w:val="001F4DAA"/>
    <w:rsid w:val="001F4DD2"/>
    <w:rsid w:val="001F56B7"/>
    <w:rsid w:val="001F5733"/>
    <w:rsid w:val="001F5796"/>
    <w:rsid w:val="001F5900"/>
    <w:rsid w:val="001F5E2D"/>
    <w:rsid w:val="001F65E3"/>
    <w:rsid w:val="001F775A"/>
    <w:rsid w:val="002002CD"/>
    <w:rsid w:val="002003C2"/>
    <w:rsid w:val="0020074A"/>
    <w:rsid w:val="002014EE"/>
    <w:rsid w:val="00202AD2"/>
    <w:rsid w:val="00202D83"/>
    <w:rsid w:val="00202E28"/>
    <w:rsid w:val="00203066"/>
    <w:rsid w:val="002041BE"/>
    <w:rsid w:val="00205697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472"/>
    <w:rsid w:val="002204AB"/>
    <w:rsid w:val="0022173B"/>
    <w:rsid w:val="00221EB5"/>
    <w:rsid w:val="00222821"/>
    <w:rsid w:val="00222BD6"/>
    <w:rsid w:val="002237F8"/>
    <w:rsid w:val="00223C6E"/>
    <w:rsid w:val="00223E9A"/>
    <w:rsid w:val="002252E2"/>
    <w:rsid w:val="00225541"/>
    <w:rsid w:val="002257D7"/>
    <w:rsid w:val="00226017"/>
    <w:rsid w:val="00226B3C"/>
    <w:rsid w:val="00226B99"/>
    <w:rsid w:val="00226D8A"/>
    <w:rsid w:val="00227572"/>
    <w:rsid w:val="00230173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2714"/>
    <w:rsid w:val="002428E6"/>
    <w:rsid w:val="00242961"/>
    <w:rsid w:val="0024359D"/>
    <w:rsid w:val="0024440A"/>
    <w:rsid w:val="00245554"/>
    <w:rsid w:val="00245655"/>
    <w:rsid w:val="00245A1A"/>
    <w:rsid w:val="0024602D"/>
    <w:rsid w:val="002467E1"/>
    <w:rsid w:val="00247D86"/>
    <w:rsid w:val="00247E64"/>
    <w:rsid w:val="00247E9A"/>
    <w:rsid w:val="00247F73"/>
    <w:rsid w:val="002501CB"/>
    <w:rsid w:val="002502BC"/>
    <w:rsid w:val="00251056"/>
    <w:rsid w:val="002513AA"/>
    <w:rsid w:val="00251DB5"/>
    <w:rsid w:val="002520C1"/>
    <w:rsid w:val="00252115"/>
    <w:rsid w:val="00252AB5"/>
    <w:rsid w:val="00252F11"/>
    <w:rsid w:val="00253AF8"/>
    <w:rsid w:val="002545E3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C6"/>
    <w:rsid w:val="002649BD"/>
    <w:rsid w:val="00264EA8"/>
    <w:rsid w:val="002653A0"/>
    <w:rsid w:val="0026547B"/>
    <w:rsid w:val="0026567C"/>
    <w:rsid w:val="00265D1C"/>
    <w:rsid w:val="002665AE"/>
    <w:rsid w:val="002670AD"/>
    <w:rsid w:val="00267A92"/>
    <w:rsid w:val="00270B18"/>
    <w:rsid w:val="002717B2"/>
    <w:rsid w:val="002726E1"/>
    <w:rsid w:val="00272A69"/>
    <w:rsid w:val="00272FF7"/>
    <w:rsid w:val="0027319D"/>
    <w:rsid w:val="002731B0"/>
    <w:rsid w:val="002732E7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EF0"/>
    <w:rsid w:val="00290FF3"/>
    <w:rsid w:val="0029141A"/>
    <w:rsid w:val="0029185D"/>
    <w:rsid w:val="00292427"/>
    <w:rsid w:val="00292432"/>
    <w:rsid w:val="00293346"/>
    <w:rsid w:val="00293831"/>
    <w:rsid w:val="002941EA"/>
    <w:rsid w:val="0029432C"/>
    <w:rsid w:val="00295A41"/>
    <w:rsid w:val="00295B3F"/>
    <w:rsid w:val="0029682A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10E2"/>
    <w:rsid w:val="002B120D"/>
    <w:rsid w:val="002B3BDD"/>
    <w:rsid w:val="002B4998"/>
    <w:rsid w:val="002B49E1"/>
    <w:rsid w:val="002B51DF"/>
    <w:rsid w:val="002B566E"/>
    <w:rsid w:val="002B594E"/>
    <w:rsid w:val="002B67EB"/>
    <w:rsid w:val="002B6CDE"/>
    <w:rsid w:val="002B7042"/>
    <w:rsid w:val="002B7732"/>
    <w:rsid w:val="002C08F6"/>
    <w:rsid w:val="002C141D"/>
    <w:rsid w:val="002C14DC"/>
    <w:rsid w:val="002C311A"/>
    <w:rsid w:val="002C3F79"/>
    <w:rsid w:val="002C433B"/>
    <w:rsid w:val="002C47D1"/>
    <w:rsid w:val="002C576B"/>
    <w:rsid w:val="002C5795"/>
    <w:rsid w:val="002C5AD2"/>
    <w:rsid w:val="002C67BC"/>
    <w:rsid w:val="002C6D97"/>
    <w:rsid w:val="002C7B48"/>
    <w:rsid w:val="002D007F"/>
    <w:rsid w:val="002D0458"/>
    <w:rsid w:val="002D0C2E"/>
    <w:rsid w:val="002D1100"/>
    <w:rsid w:val="002D2470"/>
    <w:rsid w:val="002D24CA"/>
    <w:rsid w:val="002D2520"/>
    <w:rsid w:val="002D2B1F"/>
    <w:rsid w:val="002D2F52"/>
    <w:rsid w:val="002D35C5"/>
    <w:rsid w:val="002D5C52"/>
    <w:rsid w:val="002D5E9B"/>
    <w:rsid w:val="002D7A01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44A"/>
    <w:rsid w:val="002F0565"/>
    <w:rsid w:val="002F0602"/>
    <w:rsid w:val="002F0D7B"/>
    <w:rsid w:val="002F0DC3"/>
    <w:rsid w:val="002F1460"/>
    <w:rsid w:val="002F18CE"/>
    <w:rsid w:val="002F1A2D"/>
    <w:rsid w:val="002F1B65"/>
    <w:rsid w:val="002F2C4D"/>
    <w:rsid w:val="002F2F3D"/>
    <w:rsid w:val="002F3383"/>
    <w:rsid w:val="002F3B73"/>
    <w:rsid w:val="002F4179"/>
    <w:rsid w:val="002F4E60"/>
    <w:rsid w:val="002F5401"/>
    <w:rsid w:val="002F56BB"/>
    <w:rsid w:val="002F58E6"/>
    <w:rsid w:val="002F5E9B"/>
    <w:rsid w:val="002F6207"/>
    <w:rsid w:val="002F6225"/>
    <w:rsid w:val="002F73C5"/>
    <w:rsid w:val="002F7DA5"/>
    <w:rsid w:val="00300589"/>
    <w:rsid w:val="003006F0"/>
    <w:rsid w:val="00300ACC"/>
    <w:rsid w:val="00300EBC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2A"/>
    <w:rsid w:val="00327E8E"/>
    <w:rsid w:val="00330BFD"/>
    <w:rsid w:val="0033163E"/>
    <w:rsid w:val="00331B80"/>
    <w:rsid w:val="0033294C"/>
    <w:rsid w:val="00333901"/>
    <w:rsid w:val="00333DA8"/>
    <w:rsid w:val="00333FE1"/>
    <w:rsid w:val="0033465F"/>
    <w:rsid w:val="003350AA"/>
    <w:rsid w:val="00335187"/>
    <w:rsid w:val="003352C5"/>
    <w:rsid w:val="00336423"/>
    <w:rsid w:val="003366F0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2FC2"/>
    <w:rsid w:val="00343418"/>
    <w:rsid w:val="00343F19"/>
    <w:rsid w:val="00344A50"/>
    <w:rsid w:val="0034590D"/>
    <w:rsid w:val="00346595"/>
    <w:rsid w:val="0034700B"/>
    <w:rsid w:val="00347299"/>
    <w:rsid w:val="003475AD"/>
    <w:rsid w:val="0034768C"/>
    <w:rsid w:val="0035002C"/>
    <w:rsid w:val="00350300"/>
    <w:rsid w:val="00351058"/>
    <w:rsid w:val="00351C10"/>
    <w:rsid w:val="0035212D"/>
    <w:rsid w:val="00352ABE"/>
    <w:rsid w:val="00352E75"/>
    <w:rsid w:val="00353174"/>
    <w:rsid w:val="00353A9A"/>
    <w:rsid w:val="00354058"/>
    <w:rsid w:val="00354E9E"/>
    <w:rsid w:val="00355B39"/>
    <w:rsid w:val="00355B3D"/>
    <w:rsid w:val="00355D57"/>
    <w:rsid w:val="0036019C"/>
    <w:rsid w:val="003606FD"/>
    <w:rsid w:val="0036090B"/>
    <w:rsid w:val="00360EE1"/>
    <w:rsid w:val="003624D0"/>
    <w:rsid w:val="00362C17"/>
    <w:rsid w:val="00363003"/>
    <w:rsid w:val="00363E4A"/>
    <w:rsid w:val="00364258"/>
    <w:rsid w:val="0036442C"/>
    <w:rsid w:val="00364520"/>
    <w:rsid w:val="00364782"/>
    <w:rsid w:val="00364D25"/>
    <w:rsid w:val="00364EED"/>
    <w:rsid w:val="00365B98"/>
    <w:rsid w:val="003673A0"/>
    <w:rsid w:val="00367E60"/>
    <w:rsid w:val="00370832"/>
    <w:rsid w:val="00370B25"/>
    <w:rsid w:val="00371A4B"/>
    <w:rsid w:val="00372C74"/>
    <w:rsid w:val="00374650"/>
    <w:rsid w:val="003746CA"/>
    <w:rsid w:val="003752C4"/>
    <w:rsid w:val="00375341"/>
    <w:rsid w:val="00376947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EEC"/>
    <w:rsid w:val="00386C83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BC3"/>
    <w:rsid w:val="00395FE2"/>
    <w:rsid w:val="003960C5"/>
    <w:rsid w:val="00396B35"/>
    <w:rsid w:val="003971F2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43E6"/>
    <w:rsid w:val="003A4B9B"/>
    <w:rsid w:val="003A4DF9"/>
    <w:rsid w:val="003A50BB"/>
    <w:rsid w:val="003A624F"/>
    <w:rsid w:val="003A6452"/>
    <w:rsid w:val="003A70ED"/>
    <w:rsid w:val="003A75AC"/>
    <w:rsid w:val="003B0778"/>
    <w:rsid w:val="003B0875"/>
    <w:rsid w:val="003B091C"/>
    <w:rsid w:val="003B0B89"/>
    <w:rsid w:val="003B2263"/>
    <w:rsid w:val="003B24D1"/>
    <w:rsid w:val="003B264E"/>
    <w:rsid w:val="003B3ED7"/>
    <w:rsid w:val="003B437B"/>
    <w:rsid w:val="003B544B"/>
    <w:rsid w:val="003B5649"/>
    <w:rsid w:val="003B57D2"/>
    <w:rsid w:val="003B5B33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1DB"/>
    <w:rsid w:val="003C7296"/>
    <w:rsid w:val="003D00BD"/>
    <w:rsid w:val="003D18BB"/>
    <w:rsid w:val="003D236F"/>
    <w:rsid w:val="003D276A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52C"/>
    <w:rsid w:val="003E1082"/>
    <w:rsid w:val="003E1856"/>
    <w:rsid w:val="003E2034"/>
    <w:rsid w:val="003E2D61"/>
    <w:rsid w:val="003E433E"/>
    <w:rsid w:val="003E4688"/>
    <w:rsid w:val="003E4E3F"/>
    <w:rsid w:val="003E5194"/>
    <w:rsid w:val="003E536B"/>
    <w:rsid w:val="003E5DA9"/>
    <w:rsid w:val="003E5EDA"/>
    <w:rsid w:val="003E616A"/>
    <w:rsid w:val="003E61C1"/>
    <w:rsid w:val="003E6D70"/>
    <w:rsid w:val="003E740C"/>
    <w:rsid w:val="003E7730"/>
    <w:rsid w:val="003E78C4"/>
    <w:rsid w:val="003F0413"/>
    <w:rsid w:val="003F0F09"/>
    <w:rsid w:val="003F1101"/>
    <w:rsid w:val="003F119B"/>
    <w:rsid w:val="003F193A"/>
    <w:rsid w:val="003F25B5"/>
    <w:rsid w:val="003F276B"/>
    <w:rsid w:val="003F320F"/>
    <w:rsid w:val="003F39ED"/>
    <w:rsid w:val="003F3C90"/>
    <w:rsid w:val="003F4130"/>
    <w:rsid w:val="003F4B94"/>
    <w:rsid w:val="003F4FF9"/>
    <w:rsid w:val="003F56FE"/>
    <w:rsid w:val="003F6511"/>
    <w:rsid w:val="003F76A6"/>
    <w:rsid w:val="003F7C50"/>
    <w:rsid w:val="00400605"/>
    <w:rsid w:val="004011E9"/>
    <w:rsid w:val="004012D8"/>
    <w:rsid w:val="0040139E"/>
    <w:rsid w:val="004017A6"/>
    <w:rsid w:val="004021CE"/>
    <w:rsid w:val="004021D8"/>
    <w:rsid w:val="004031E8"/>
    <w:rsid w:val="00403972"/>
    <w:rsid w:val="00403BFB"/>
    <w:rsid w:val="0040405E"/>
    <w:rsid w:val="0040499D"/>
    <w:rsid w:val="0040565B"/>
    <w:rsid w:val="004056F3"/>
    <w:rsid w:val="0040667A"/>
    <w:rsid w:val="00406F16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61F0"/>
    <w:rsid w:val="00416525"/>
    <w:rsid w:val="00416F4B"/>
    <w:rsid w:val="00417A04"/>
    <w:rsid w:val="004207C3"/>
    <w:rsid w:val="004211E7"/>
    <w:rsid w:val="004211EB"/>
    <w:rsid w:val="00421A3C"/>
    <w:rsid w:val="00422508"/>
    <w:rsid w:val="00422C7E"/>
    <w:rsid w:val="00423E9F"/>
    <w:rsid w:val="00423FF4"/>
    <w:rsid w:val="004242EF"/>
    <w:rsid w:val="00424A00"/>
    <w:rsid w:val="00425589"/>
    <w:rsid w:val="00425D74"/>
    <w:rsid w:val="00425E0E"/>
    <w:rsid w:val="004261B5"/>
    <w:rsid w:val="004267EF"/>
    <w:rsid w:val="0042718A"/>
    <w:rsid w:val="0042727F"/>
    <w:rsid w:val="004279A7"/>
    <w:rsid w:val="004279F8"/>
    <w:rsid w:val="00432302"/>
    <w:rsid w:val="004324AC"/>
    <w:rsid w:val="00432AAF"/>
    <w:rsid w:val="00433492"/>
    <w:rsid w:val="00433A8C"/>
    <w:rsid w:val="00433B9F"/>
    <w:rsid w:val="004340A2"/>
    <w:rsid w:val="0043465E"/>
    <w:rsid w:val="00434B2F"/>
    <w:rsid w:val="00434B61"/>
    <w:rsid w:val="00436800"/>
    <w:rsid w:val="00436816"/>
    <w:rsid w:val="004376A1"/>
    <w:rsid w:val="00437961"/>
    <w:rsid w:val="00440BED"/>
    <w:rsid w:val="004411E9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7086"/>
    <w:rsid w:val="004475B6"/>
    <w:rsid w:val="00447D54"/>
    <w:rsid w:val="00450711"/>
    <w:rsid w:val="00450CE8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24D"/>
    <w:rsid w:val="00460297"/>
    <w:rsid w:val="004617C1"/>
    <w:rsid w:val="004617DB"/>
    <w:rsid w:val="00461B7F"/>
    <w:rsid w:val="00461D64"/>
    <w:rsid w:val="00462065"/>
    <w:rsid w:val="00462458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F7D"/>
    <w:rsid w:val="0047034B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16F5"/>
    <w:rsid w:val="00482248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595"/>
    <w:rsid w:val="00493A3A"/>
    <w:rsid w:val="00493C39"/>
    <w:rsid w:val="00493F84"/>
    <w:rsid w:val="004946BD"/>
    <w:rsid w:val="00495917"/>
    <w:rsid w:val="00496899"/>
    <w:rsid w:val="0049743C"/>
    <w:rsid w:val="0049781C"/>
    <w:rsid w:val="004A1529"/>
    <w:rsid w:val="004A257E"/>
    <w:rsid w:val="004A378B"/>
    <w:rsid w:val="004A3D2E"/>
    <w:rsid w:val="004A425C"/>
    <w:rsid w:val="004A47C0"/>
    <w:rsid w:val="004A5764"/>
    <w:rsid w:val="004A5D5C"/>
    <w:rsid w:val="004A612B"/>
    <w:rsid w:val="004A6D6F"/>
    <w:rsid w:val="004A75C5"/>
    <w:rsid w:val="004B0767"/>
    <w:rsid w:val="004B07C7"/>
    <w:rsid w:val="004B0B2A"/>
    <w:rsid w:val="004B14F2"/>
    <w:rsid w:val="004B184A"/>
    <w:rsid w:val="004B24E8"/>
    <w:rsid w:val="004B2B22"/>
    <w:rsid w:val="004B325D"/>
    <w:rsid w:val="004B3ACE"/>
    <w:rsid w:val="004B40EF"/>
    <w:rsid w:val="004B5295"/>
    <w:rsid w:val="004B5898"/>
    <w:rsid w:val="004B7112"/>
    <w:rsid w:val="004B7BE8"/>
    <w:rsid w:val="004C01C7"/>
    <w:rsid w:val="004C029C"/>
    <w:rsid w:val="004C0943"/>
    <w:rsid w:val="004C12F3"/>
    <w:rsid w:val="004C175D"/>
    <w:rsid w:val="004C1F81"/>
    <w:rsid w:val="004C2622"/>
    <w:rsid w:val="004C2A42"/>
    <w:rsid w:val="004C33BB"/>
    <w:rsid w:val="004C4E9A"/>
    <w:rsid w:val="004C4ECE"/>
    <w:rsid w:val="004C513E"/>
    <w:rsid w:val="004C5B0F"/>
    <w:rsid w:val="004C6117"/>
    <w:rsid w:val="004C630F"/>
    <w:rsid w:val="004C7F8A"/>
    <w:rsid w:val="004D1BB9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AAA"/>
    <w:rsid w:val="004E0C2D"/>
    <w:rsid w:val="004E1046"/>
    <w:rsid w:val="004E1730"/>
    <w:rsid w:val="004E1854"/>
    <w:rsid w:val="004E1B0C"/>
    <w:rsid w:val="004E1CBD"/>
    <w:rsid w:val="004E29FF"/>
    <w:rsid w:val="004E366A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B17"/>
    <w:rsid w:val="004E7F8C"/>
    <w:rsid w:val="004F11FF"/>
    <w:rsid w:val="004F1F22"/>
    <w:rsid w:val="004F2641"/>
    <w:rsid w:val="004F3D42"/>
    <w:rsid w:val="004F4131"/>
    <w:rsid w:val="004F43F0"/>
    <w:rsid w:val="004F4520"/>
    <w:rsid w:val="004F4558"/>
    <w:rsid w:val="004F53E7"/>
    <w:rsid w:val="004F63C0"/>
    <w:rsid w:val="0050200C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831"/>
    <w:rsid w:val="005065AB"/>
    <w:rsid w:val="005067A7"/>
    <w:rsid w:val="00506A77"/>
    <w:rsid w:val="00506D22"/>
    <w:rsid w:val="00507A39"/>
    <w:rsid w:val="00507C60"/>
    <w:rsid w:val="005105FC"/>
    <w:rsid w:val="005109DF"/>
    <w:rsid w:val="005122CD"/>
    <w:rsid w:val="00512723"/>
    <w:rsid w:val="0051370C"/>
    <w:rsid w:val="00513B71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62E"/>
    <w:rsid w:val="00531CCD"/>
    <w:rsid w:val="005327E7"/>
    <w:rsid w:val="00532DDE"/>
    <w:rsid w:val="0053481F"/>
    <w:rsid w:val="00534B6F"/>
    <w:rsid w:val="00534D5C"/>
    <w:rsid w:val="0053543D"/>
    <w:rsid w:val="005359B8"/>
    <w:rsid w:val="00536030"/>
    <w:rsid w:val="00537319"/>
    <w:rsid w:val="00540790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E18"/>
    <w:rsid w:val="00550AB4"/>
    <w:rsid w:val="00551177"/>
    <w:rsid w:val="0055128C"/>
    <w:rsid w:val="00551935"/>
    <w:rsid w:val="005524A0"/>
    <w:rsid w:val="00553A28"/>
    <w:rsid w:val="00553C3E"/>
    <w:rsid w:val="00554024"/>
    <w:rsid w:val="00554B56"/>
    <w:rsid w:val="00555D9B"/>
    <w:rsid w:val="00556253"/>
    <w:rsid w:val="00556F6D"/>
    <w:rsid w:val="00557374"/>
    <w:rsid w:val="00557537"/>
    <w:rsid w:val="005577E9"/>
    <w:rsid w:val="0056018C"/>
    <w:rsid w:val="0056031C"/>
    <w:rsid w:val="00560396"/>
    <w:rsid w:val="00561371"/>
    <w:rsid w:val="00561A36"/>
    <w:rsid w:val="00562708"/>
    <w:rsid w:val="00562999"/>
    <w:rsid w:val="00562C47"/>
    <w:rsid w:val="005632C4"/>
    <w:rsid w:val="00563362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027"/>
    <w:rsid w:val="005729AD"/>
    <w:rsid w:val="00573331"/>
    <w:rsid w:val="005758BF"/>
    <w:rsid w:val="00575F2A"/>
    <w:rsid w:val="0058069E"/>
    <w:rsid w:val="00581EDA"/>
    <w:rsid w:val="0058250E"/>
    <w:rsid w:val="005827A7"/>
    <w:rsid w:val="005829DC"/>
    <w:rsid w:val="005829E0"/>
    <w:rsid w:val="00584BA9"/>
    <w:rsid w:val="00586368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6A2F"/>
    <w:rsid w:val="005A6D4A"/>
    <w:rsid w:val="005A7DF4"/>
    <w:rsid w:val="005B0531"/>
    <w:rsid w:val="005B0598"/>
    <w:rsid w:val="005B083B"/>
    <w:rsid w:val="005B0912"/>
    <w:rsid w:val="005B17DC"/>
    <w:rsid w:val="005B39A3"/>
    <w:rsid w:val="005B3EB5"/>
    <w:rsid w:val="005B4B79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07D"/>
    <w:rsid w:val="005C3274"/>
    <w:rsid w:val="005C354D"/>
    <w:rsid w:val="005C356B"/>
    <w:rsid w:val="005C48D0"/>
    <w:rsid w:val="005C4D75"/>
    <w:rsid w:val="005C4F1D"/>
    <w:rsid w:val="005C561B"/>
    <w:rsid w:val="005C5CCB"/>
    <w:rsid w:val="005C6EE1"/>
    <w:rsid w:val="005C732A"/>
    <w:rsid w:val="005C76C4"/>
    <w:rsid w:val="005C7DF4"/>
    <w:rsid w:val="005C7ECF"/>
    <w:rsid w:val="005D0048"/>
    <w:rsid w:val="005D07E1"/>
    <w:rsid w:val="005D0C07"/>
    <w:rsid w:val="005D0E7B"/>
    <w:rsid w:val="005D119C"/>
    <w:rsid w:val="005D14DE"/>
    <w:rsid w:val="005D2081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F1EF0"/>
    <w:rsid w:val="005F2C4F"/>
    <w:rsid w:val="005F4C65"/>
    <w:rsid w:val="005F4C89"/>
    <w:rsid w:val="005F538C"/>
    <w:rsid w:val="005F62A5"/>
    <w:rsid w:val="005F7255"/>
    <w:rsid w:val="0060033E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FE6"/>
    <w:rsid w:val="0061760A"/>
    <w:rsid w:val="00617941"/>
    <w:rsid w:val="0061797B"/>
    <w:rsid w:val="00617AC2"/>
    <w:rsid w:val="0062039E"/>
    <w:rsid w:val="00620D7A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74B0"/>
    <w:rsid w:val="006403E8"/>
    <w:rsid w:val="006406FF"/>
    <w:rsid w:val="00640F92"/>
    <w:rsid w:val="00641355"/>
    <w:rsid w:val="006423CF"/>
    <w:rsid w:val="006426FF"/>
    <w:rsid w:val="00642A98"/>
    <w:rsid w:val="00642EE5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44D"/>
    <w:rsid w:val="00665C39"/>
    <w:rsid w:val="00665CBD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753"/>
    <w:rsid w:val="00675295"/>
    <w:rsid w:val="00675E10"/>
    <w:rsid w:val="006769C7"/>
    <w:rsid w:val="00676AB8"/>
    <w:rsid w:val="00677235"/>
    <w:rsid w:val="00680170"/>
    <w:rsid w:val="006808A6"/>
    <w:rsid w:val="00680EC7"/>
    <w:rsid w:val="00681356"/>
    <w:rsid w:val="006822D7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381D"/>
    <w:rsid w:val="006946B2"/>
    <w:rsid w:val="00694DBB"/>
    <w:rsid w:val="00694E99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E16"/>
    <w:rsid w:val="006A60FC"/>
    <w:rsid w:val="006A69F6"/>
    <w:rsid w:val="006A74F8"/>
    <w:rsid w:val="006B0167"/>
    <w:rsid w:val="006B0283"/>
    <w:rsid w:val="006B0A2D"/>
    <w:rsid w:val="006B2120"/>
    <w:rsid w:val="006B2423"/>
    <w:rsid w:val="006B2A0B"/>
    <w:rsid w:val="006B302E"/>
    <w:rsid w:val="006B340D"/>
    <w:rsid w:val="006B440B"/>
    <w:rsid w:val="006B5457"/>
    <w:rsid w:val="006B58F6"/>
    <w:rsid w:val="006B62E0"/>
    <w:rsid w:val="006B7816"/>
    <w:rsid w:val="006B7F4C"/>
    <w:rsid w:val="006C036F"/>
    <w:rsid w:val="006C0718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D0AE4"/>
    <w:rsid w:val="006D0BBE"/>
    <w:rsid w:val="006D0CCA"/>
    <w:rsid w:val="006D1860"/>
    <w:rsid w:val="006D1DDA"/>
    <w:rsid w:val="006D202A"/>
    <w:rsid w:val="006D22AC"/>
    <w:rsid w:val="006D313A"/>
    <w:rsid w:val="006D3437"/>
    <w:rsid w:val="006D3724"/>
    <w:rsid w:val="006D3812"/>
    <w:rsid w:val="006D3F47"/>
    <w:rsid w:val="006D3F8C"/>
    <w:rsid w:val="006D5195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C2C"/>
    <w:rsid w:val="006E1FF1"/>
    <w:rsid w:val="006E277A"/>
    <w:rsid w:val="006E284A"/>
    <w:rsid w:val="006E2FA9"/>
    <w:rsid w:val="006E3347"/>
    <w:rsid w:val="006E38E0"/>
    <w:rsid w:val="006E3BA6"/>
    <w:rsid w:val="006E406F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3335"/>
    <w:rsid w:val="00703E31"/>
    <w:rsid w:val="00703FAB"/>
    <w:rsid w:val="00704171"/>
    <w:rsid w:val="00704532"/>
    <w:rsid w:val="007053B0"/>
    <w:rsid w:val="00705884"/>
    <w:rsid w:val="007058AC"/>
    <w:rsid w:val="00706187"/>
    <w:rsid w:val="00706329"/>
    <w:rsid w:val="0070667D"/>
    <w:rsid w:val="00710306"/>
    <w:rsid w:val="00711693"/>
    <w:rsid w:val="00711B8F"/>
    <w:rsid w:val="0071210C"/>
    <w:rsid w:val="0071241C"/>
    <w:rsid w:val="00714BAE"/>
    <w:rsid w:val="007153E0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E7"/>
    <w:rsid w:val="007261CF"/>
    <w:rsid w:val="007270AA"/>
    <w:rsid w:val="007273B9"/>
    <w:rsid w:val="00730F38"/>
    <w:rsid w:val="00731B8E"/>
    <w:rsid w:val="00731FAF"/>
    <w:rsid w:val="0073263C"/>
    <w:rsid w:val="007327DC"/>
    <w:rsid w:val="00733C1E"/>
    <w:rsid w:val="00734452"/>
    <w:rsid w:val="00734EB3"/>
    <w:rsid w:val="007358BD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716"/>
    <w:rsid w:val="007518AC"/>
    <w:rsid w:val="00752E3A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AB"/>
    <w:rsid w:val="00775D5E"/>
    <w:rsid w:val="007769CB"/>
    <w:rsid w:val="00776E53"/>
    <w:rsid w:val="00777279"/>
    <w:rsid w:val="00781063"/>
    <w:rsid w:val="0078179A"/>
    <w:rsid w:val="00781C63"/>
    <w:rsid w:val="007826D6"/>
    <w:rsid w:val="00782ACB"/>
    <w:rsid w:val="00782ECF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9059D"/>
    <w:rsid w:val="00792F53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B54"/>
    <w:rsid w:val="007C1030"/>
    <w:rsid w:val="007C161B"/>
    <w:rsid w:val="007C2805"/>
    <w:rsid w:val="007C2B07"/>
    <w:rsid w:val="007C3758"/>
    <w:rsid w:val="007C48A1"/>
    <w:rsid w:val="007C4AD3"/>
    <w:rsid w:val="007C4CE8"/>
    <w:rsid w:val="007C5255"/>
    <w:rsid w:val="007C57EE"/>
    <w:rsid w:val="007C6DD1"/>
    <w:rsid w:val="007C7735"/>
    <w:rsid w:val="007C7ABB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50AE"/>
    <w:rsid w:val="007D543E"/>
    <w:rsid w:val="007D5620"/>
    <w:rsid w:val="007D57F4"/>
    <w:rsid w:val="007D5C9A"/>
    <w:rsid w:val="007D6E7B"/>
    <w:rsid w:val="007D72CD"/>
    <w:rsid w:val="007D78D0"/>
    <w:rsid w:val="007E0142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17"/>
    <w:rsid w:val="007E3E92"/>
    <w:rsid w:val="007E3F41"/>
    <w:rsid w:val="007E3FCD"/>
    <w:rsid w:val="007E43E5"/>
    <w:rsid w:val="007E4EE4"/>
    <w:rsid w:val="007E507B"/>
    <w:rsid w:val="007E5BA8"/>
    <w:rsid w:val="007E60C5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B36"/>
    <w:rsid w:val="007F4E83"/>
    <w:rsid w:val="007F5774"/>
    <w:rsid w:val="007F5AE0"/>
    <w:rsid w:val="007F5FEE"/>
    <w:rsid w:val="007F63DA"/>
    <w:rsid w:val="007F6602"/>
    <w:rsid w:val="007F6ABF"/>
    <w:rsid w:val="007F6FA6"/>
    <w:rsid w:val="007F709D"/>
    <w:rsid w:val="00800388"/>
    <w:rsid w:val="00800987"/>
    <w:rsid w:val="00801C55"/>
    <w:rsid w:val="008028DC"/>
    <w:rsid w:val="0080331C"/>
    <w:rsid w:val="00803998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779D"/>
    <w:rsid w:val="008110AB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276EF"/>
    <w:rsid w:val="00830328"/>
    <w:rsid w:val="0083079A"/>
    <w:rsid w:val="00830F9A"/>
    <w:rsid w:val="0083131E"/>
    <w:rsid w:val="00831BA6"/>
    <w:rsid w:val="008324AA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37615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AD4"/>
    <w:rsid w:val="00847D19"/>
    <w:rsid w:val="00851C59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B23"/>
    <w:rsid w:val="0086224C"/>
    <w:rsid w:val="008624F8"/>
    <w:rsid w:val="00862B40"/>
    <w:rsid w:val="00862E61"/>
    <w:rsid w:val="00864102"/>
    <w:rsid w:val="0086490E"/>
    <w:rsid w:val="00865C8F"/>
    <w:rsid w:val="00866417"/>
    <w:rsid w:val="00866E29"/>
    <w:rsid w:val="00867185"/>
    <w:rsid w:val="00867252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CF6"/>
    <w:rsid w:val="00893201"/>
    <w:rsid w:val="00894927"/>
    <w:rsid w:val="00894C88"/>
    <w:rsid w:val="00894FBB"/>
    <w:rsid w:val="008953AC"/>
    <w:rsid w:val="00895BE4"/>
    <w:rsid w:val="008964F1"/>
    <w:rsid w:val="008967A8"/>
    <w:rsid w:val="00897587"/>
    <w:rsid w:val="00897C50"/>
    <w:rsid w:val="008A14F7"/>
    <w:rsid w:val="008A15C3"/>
    <w:rsid w:val="008A1A45"/>
    <w:rsid w:val="008A1B81"/>
    <w:rsid w:val="008A223E"/>
    <w:rsid w:val="008A23DA"/>
    <w:rsid w:val="008A548A"/>
    <w:rsid w:val="008A5A5C"/>
    <w:rsid w:val="008A5BE6"/>
    <w:rsid w:val="008A5F84"/>
    <w:rsid w:val="008A6201"/>
    <w:rsid w:val="008A653B"/>
    <w:rsid w:val="008A693F"/>
    <w:rsid w:val="008A6CD6"/>
    <w:rsid w:val="008A73F3"/>
    <w:rsid w:val="008A763C"/>
    <w:rsid w:val="008A7C5D"/>
    <w:rsid w:val="008B028E"/>
    <w:rsid w:val="008B0BB6"/>
    <w:rsid w:val="008B195C"/>
    <w:rsid w:val="008B1A7C"/>
    <w:rsid w:val="008B28BD"/>
    <w:rsid w:val="008B28F3"/>
    <w:rsid w:val="008B2923"/>
    <w:rsid w:val="008B2ECA"/>
    <w:rsid w:val="008B358E"/>
    <w:rsid w:val="008B390F"/>
    <w:rsid w:val="008B3C56"/>
    <w:rsid w:val="008B3FE7"/>
    <w:rsid w:val="008B4660"/>
    <w:rsid w:val="008B4ED2"/>
    <w:rsid w:val="008B55B4"/>
    <w:rsid w:val="008B5718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C14"/>
    <w:rsid w:val="008C408B"/>
    <w:rsid w:val="008C4EAF"/>
    <w:rsid w:val="008C5388"/>
    <w:rsid w:val="008D08CE"/>
    <w:rsid w:val="008D09AE"/>
    <w:rsid w:val="008D09E7"/>
    <w:rsid w:val="008D0A34"/>
    <w:rsid w:val="008D130A"/>
    <w:rsid w:val="008D2453"/>
    <w:rsid w:val="008D28ED"/>
    <w:rsid w:val="008D46A9"/>
    <w:rsid w:val="008D6DD0"/>
    <w:rsid w:val="008D7517"/>
    <w:rsid w:val="008E03AF"/>
    <w:rsid w:val="008E0B70"/>
    <w:rsid w:val="008E0F12"/>
    <w:rsid w:val="008E127E"/>
    <w:rsid w:val="008E142E"/>
    <w:rsid w:val="008E284D"/>
    <w:rsid w:val="008E39C8"/>
    <w:rsid w:val="008E57AC"/>
    <w:rsid w:val="008E626E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ACD"/>
    <w:rsid w:val="009131B0"/>
    <w:rsid w:val="00913786"/>
    <w:rsid w:val="00913AAF"/>
    <w:rsid w:val="00914662"/>
    <w:rsid w:val="00914A9F"/>
    <w:rsid w:val="009152BE"/>
    <w:rsid w:val="00915BBE"/>
    <w:rsid w:val="009161E4"/>
    <w:rsid w:val="0091696F"/>
    <w:rsid w:val="00916D75"/>
    <w:rsid w:val="00920260"/>
    <w:rsid w:val="00920A52"/>
    <w:rsid w:val="009218E0"/>
    <w:rsid w:val="00922CCB"/>
    <w:rsid w:val="009237DB"/>
    <w:rsid w:val="00923B12"/>
    <w:rsid w:val="0092433A"/>
    <w:rsid w:val="0092527C"/>
    <w:rsid w:val="009264FD"/>
    <w:rsid w:val="00927424"/>
    <w:rsid w:val="00927B8E"/>
    <w:rsid w:val="00930531"/>
    <w:rsid w:val="00931154"/>
    <w:rsid w:val="009322E4"/>
    <w:rsid w:val="00932F32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391"/>
    <w:rsid w:val="00937433"/>
    <w:rsid w:val="00940BB4"/>
    <w:rsid w:val="00940D96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C6B"/>
    <w:rsid w:val="00971E06"/>
    <w:rsid w:val="00971FF4"/>
    <w:rsid w:val="0097234F"/>
    <w:rsid w:val="009725B8"/>
    <w:rsid w:val="0097316B"/>
    <w:rsid w:val="009736A1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A67"/>
    <w:rsid w:val="00981166"/>
    <w:rsid w:val="00981B93"/>
    <w:rsid w:val="00982BEB"/>
    <w:rsid w:val="00983F8E"/>
    <w:rsid w:val="00984453"/>
    <w:rsid w:val="00985634"/>
    <w:rsid w:val="00985AAA"/>
    <w:rsid w:val="009863F5"/>
    <w:rsid w:val="009866DB"/>
    <w:rsid w:val="009868D3"/>
    <w:rsid w:val="00986E50"/>
    <w:rsid w:val="00987364"/>
    <w:rsid w:val="00990047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404"/>
    <w:rsid w:val="009947FE"/>
    <w:rsid w:val="00994A4F"/>
    <w:rsid w:val="00994D4A"/>
    <w:rsid w:val="00994E15"/>
    <w:rsid w:val="009954BF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39E"/>
    <w:rsid w:val="009A35A4"/>
    <w:rsid w:val="009A394F"/>
    <w:rsid w:val="009A4389"/>
    <w:rsid w:val="009A4456"/>
    <w:rsid w:val="009A47C1"/>
    <w:rsid w:val="009A5F9B"/>
    <w:rsid w:val="009A75C8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1786"/>
    <w:rsid w:val="009D1DCD"/>
    <w:rsid w:val="009D2B71"/>
    <w:rsid w:val="009D327A"/>
    <w:rsid w:val="009D336C"/>
    <w:rsid w:val="009D3745"/>
    <w:rsid w:val="009D3A49"/>
    <w:rsid w:val="009D416A"/>
    <w:rsid w:val="009D4A0F"/>
    <w:rsid w:val="009D6206"/>
    <w:rsid w:val="009D76DF"/>
    <w:rsid w:val="009D77E0"/>
    <w:rsid w:val="009D7F70"/>
    <w:rsid w:val="009E1EF0"/>
    <w:rsid w:val="009E2223"/>
    <w:rsid w:val="009E2556"/>
    <w:rsid w:val="009E29AB"/>
    <w:rsid w:val="009E29E3"/>
    <w:rsid w:val="009E2A1D"/>
    <w:rsid w:val="009E2A9B"/>
    <w:rsid w:val="009E4898"/>
    <w:rsid w:val="009E503D"/>
    <w:rsid w:val="009E52B7"/>
    <w:rsid w:val="009E5464"/>
    <w:rsid w:val="009E57C2"/>
    <w:rsid w:val="009E5958"/>
    <w:rsid w:val="009E5AF4"/>
    <w:rsid w:val="009E5FF7"/>
    <w:rsid w:val="009E61F7"/>
    <w:rsid w:val="009E6953"/>
    <w:rsid w:val="009E6EE5"/>
    <w:rsid w:val="009F0162"/>
    <w:rsid w:val="009F26BB"/>
    <w:rsid w:val="009F28D1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19AE"/>
    <w:rsid w:val="00A02489"/>
    <w:rsid w:val="00A0262E"/>
    <w:rsid w:val="00A0280D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E50"/>
    <w:rsid w:val="00A16E95"/>
    <w:rsid w:val="00A17251"/>
    <w:rsid w:val="00A1737E"/>
    <w:rsid w:val="00A1737F"/>
    <w:rsid w:val="00A219A4"/>
    <w:rsid w:val="00A21D66"/>
    <w:rsid w:val="00A21ECF"/>
    <w:rsid w:val="00A22967"/>
    <w:rsid w:val="00A22D8E"/>
    <w:rsid w:val="00A23B39"/>
    <w:rsid w:val="00A23B42"/>
    <w:rsid w:val="00A24556"/>
    <w:rsid w:val="00A25343"/>
    <w:rsid w:val="00A253DD"/>
    <w:rsid w:val="00A2571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31098"/>
    <w:rsid w:val="00A31867"/>
    <w:rsid w:val="00A31A74"/>
    <w:rsid w:val="00A31AD5"/>
    <w:rsid w:val="00A3201C"/>
    <w:rsid w:val="00A32464"/>
    <w:rsid w:val="00A32D28"/>
    <w:rsid w:val="00A332E3"/>
    <w:rsid w:val="00A33605"/>
    <w:rsid w:val="00A339FF"/>
    <w:rsid w:val="00A35C25"/>
    <w:rsid w:val="00A36DFB"/>
    <w:rsid w:val="00A40CE0"/>
    <w:rsid w:val="00A41E06"/>
    <w:rsid w:val="00A41FE4"/>
    <w:rsid w:val="00A42A14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772"/>
    <w:rsid w:val="00A45819"/>
    <w:rsid w:val="00A4584C"/>
    <w:rsid w:val="00A45E71"/>
    <w:rsid w:val="00A45F9A"/>
    <w:rsid w:val="00A470A6"/>
    <w:rsid w:val="00A47A5E"/>
    <w:rsid w:val="00A51521"/>
    <w:rsid w:val="00A51DD3"/>
    <w:rsid w:val="00A51EFC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7429"/>
    <w:rsid w:val="00A60199"/>
    <w:rsid w:val="00A6106A"/>
    <w:rsid w:val="00A61844"/>
    <w:rsid w:val="00A61AF6"/>
    <w:rsid w:val="00A61EB4"/>
    <w:rsid w:val="00A62A3D"/>
    <w:rsid w:val="00A63B8F"/>
    <w:rsid w:val="00A64F73"/>
    <w:rsid w:val="00A65765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55"/>
    <w:rsid w:val="00A756EC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4D6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EE0"/>
    <w:rsid w:val="00AB6FCB"/>
    <w:rsid w:val="00AC07A2"/>
    <w:rsid w:val="00AC1CB6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7016"/>
    <w:rsid w:val="00AC71C5"/>
    <w:rsid w:val="00AC73DD"/>
    <w:rsid w:val="00AD018C"/>
    <w:rsid w:val="00AD01F1"/>
    <w:rsid w:val="00AD0706"/>
    <w:rsid w:val="00AD0E8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C19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E0F"/>
    <w:rsid w:val="00AE6EF5"/>
    <w:rsid w:val="00AE6FF6"/>
    <w:rsid w:val="00AE7AD6"/>
    <w:rsid w:val="00AF0027"/>
    <w:rsid w:val="00AF003D"/>
    <w:rsid w:val="00AF05A7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4FB0"/>
    <w:rsid w:val="00AF5358"/>
    <w:rsid w:val="00AF574B"/>
    <w:rsid w:val="00AF5910"/>
    <w:rsid w:val="00AF632B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3678"/>
    <w:rsid w:val="00B03A87"/>
    <w:rsid w:val="00B03F23"/>
    <w:rsid w:val="00B048EB"/>
    <w:rsid w:val="00B049D8"/>
    <w:rsid w:val="00B050ED"/>
    <w:rsid w:val="00B05323"/>
    <w:rsid w:val="00B06933"/>
    <w:rsid w:val="00B06E8A"/>
    <w:rsid w:val="00B07016"/>
    <w:rsid w:val="00B0728F"/>
    <w:rsid w:val="00B07CDB"/>
    <w:rsid w:val="00B07D0D"/>
    <w:rsid w:val="00B106C5"/>
    <w:rsid w:val="00B110B8"/>
    <w:rsid w:val="00B112CF"/>
    <w:rsid w:val="00B11AD9"/>
    <w:rsid w:val="00B11D5B"/>
    <w:rsid w:val="00B1203C"/>
    <w:rsid w:val="00B12F73"/>
    <w:rsid w:val="00B14990"/>
    <w:rsid w:val="00B14E4D"/>
    <w:rsid w:val="00B15589"/>
    <w:rsid w:val="00B17A06"/>
    <w:rsid w:val="00B17C8E"/>
    <w:rsid w:val="00B20BA3"/>
    <w:rsid w:val="00B20FFD"/>
    <w:rsid w:val="00B21510"/>
    <w:rsid w:val="00B21CF4"/>
    <w:rsid w:val="00B22074"/>
    <w:rsid w:val="00B22252"/>
    <w:rsid w:val="00B2245B"/>
    <w:rsid w:val="00B22EEA"/>
    <w:rsid w:val="00B2354D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8C7"/>
    <w:rsid w:val="00B31E78"/>
    <w:rsid w:val="00B322D9"/>
    <w:rsid w:val="00B33431"/>
    <w:rsid w:val="00B33A93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C94"/>
    <w:rsid w:val="00B72F06"/>
    <w:rsid w:val="00B743C5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14CC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EEB"/>
    <w:rsid w:val="00BD795C"/>
    <w:rsid w:val="00BE1076"/>
    <w:rsid w:val="00BE13E0"/>
    <w:rsid w:val="00BE1545"/>
    <w:rsid w:val="00BE27F3"/>
    <w:rsid w:val="00BE2BD1"/>
    <w:rsid w:val="00BE2D01"/>
    <w:rsid w:val="00BE34FF"/>
    <w:rsid w:val="00BE3E8F"/>
    <w:rsid w:val="00BE3F24"/>
    <w:rsid w:val="00BE4F12"/>
    <w:rsid w:val="00BE509C"/>
    <w:rsid w:val="00BE582C"/>
    <w:rsid w:val="00BE74E0"/>
    <w:rsid w:val="00BE774D"/>
    <w:rsid w:val="00BE7B9A"/>
    <w:rsid w:val="00BF0A57"/>
    <w:rsid w:val="00BF127F"/>
    <w:rsid w:val="00BF1775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B87"/>
    <w:rsid w:val="00C232F1"/>
    <w:rsid w:val="00C23417"/>
    <w:rsid w:val="00C23A3D"/>
    <w:rsid w:val="00C23B02"/>
    <w:rsid w:val="00C23B24"/>
    <w:rsid w:val="00C2404F"/>
    <w:rsid w:val="00C243A4"/>
    <w:rsid w:val="00C24AD9"/>
    <w:rsid w:val="00C25497"/>
    <w:rsid w:val="00C26CCE"/>
    <w:rsid w:val="00C27D1A"/>
    <w:rsid w:val="00C302B6"/>
    <w:rsid w:val="00C306C0"/>
    <w:rsid w:val="00C31341"/>
    <w:rsid w:val="00C313E3"/>
    <w:rsid w:val="00C31D33"/>
    <w:rsid w:val="00C32786"/>
    <w:rsid w:val="00C32C00"/>
    <w:rsid w:val="00C34E9B"/>
    <w:rsid w:val="00C3514E"/>
    <w:rsid w:val="00C35A6F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5F"/>
    <w:rsid w:val="00C524D9"/>
    <w:rsid w:val="00C527A7"/>
    <w:rsid w:val="00C5305C"/>
    <w:rsid w:val="00C53119"/>
    <w:rsid w:val="00C54FE6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F2E"/>
    <w:rsid w:val="00C84136"/>
    <w:rsid w:val="00C8515C"/>
    <w:rsid w:val="00C8520B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5659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9"/>
    <w:rsid w:val="00CB669E"/>
    <w:rsid w:val="00CB6802"/>
    <w:rsid w:val="00CB6A1B"/>
    <w:rsid w:val="00CB776F"/>
    <w:rsid w:val="00CC0269"/>
    <w:rsid w:val="00CC041C"/>
    <w:rsid w:val="00CC0824"/>
    <w:rsid w:val="00CC0C1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6D7B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99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1409"/>
    <w:rsid w:val="00D11995"/>
    <w:rsid w:val="00D11F1E"/>
    <w:rsid w:val="00D11F67"/>
    <w:rsid w:val="00D12313"/>
    <w:rsid w:val="00D12CE3"/>
    <w:rsid w:val="00D1316B"/>
    <w:rsid w:val="00D133E9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807"/>
    <w:rsid w:val="00D4431C"/>
    <w:rsid w:val="00D44C6D"/>
    <w:rsid w:val="00D44DC9"/>
    <w:rsid w:val="00D46BC2"/>
    <w:rsid w:val="00D46D7B"/>
    <w:rsid w:val="00D47115"/>
    <w:rsid w:val="00D471B4"/>
    <w:rsid w:val="00D47518"/>
    <w:rsid w:val="00D47EC2"/>
    <w:rsid w:val="00D50557"/>
    <w:rsid w:val="00D508CE"/>
    <w:rsid w:val="00D50D06"/>
    <w:rsid w:val="00D50FAB"/>
    <w:rsid w:val="00D51B6C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67FCF"/>
    <w:rsid w:val="00D70709"/>
    <w:rsid w:val="00D70C1F"/>
    <w:rsid w:val="00D7185F"/>
    <w:rsid w:val="00D720F2"/>
    <w:rsid w:val="00D723CD"/>
    <w:rsid w:val="00D72F0D"/>
    <w:rsid w:val="00D73171"/>
    <w:rsid w:val="00D7328E"/>
    <w:rsid w:val="00D73733"/>
    <w:rsid w:val="00D75FD8"/>
    <w:rsid w:val="00D761AA"/>
    <w:rsid w:val="00D76515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20C7"/>
    <w:rsid w:val="00D8239C"/>
    <w:rsid w:val="00D82456"/>
    <w:rsid w:val="00D82901"/>
    <w:rsid w:val="00D82C17"/>
    <w:rsid w:val="00D82E76"/>
    <w:rsid w:val="00D832B5"/>
    <w:rsid w:val="00D83902"/>
    <w:rsid w:val="00D84164"/>
    <w:rsid w:val="00D84418"/>
    <w:rsid w:val="00D84F8F"/>
    <w:rsid w:val="00D858A0"/>
    <w:rsid w:val="00D86B23"/>
    <w:rsid w:val="00D86EA4"/>
    <w:rsid w:val="00D90F9D"/>
    <w:rsid w:val="00D921A2"/>
    <w:rsid w:val="00D922CE"/>
    <w:rsid w:val="00D92B68"/>
    <w:rsid w:val="00D937AD"/>
    <w:rsid w:val="00D947C2"/>
    <w:rsid w:val="00D94AB4"/>
    <w:rsid w:val="00D94E2C"/>
    <w:rsid w:val="00D951F3"/>
    <w:rsid w:val="00D95F7F"/>
    <w:rsid w:val="00D962F2"/>
    <w:rsid w:val="00D96916"/>
    <w:rsid w:val="00D96E9E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BEC"/>
    <w:rsid w:val="00DA75FE"/>
    <w:rsid w:val="00DA7877"/>
    <w:rsid w:val="00DA7B5F"/>
    <w:rsid w:val="00DB05A6"/>
    <w:rsid w:val="00DB0A62"/>
    <w:rsid w:val="00DB12CA"/>
    <w:rsid w:val="00DB1BF9"/>
    <w:rsid w:val="00DB223D"/>
    <w:rsid w:val="00DB2F69"/>
    <w:rsid w:val="00DB43A7"/>
    <w:rsid w:val="00DB4650"/>
    <w:rsid w:val="00DB51D7"/>
    <w:rsid w:val="00DB53CF"/>
    <w:rsid w:val="00DB5435"/>
    <w:rsid w:val="00DB7541"/>
    <w:rsid w:val="00DB792B"/>
    <w:rsid w:val="00DC066E"/>
    <w:rsid w:val="00DC077A"/>
    <w:rsid w:val="00DC13C0"/>
    <w:rsid w:val="00DC1B18"/>
    <w:rsid w:val="00DC1BD5"/>
    <w:rsid w:val="00DC1D95"/>
    <w:rsid w:val="00DC1ED0"/>
    <w:rsid w:val="00DC21B4"/>
    <w:rsid w:val="00DC2EAB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524"/>
    <w:rsid w:val="00DD00E3"/>
    <w:rsid w:val="00DD05F7"/>
    <w:rsid w:val="00DD0711"/>
    <w:rsid w:val="00DD0D01"/>
    <w:rsid w:val="00DD0FA1"/>
    <w:rsid w:val="00DD12B4"/>
    <w:rsid w:val="00DD20BE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6F7"/>
    <w:rsid w:val="00DF7BC0"/>
    <w:rsid w:val="00E002CE"/>
    <w:rsid w:val="00E014CE"/>
    <w:rsid w:val="00E026C7"/>
    <w:rsid w:val="00E03533"/>
    <w:rsid w:val="00E04F18"/>
    <w:rsid w:val="00E05752"/>
    <w:rsid w:val="00E05957"/>
    <w:rsid w:val="00E05EED"/>
    <w:rsid w:val="00E0622F"/>
    <w:rsid w:val="00E06B25"/>
    <w:rsid w:val="00E10039"/>
    <w:rsid w:val="00E102DB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A23"/>
    <w:rsid w:val="00E25A92"/>
    <w:rsid w:val="00E25E27"/>
    <w:rsid w:val="00E26756"/>
    <w:rsid w:val="00E26C78"/>
    <w:rsid w:val="00E26CF2"/>
    <w:rsid w:val="00E26F55"/>
    <w:rsid w:val="00E27742"/>
    <w:rsid w:val="00E27C22"/>
    <w:rsid w:val="00E304A4"/>
    <w:rsid w:val="00E30692"/>
    <w:rsid w:val="00E317EA"/>
    <w:rsid w:val="00E32723"/>
    <w:rsid w:val="00E32B7A"/>
    <w:rsid w:val="00E32E8A"/>
    <w:rsid w:val="00E3302E"/>
    <w:rsid w:val="00E3348F"/>
    <w:rsid w:val="00E33931"/>
    <w:rsid w:val="00E339D5"/>
    <w:rsid w:val="00E33C57"/>
    <w:rsid w:val="00E34506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DD6"/>
    <w:rsid w:val="00E53E87"/>
    <w:rsid w:val="00E5508B"/>
    <w:rsid w:val="00E5531A"/>
    <w:rsid w:val="00E5543B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79B"/>
    <w:rsid w:val="00E708C3"/>
    <w:rsid w:val="00E724A2"/>
    <w:rsid w:val="00E726FF"/>
    <w:rsid w:val="00E72A6E"/>
    <w:rsid w:val="00E72B87"/>
    <w:rsid w:val="00E72DA9"/>
    <w:rsid w:val="00E73EBD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77E06"/>
    <w:rsid w:val="00E81415"/>
    <w:rsid w:val="00E815A8"/>
    <w:rsid w:val="00E81BDF"/>
    <w:rsid w:val="00E81D1D"/>
    <w:rsid w:val="00E82168"/>
    <w:rsid w:val="00E82FDA"/>
    <w:rsid w:val="00E846DD"/>
    <w:rsid w:val="00E8554D"/>
    <w:rsid w:val="00E85B18"/>
    <w:rsid w:val="00E871FA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535"/>
    <w:rsid w:val="00EA382D"/>
    <w:rsid w:val="00EA3D04"/>
    <w:rsid w:val="00EA3FFA"/>
    <w:rsid w:val="00EA4162"/>
    <w:rsid w:val="00EA491F"/>
    <w:rsid w:val="00EA4CE0"/>
    <w:rsid w:val="00EA51B2"/>
    <w:rsid w:val="00EA5E26"/>
    <w:rsid w:val="00EA6AD4"/>
    <w:rsid w:val="00EA7227"/>
    <w:rsid w:val="00EA7D18"/>
    <w:rsid w:val="00EB00DE"/>
    <w:rsid w:val="00EB0B0F"/>
    <w:rsid w:val="00EB0C79"/>
    <w:rsid w:val="00EB24D4"/>
    <w:rsid w:val="00EB2557"/>
    <w:rsid w:val="00EB25C3"/>
    <w:rsid w:val="00EB3067"/>
    <w:rsid w:val="00EB49C6"/>
    <w:rsid w:val="00EB5A69"/>
    <w:rsid w:val="00EB6AE9"/>
    <w:rsid w:val="00EB7B33"/>
    <w:rsid w:val="00EB7FFA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6C2"/>
    <w:rsid w:val="00EC698F"/>
    <w:rsid w:val="00ED1E4A"/>
    <w:rsid w:val="00ED2035"/>
    <w:rsid w:val="00ED35C8"/>
    <w:rsid w:val="00ED3DF1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F2E"/>
    <w:rsid w:val="00EE10BB"/>
    <w:rsid w:val="00EE22F1"/>
    <w:rsid w:val="00EE3200"/>
    <w:rsid w:val="00EE40ED"/>
    <w:rsid w:val="00EE4C6D"/>
    <w:rsid w:val="00EE6262"/>
    <w:rsid w:val="00EE6489"/>
    <w:rsid w:val="00EE683C"/>
    <w:rsid w:val="00EE6FF1"/>
    <w:rsid w:val="00EE7382"/>
    <w:rsid w:val="00EE74C0"/>
    <w:rsid w:val="00EF08D7"/>
    <w:rsid w:val="00EF0CA1"/>
    <w:rsid w:val="00EF0F56"/>
    <w:rsid w:val="00EF120C"/>
    <w:rsid w:val="00EF1615"/>
    <w:rsid w:val="00EF22B5"/>
    <w:rsid w:val="00EF23EC"/>
    <w:rsid w:val="00EF250F"/>
    <w:rsid w:val="00EF264E"/>
    <w:rsid w:val="00EF2CCD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6342"/>
    <w:rsid w:val="00F064D4"/>
    <w:rsid w:val="00F07156"/>
    <w:rsid w:val="00F07897"/>
    <w:rsid w:val="00F104D8"/>
    <w:rsid w:val="00F11371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8C5"/>
    <w:rsid w:val="00F25E63"/>
    <w:rsid w:val="00F26049"/>
    <w:rsid w:val="00F26A50"/>
    <w:rsid w:val="00F27AD8"/>
    <w:rsid w:val="00F30323"/>
    <w:rsid w:val="00F30DEA"/>
    <w:rsid w:val="00F30E40"/>
    <w:rsid w:val="00F32117"/>
    <w:rsid w:val="00F324DE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EF"/>
    <w:rsid w:val="00F4764E"/>
    <w:rsid w:val="00F47E1E"/>
    <w:rsid w:val="00F47FA4"/>
    <w:rsid w:val="00F502DF"/>
    <w:rsid w:val="00F50972"/>
    <w:rsid w:val="00F50B26"/>
    <w:rsid w:val="00F510AA"/>
    <w:rsid w:val="00F517E7"/>
    <w:rsid w:val="00F51B25"/>
    <w:rsid w:val="00F51F3A"/>
    <w:rsid w:val="00F535ED"/>
    <w:rsid w:val="00F54A71"/>
    <w:rsid w:val="00F54F1B"/>
    <w:rsid w:val="00F5609A"/>
    <w:rsid w:val="00F6001C"/>
    <w:rsid w:val="00F60629"/>
    <w:rsid w:val="00F6082A"/>
    <w:rsid w:val="00F608FC"/>
    <w:rsid w:val="00F60DA3"/>
    <w:rsid w:val="00F611CF"/>
    <w:rsid w:val="00F61ECE"/>
    <w:rsid w:val="00F61FA4"/>
    <w:rsid w:val="00F627F5"/>
    <w:rsid w:val="00F63FB3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491B"/>
    <w:rsid w:val="00F75242"/>
    <w:rsid w:val="00F764D2"/>
    <w:rsid w:val="00F76758"/>
    <w:rsid w:val="00F77CF5"/>
    <w:rsid w:val="00F80D49"/>
    <w:rsid w:val="00F8100D"/>
    <w:rsid w:val="00F816BE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A221A"/>
    <w:rsid w:val="00FA2B69"/>
    <w:rsid w:val="00FA2DCB"/>
    <w:rsid w:val="00FA3EEF"/>
    <w:rsid w:val="00FA4303"/>
    <w:rsid w:val="00FA4801"/>
    <w:rsid w:val="00FA4BBE"/>
    <w:rsid w:val="00FA5838"/>
    <w:rsid w:val="00FA5E2C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8BB"/>
    <w:rsid w:val="00FB2F2A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514"/>
    <w:rsid w:val="00FC277A"/>
    <w:rsid w:val="00FC2BC0"/>
    <w:rsid w:val="00FC2E48"/>
    <w:rsid w:val="00FC332C"/>
    <w:rsid w:val="00FC34E8"/>
    <w:rsid w:val="00FC3B5E"/>
    <w:rsid w:val="00FC4719"/>
    <w:rsid w:val="00FC474A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813"/>
    <w:rsid w:val="00FD4C4E"/>
    <w:rsid w:val="00FD5904"/>
    <w:rsid w:val="00FD6210"/>
    <w:rsid w:val="00FD6BF1"/>
    <w:rsid w:val="00FD70D6"/>
    <w:rsid w:val="00FD7565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495"/>
    <w:rsid w:val="00FE3DF1"/>
    <w:rsid w:val="00FE3FD3"/>
    <w:rsid w:val="00FE41FA"/>
    <w:rsid w:val="00FE4369"/>
    <w:rsid w:val="00FE4C61"/>
    <w:rsid w:val="00FE575C"/>
    <w:rsid w:val="00FE595A"/>
    <w:rsid w:val="00FE698D"/>
    <w:rsid w:val="00FE7D6D"/>
    <w:rsid w:val="00FE7E72"/>
    <w:rsid w:val="00FE7FB9"/>
    <w:rsid w:val="00FE7FE0"/>
    <w:rsid w:val="00FF1330"/>
    <w:rsid w:val="00FF16F7"/>
    <w:rsid w:val="00FF20AA"/>
    <w:rsid w:val="00FF21A5"/>
    <w:rsid w:val="00FF2B95"/>
    <w:rsid w:val="00FF4B6B"/>
    <w:rsid w:val="00FF5928"/>
    <w:rsid w:val="00FF5B90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E142E"/>
    <w:rPr>
      <w:sz w:val="20"/>
      <w:szCs w:val="20"/>
    </w:rPr>
  </w:style>
  <w:style w:type="character" w:styleId="a4">
    <w:name w:val="footnote reference"/>
    <w:semiHidden/>
    <w:rsid w:val="008E142E"/>
    <w:rPr>
      <w:vertAlign w:val="superscript"/>
    </w:rPr>
  </w:style>
  <w:style w:type="paragraph" w:styleId="a5">
    <w:name w:val="footer"/>
    <w:basedOn w:val="a"/>
    <w:link w:val="a6"/>
    <w:uiPriority w:val="99"/>
    <w:rsid w:val="005F725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F7255"/>
  </w:style>
  <w:style w:type="paragraph" w:styleId="a8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a">
    <w:name w:val="annotation reference"/>
    <w:semiHidden/>
    <w:rsid w:val="003606FD"/>
    <w:rPr>
      <w:sz w:val="16"/>
      <w:szCs w:val="16"/>
    </w:rPr>
  </w:style>
  <w:style w:type="paragraph" w:styleId="ab">
    <w:name w:val="annotation text"/>
    <w:basedOn w:val="a"/>
    <w:semiHidden/>
    <w:rsid w:val="003606FD"/>
    <w:rPr>
      <w:sz w:val="20"/>
      <w:szCs w:val="20"/>
    </w:rPr>
  </w:style>
  <w:style w:type="paragraph" w:styleId="ac">
    <w:name w:val="annotation subject"/>
    <w:basedOn w:val="ab"/>
    <w:next w:val="ab"/>
    <w:semiHidden/>
    <w:rsid w:val="003606FD"/>
    <w:rPr>
      <w:b/>
      <w:bCs/>
    </w:rPr>
  </w:style>
  <w:style w:type="table" w:styleId="ad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548A"/>
    <w:rPr>
      <w:color w:val="0000FF"/>
      <w:u w:val="single"/>
    </w:rPr>
  </w:style>
  <w:style w:type="character" w:customStyle="1" w:styleId="a6">
    <w:name w:val="כותרת תחתונה תו"/>
    <w:link w:val="a5"/>
    <w:uiPriority w:val="99"/>
    <w:rsid w:val="00D921A2"/>
    <w:rPr>
      <w:rFonts w:cs="David"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טקסט רגיל תו"/>
    <w:basedOn w:val="a0"/>
    <w:link w:val="af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1">
    <w:name w:val="Title"/>
    <w:basedOn w:val="a"/>
    <w:next w:val="a"/>
    <w:link w:val="af2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2">
    <w:name w:val="כותרת טקסט תו"/>
    <w:basedOn w:val="a0"/>
    <w:link w:val="af1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oi.org.il/he/DataAndStatistics/Pages/MainPage.aspx?Level=3&amp;Sid=49&amp;SubjectType=2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boi.org.il/he/DataAndStatistics/Pages/MainPage.aspx?Level=3&amp;Sid=47&amp;SubjectType=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boi.org.il/he/DataAndStatistics/Pages/MainPage.aspx?Level=3&amp;Sid=53&amp;SubjectType=2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he/DataAndStatistics/Pages/MainPage.aspx?Level=3&amp;Sid=47&amp;SubjectType=2" TargetMode="External"/><Relationship Id="rId1" Type="http://schemas.openxmlformats.org/officeDocument/2006/relationships/hyperlink" Target="https://www.boi.org.il/he/NewsAndPublications/RegularPublications/Pages/MabatStat2018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63F52-CBE9-48A1-B727-67FFCDC50441}"/>
</file>

<file path=customXml/itemProps2.xml><?xml version="1.0" encoding="utf-8"?>
<ds:datastoreItem xmlns:ds="http://schemas.openxmlformats.org/officeDocument/2006/customXml" ds:itemID="{AE8055C8-D1BF-4E13-82B4-B1BFDF07C64A}"/>
</file>

<file path=customXml/itemProps3.xml><?xml version="1.0" encoding="utf-8"?>
<ds:datastoreItem xmlns:ds="http://schemas.openxmlformats.org/officeDocument/2006/customXml" ds:itemID="{81A3EC7C-E8D8-4F74-B97B-8E2C6FAFF44E}"/>
</file>

<file path=customXml/itemProps4.xml><?xml version="1.0" encoding="utf-8"?>
<ds:datastoreItem xmlns:ds="http://schemas.openxmlformats.org/officeDocument/2006/customXml" ds:itemID="{64D0213A-94C5-4A22-BFB9-61469F843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4429</Characters>
  <Application>Microsoft Office Word</Application>
  <DocSecurity>4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5194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2019-03-19T11:06:00Z</dcterms:created>
  <dcterms:modified xsi:type="dcterms:W3CDTF">2019-03-19T11:06:00Z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  <property fmtid="{D5CDD505-2E9C-101B-9397-08002B2CF9AE}" pid="3" name="displayDestination">
    <vt:lpwstr/>
  </property>
</Properties>
</file>