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07764E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07764E" w:rsidRDefault="00DD5923" w:rsidP="0007764E">
            <w:pPr>
              <w:spacing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07764E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07764E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07764E" w:rsidRDefault="00DD5923" w:rsidP="0007764E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07764E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07764E" w:rsidRDefault="005816B4" w:rsidP="00D87676">
            <w:pPr>
              <w:jc w:val="center"/>
              <w:rPr>
                <w:rFonts w:ascii="Arial" w:hAnsi="Arial" w:cs="David"/>
              </w:rPr>
            </w:pPr>
            <w:r w:rsidRPr="0007764E">
              <w:rPr>
                <w:rFonts w:cs="David"/>
                <w:noProof/>
                <w:lang w:eastAsia="en-US"/>
              </w:rPr>
              <w:drawing>
                <wp:inline distT="0" distB="0" distL="0" distR="0" wp14:anchorId="66426FF2" wp14:editId="1DCD8CC7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07764E" w:rsidRDefault="0089040A" w:rsidP="00716EF2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07764E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DD1B3F" w:rsidRPr="0007764E">
              <w:rPr>
                <w:rFonts w:ascii="Arial" w:hAnsi="Arial" w:cs="David" w:hint="cs"/>
                <w:sz w:val="24"/>
                <w:szCs w:val="24"/>
                <w:rtl/>
              </w:rPr>
              <w:t>כ"</w:t>
            </w:r>
            <w:r w:rsidR="00716EF2" w:rsidRPr="0007764E">
              <w:rPr>
                <w:rFonts w:ascii="Arial" w:hAnsi="Arial" w:cs="David" w:hint="cs"/>
                <w:sz w:val="24"/>
                <w:szCs w:val="24"/>
                <w:rtl/>
              </w:rPr>
              <w:t>ט</w:t>
            </w:r>
            <w:r w:rsidR="00697C2E" w:rsidRPr="0007764E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D1B3F" w:rsidRPr="0007764E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716EF2" w:rsidRPr="0007764E">
              <w:rPr>
                <w:rFonts w:ascii="Arial" w:hAnsi="Arial" w:cs="David" w:hint="cs"/>
                <w:sz w:val="24"/>
                <w:szCs w:val="24"/>
                <w:rtl/>
              </w:rPr>
              <w:t>חשון</w:t>
            </w:r>
            <w:r w:rsidR="00C411E7" w:rsidRPr="0007764E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07764E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716EF2" w:rsidRPr="0007764E">
              <w:rPr>
                <w:rFonts w:ascii="Arial" w:hAnsi="Arial" w:cs="David" w:hint="cs"/>
                <w:sz w:val="24"/>
                <w:szCs w:val="24"/>
                <w:rtl/>
              </w:rPr>
              <w:t>ז</w:t>
            </w:r>
          </w:p>
          <w:p w:rsidR="00DD5923" w:rsidRPr="0007764E" w:rsidRDefault="0089040A" w:rsidP="00716EF2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07764E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755099" w:rsidRPr="0007764E">
              <w:rPr>
                <w:rFonts w:ascii="Arial" w:hAnsi="Arial" w:cs="David" w:hint="cs"/>
                <w:sz w:val="24"/>
                <w:szCs w:val="24"/>
                <w:rtl/>
              </w:rPr>
              <w:t>3</w:t>
            </w:r>
            <w:r w:rsidR="00716EF2" w:rsidRPr="0007764E">
              <w:rPr>
                <w:rFonts w:ascii="Arial" w:hAnsi="Arial" w:cs="David" w:hint="cs"/>
                <w:sz w:val="24"/>
                <w:szCs w:val="24"/>
                <w:rtl/>
              </w:rPr>
              <w:t>0</w:t>
            </w:r>
            <w:r w:rsidR="00A17283" w:rsidRPr="0007764E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755099" w:rsidRPr="0007764E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716EF2" w:rsidRPr="0007764E">
              <w:rPr>
                <w:rFonts w:ascii="Arial" w:hAnsi="Arial" w:cs="David" w:hint="cs"/>
                <w:sz w:val="24"/>
                <w:szCs w:val="24"/>
                <w:rtl/>
              </w:rPr>
              <w:t>נובמבר</w:t>
            </w:r>
            <w:r w:rsidR="00A17283" w:rsidRPr="0007764E">
              <w:rPr>
                <w:rFonts w:ascii="Arial" w:hAnsi="Arial" w:cs="David" w:hint="cs"/>
                <w:sz w:val="24"/>
                <w:szCs w:val="24"/>
                <w:rtl/>
              </w:rPr>
              <w:t xml:space="preserve"> 201</w:t>
            </w:r>
            <w:r w:rsidR="009A3808" w:rsidRPr="0007764E">
              <w:rPr>
                <w:rFonts w:ascii="Arial" w:hAnsi="Arial" w:cs="David" w:hint="cs"/>
                <w:sz w:val="24"/>
                <w:szCs w:val="24"/>
                <w:rtl/>
              </w:rPr>
              <w:t>6</w:t>
            </w:r>
          </w:p>
        </w:tc>
      </w:tr>
    </w:tbl>
    <w:p w:rsidR="00FE034E" w:rsidRPr="0007764E" w:rsidRDefault="00FE034E" w:rsidP="007E18EE">
      <w:pPr>
        <w:bidi/>
        <w:rPr>
          <w:rFonts w:ascii="Arial" w:hAnsi="Arial" w:cs="David"/>
          <w:rtl/>
        </w:rPr>
      </w:pPr>
    </w:p>
    <w:p w:rsidR="00C9322A" w:rsidRPr="0007764E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07764E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07764E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07764E" w:rsidRDefault="00C9322A" w:rsidP="009467BA">
      <w:pPr>
        <w:pStyle w:val="af4"/>
        <w:rPr>
          <w:rFonts w:cs="David"/>
          <w:rtl/>
        </w:rPr>
      </w:pPr>
      <w:r w:rsidRPr="0007764E">
        <w:rPr>
          <w:rFonts w:cs="David"/>
          <w:rtl/>
        </w:rPr>
        <w:t xml:space="preserve">התפתחות החוב </w:t>
      </w:r>
      <w:r w:rsidR="00802DF3" w:rsidRPr="0007764E">
        <w:rPr>
          <w:rFonts w:cs="David" w:hint="cs"/>
          <w:rtl/>
        </w:rPr>
        <w:t xml:space="preserve">של המגזר הפרטי </w:t>
      </w:r>
      <w:r w:rsidR="00C01922" w:rsidRPr="0007764E">
        <w:rPr>
          <w:rFonts w:cs="David" w:hint="cs"/>
          <w:rtl/>
        </w:rPr>
        <w:t>(</w:t>
      </w:r>
      <w:r w:rsidR="0077544B" w:rsidRPr="0007764E">
        <w:rPr>
          <w:rFonts w:cs="David" w:hint="cs"/>
          <w:rtl/>
        </w:rPr>
        <w:t>הלא פיננסי</w:t>
      </w:r>
      <w:r w:rsidR="00C01922" w:rsidRPr="0007764E">
        <w:rPr>
          <w:rFonts w:cs="David" w:hint="cs"/>
          <w:rtl/>
        </w:rPr>
        <w:t>)</w:t>
      </w:r>
      <w:r w:rsidR="0077544B" w:rsidRPr="0007764E">
        <w:rPr>
          <w:rFonts w:cs="David" w:hint="cs"/>
          <w:rtl/>
        </w:rPr>
        <w:t xml:space="preserve"> </w:t>
      </w:r>
      <w:r w:rsidR="00FC2095" w:rsidRPr="0007764E">
        <w:rPr>
          <w:rFonts w:cs="David" w:hint="cs"/>
          <w:rtl/>
        </w:rPr>
        <w:t xml:space="preserve">ברביע </w:t>
      </w:r>
      <w:r w:rsidR="00266DC3" w:rsidRPr="0007764E">
        <w:rPr>
          <w:rFonts w:cs="David" w:hint="cs"/>
          <w:rtl/>
        </w:rPr>
        <w:t>ה</w:t>
      </w:r>
      <w:r w:rsidR="009467BA" w:rsidRPr="0007764E">
        <w:rPr>
          <w:rFonts w:cs="David" w:hint="cs"/>
          <w:rtl/>
        </w:rPr>
        <w:t>שלישי</w:t>
      </w:r>
      <w:r w:rsidR="00802DF3" w:rsidRPr="0007764E">
        <w:rPr>
          <w:rFonts w:cs="David" w:hint="cs"/>
          <w:rtl/>
        </w:rPr>
        <w:t xml:space="preserve"> של</w:t>
      </w:r>
      <w:r w:rsidRPr="0007764E">
        <w:rPr>
          <w:rFonts w:cs="David"/>
          <w:rtl/>
        </w:rPr>
        <w:t xml:space="preserve"> </w:t>
      </w:r>
      <w:r w:rsidR="00266DC3" w:rsidRPr="0007764E">
        <w:rPr>
          <w:rFonts w:cs="David" w:hint="cs"/>
          <w:rtl/>
        </w:rPr>
        <w:t>2016</w:t>
      </w:r>
    </w:p>
    <w:p w:rsidR="00DE75E2" w:rsidRPr="0007764E" w:rsidRDefault="00DE75E2" w:rsidP="00DE75E2">
      <w:pPr>
        <w:bidi/>
        <w:spacing w:line="360" w:lineRule="auto"/>
        <w:ind w:right="-101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9F574F" w:rsidRPr="0007764E" w:rsidRDefault="0089040A" w:rsidP="009B7097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07764E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Pr="0007764E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E11343" w:rsidRPr="0007764E">
        <w:rPr>
          <w:rFonts w:ascii="Arial" w:hAnsi="Arial" w:cs="David" w:hint="cs"/>
          <w:sz w:val="24"/>
          <w:szCs w:val="24"/>
          <w:rtl/>
        </w:rPr>
        <w:t>גדלה</w:t>
      </w:r>
      <w:r w:rsidR="00A17283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C63A60" w:rsidRPr="0007764E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D960E3" w:rsidRPr="0007764E">
        <w:rPr>
          <w:rFonts w:ascii="Arial" w:hAnsi="Arial" w:cs="David" w:hint="cs"/>
          <w:sz w:val="24"/>
          <w:szCs w:val="24"/>
          <w:rtl/>
        </w:rPr>
        <w:t>ה</w:t>
      </w:r>
      <w:r w:rsidR="009467BA" w:rsidRPr="0007764E">
        <w:rPr>
          <w:rFonts w:ascii="Arial" w:hAnsi="Arial" w:cs="David" w:hint="cs"/>
          <w:sz w:val="24"/>
          <w:szCs w:val="24"/>
          <w:rtl/>
        </w:rPr>
        <w:t>שלישי</w:t>
      </w:r>
      <w:r w:rsidR="00C63A60" w:rsidRPr="0007764E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D960E3" w:rsidRPr="0007764E">
        <w:rPr>
          <w:rFonts w:ascii="Arial" w:hAnsi="Arial" w:cs="David" w:hint="cs"/>
          <w:sz w:val="24"/>
          <w:szCs w:val="24"/>
          <w:rtl/>
        </w:rPr>
        <w:t>2016</w:t>
      </w:r>
      <w:r w:rsidR="003645A9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8D68DB" w:rsidRPr="0007764E">
        <w:rPr>
          <w:rFonts w:ascii="Arial" w:hAnsi="Arial" w:cs="David" w:hint="cs"/>
          <w:sz w:val="24"/>
          <w:szCs w:val="24"/>
          <w:rtl/>
        </w:rPr>
        <w:t>בכ</w:t>
      </w:r>
      <w:r w:rsidR="00C63A60" w:rsidRPr="0007764E">
        <w:rPr>
          <w:rFonts w:ascii="Arial" w:hAnsi="Arial" w:cs="David" w:hint="cs"/>
          <w:sz w:val="24"/>
          <w:szCs w:val="24"/>
          <w:rtl/>
        </w:rPr>
        <w:t>-</w:t>
      </w:r>
      <w:r w:rsidR="009467BA" w:rsidRPr="0007764E">
        <w:rPr>
          <w:rFonts w:ascii="Arial" w:hAnsi="Arial" w:cs="David" w:hint="cs"/>
          <w:sz w:val="24"/>
          <w:szCs w:val="24"/>
          <w:rtl/>
        </w:rPr>
        <w:t>10.5</w:t>
      </w:r>
      <w:r w:rsidR="00A45CAF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C63A60" w:rsidRPr="0007764E">
        <w:rPr>
          <w:rFonts w:ascii="Arial" w:hAnsi="Arial" w:cs="David" w:hint="cs"/>
          <w:sz w:val="24"/>
          <w:szCs w:val="24"/>
          <w:rtl/>
        </w:rPr>
        <w:t>מיליארדי</w:t>
      </w:r>
      <w:r w:rsidR="00A17283" w:rsidRPr="0007764E">
        <w:rPr>
          <w:rFonts w:ascii="Arial" w:hAnsi="Arial" w:cs="David" w:hint="cs"/>
          <w:sz w:val="24"/>
          <w:szCs w:val="24"/>
          <w:rtl/>
        </w:rPr>
        <w:t xml:space="preserve"> ש"ח (</w:t>
      </w:r>
      <w:r w:rsidR="00E11343" w:rsidRPr="0007764E">
        <w:rPr>
          <w:rFonts w:ascii="Arial" w:hAnsi="Arial" w:cs="David" w:hint="cs"/>
          <w:sz w:val="24"/>
          <w:szCs w:val="24"/>
          <w:rtl/>
        </w:rPr>
        <w:t>1.</w:t>
      </w:r>
      <w:r w:rsidR="009467BA" w:rsidRPr="0007764E">
        <w:rPr>
          <w:rFonts w:ascii="Arial" w:hAnsi="Arial" w:cs="David" w:hint="cs"/>
          <w:sz w:val="24"/>
          <w:szCs w:val="24"/>
          <w:rtl/>
        </w:rPr>
        <w:t>3</w:t>
      </w:r>
      <w:r w:rsidR="00E11343" w:rsidRPr="0007764E">
        <w:rPr>
          <w:rFonts w:ascii="Arial" w:hAnsi="Arial" w:cs="David" w:hint="cs"/>
          <w:sz w:val="24"/>
          <w:szCs w:val="24"/>
          <w:rtl/>
        </w:rPr>
        <w:t>%</w:t>
      </w:r>
      <w:r w:rsidR="00A17283" w:rsidRPr="0007764E">
        <w:rPr>
          <w:rFonts w:ascii="Arial" w:hAnsi="Arial" w:cs="David" w:hint="cs"/>
          <w:sz w:val="24"/>
          <w:szCs w:val="24"/>
          <w:rtl/>
        </w:rPr>
        <w:t xml:space="preserve">) </w:t>
      </w:r>
      <w:r w:rsidR="004024AB" w:rsidRPr="0007764E">
        <w:rPr>
          <w:rFonts w:ascii="Arial" w:hAnsi="Arial" w:cs="David" w:hint="cs"/>
          <w:sz w:val="24"/>
          <w:szCs w:val="24"/>
          <w:rtl/>
        </w:rPr>
        <w:t>והסתכמה ב</w:t>
      </w:r>
      <w:r w:rsidR="003B17BC" w:rsidRPr="0007764E">
        <w:rPr>
          <w:rFonts w:ascii="Arial" w:hAnsi="Arial" w:cs="David" w:hint="cs"/>
          <w:sz w:val="24"/>
          <w:szCs w:val="24"/>
          <w:rtl/>
        </w:rPr>
        <w:t>כ-</w:t>
      </w:r>
      <w:r w:rsidR="00D960E3" w:rsidRPr="0007764E">
        <w:rPr>
          <w:rFonts w:ascii="Arial" w:hAnsi="Arial" w:cs="David" w:hint="cs"/>
          <w:sz w:val="24"/>
          <w:szCs w:val="24"/>
          <w:rtl/>
        </w:rPr>
        <w:t>8</w:t>
      </w:r>
      <w:r w:rsidR="009467BA" w:rsidRPr="0007764E">
        <w:rPr>
          <w:rFonts w:ascii="Arial" w:hAnsi="Arial" w:cs="David" w:hint="cs"/>
          <w:sz w:val="24"/>
          <w:szCs w:val="24"/>
          <w:rtl/>
        </w:rPr>
        <w:t>41</w:t>
      </w:r>
      <w:r w:rsidRPr="0007764E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07764E">
        <w:rPr>
          <w:rFonts w:ascii="Arial" w:hAnsi="Arial" w:cs="David" w:hint="cs"/>
          <w:sz w:val="24"/>
          <w:szCs w:val="24"/>
          <w:rtl/>
        </w:rPr>
        <w:t>ם</w:t>
      </w:r>
      <w:r w:rsidRPr="0007764E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Pr="0007764E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07764E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07764E">
        <w:rPr>
          <w:rFonts w:ascii="Arial" w:hAnsi="Arial" w:cs="David" w:hint="cs"/>
          <w:sz w:val="24"/>
          <w:szCs w:val="24"/>
          <w:rtl/>
        </w:rPr>
        <w:t>ברביע זה</w:t>
      </w:r>
      <w:r w:rsidR="009A54F7" w:rsidRPr="0007764E">
        <w:rPr>
          <w:rFonts w:ascii="Arial" w:hAnsi="Arial" w:cs="David" w:hint="cs"/>
          <w:sz w:val="24"/>
          <w:szCs w:val="24"/>
          <w:rtl/>
        </w:rPr>
        <w:t xml:space="preserve"> בכ-</w:t>
      </w:r>
      <w:r w:rsidR="009467BA" w:rsidRPr="0007764E">
        <w:rPr>
          <w:rFonts w:ascii="Arial" w:hAnsi="Arial" w:cs="David" w:hint="cs"/>
          <w:sz w:val="24"/>
          <w:szCs w:val="24"/>
          <w:rtl/>
        </w:rPr>
        <w:t>11</w:t>
      </w:r>
      <w:r w:rsidR="008D68DB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07764E">
        <w:rPr>
          <w:rFonts w:ascii="Arial" w:hAnsi="Arial" w:cs="David" w:hint="cs"/>
          <w:sz w:val="24"/>
          <w:szCs w:val="24"/>
          <w:rtl/>
        </w:rPr>
        <w:t>מיליארדים (</w:t>
      </w:r>
      <w:r w:rsidR="009467BA" w:rsidRPr="0007764E">
        <w:rPr>
          <w:rFonts w:ascii="Arial" w:hAnsi="Arial" w:cs="David" w:hint="cs"/>
          <w:sz w:val="24"/>
          <w:szCs w:val="24"/>
          <w:rtl/>
        </w:rPr>
        <w:t>2.2</w:t>
      </w:r>
      <w:r w:rsidR="009A54F7" w:rsidRPr="0007764E">
        <w:rPr>
          <w:rFonts w:ascii="Arial" w:hAnsi="Arial" w:cs="David" w:hint="cs"/>
          <w:sz w:val="24"/>
          <w:szCs w:val="24"/>
          <w:rtl/>
        </w:rPr>
        <w:t xml:space="preserve">%) </w:t>
      </w:r>
      <w:r w:rsidRPr="0007764E">
        <w:rPr>
          <w:rFonts w:ascii="Arial" w:hAnsi="Arial" w:cs="David" w:hint="cs"/>
          <w:sz w:val="24"/>
          <w:szCs w:val="24"/>
          <w:rtl/>
        </w:rPr>
        <w:t xml:space="preserve">ועמדה </w:t>
      </w:r>
      <w:r w:rsidR="009B7097" w:rsidRPr="0007764E">
        <w:rPr>
          <w:rFonts w:ascii="Arial" w:hAnsi="Arial" w:cs="David" w:hint="cs"/>
          <w:sz w:val="24"/>
          <w:szCs w:val="24"/>
          <w:rtl/>
        </w:rPr>
        <w:t>בסופו</w:t>
      </w:r>
      <w:r w:rsidRPr="0007764E">
        <w:rPr>
          <w:rFonts w:ascii="Arial" w:hAnsi="Arial" w:cs="David" w:hint="cs"/>
          <w:sz w:val="24"/>
          <w:szCs w:val="24"/>
          <w:rtl/>
        </w:rPr>
        <w:t xml:space="preserve"> על כ-</w:t>
      </w:r>
      <w:r w:rsidR="009467BA" w:rsidRPr="0007764E">
        <w:rPr>
          <w:rFonts w:ascii="Arial" w:hAnsi="Arial" w:cs="David" w:hint="cs"/>
          <w:sz w:val="24"/>
          <w:szCs w:val="24"/>
          <w:rtl/>
        </w:rPr>
        <w:t>501</w:t>
      </w:r>
      <w:r w:rsidRPr="0007764E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882DAC" w:rsidRPr="0007764E">
        <w:rPr>
          <w:rStyle w:val="af1"/>
          <w:rFonts w:ascii="Arial" w:hAnsi="Arial" w:cs="David"/>
          <w:sz w:val="24"/>
          <w:szCs w:val="24"/>
          <w:rtl/>
        </w:rPr>
        <w:footnoteReference w:id="1"/>
      </w:r>
    </w:p>
    <w:p w:rsidR="009E07BE" w:rsidRPr="0007764E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07764E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07764E">
        <w:rPr>
          <w:rStyle w:val="10"/>
          <w:rFonts w:cs="David"/>
          <w:rtl/>
        </w:rPr>
        <w:t>החוב של המגזר העסקי</w:t>
      </w:r>
      <w:r w:rsidR="0028327B" w:rsidRPr="0007764E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502294" w:rsidRPr="0007764E" w:rsidRDefault="0089040A" w:rsidP="00144AA6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07764E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07764E">
        <w:rPr>
          <w:rFonts w:ascii="Arial" w:hAnsi="Arial" w:cs="David" w:hint="cs"/>
          <w:sz w:val="24"/>
          <w:szCs w:val="24"/>
          <w:rtl/>
        </w:rPr>
        <w:t>ל</w:t>
      </w:r>
      <w:r w:rsidRPr="0007764E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07764E">
        <w:rPr>
          <w:rFonts w:ascii="Arial" w:hAnsi="Arial" w:cs="David" w:hint="cs"/>
          <w:b/>
          <w:bCs/>
          <w:sz w:val="24"/>
          <w:szCs w:val="24"/>
          <w:rtl/>
        </w:rPr>
        <w:t xml:space="preserve">ברביע </w:t>
      </w:r>
      <w:r w:rsidR="00D960E3" w:rsidRPr="0007764E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A45CAF" w:rsidRPr="0007764E">
        <w:rPr>
          <w:rFonts w:ascii="Arial" w:hAnsi="Arial" w:cs="David" w:hint="cs"/>
          <w:b/>
          <w:bCs/>
          <w:sz w:val="24"/>
          <w:szCs w:val="24"/>
          <w:rtl/>
        </w:rPr>
        <w:t>ש</w:t>
      </w:r>
      <w:r w:rsidR="0045197C" w:rsidRPr="0007764E">
        <w:rPr>
          <w:rFonts w:ascii="Arial" w:hAnsi="Arial" w:cs="David" w:hint="cs"/>
          <w:b/>
          <w:bCs/>
          <w:sz w:val="24"/>
          <w:szCs w:val="24"/>
          <w:rtl/>
        </w:rPr>
        <w:t>לישי</w:t>
      </w:r>
      <w:r w:rsidR="00406F28" w:rsidRPr="0007764E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D960E3" w:rsidRPr="0007764E">
        <w:rPr>
          <w:rFonts w:ascii="Arial" w:hAnsi="Arial" w:cs="David" w:hint="cs"/>
          <w:sz w:val="24"/>
          <w:szCs w:val="24"/>
          <w:rtl/>
        </w:rPr>
        <w:t>2016</w:t>
      </w:r>
      <w:r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A45CAF" w:rsidRPr="0007764E">
        <w:rPr>
          <w:rFonts w:ascii="Arial" w:hAnsi="Arial" w:cs="David" w:hint="cs"/>
          <w:sz w:val="24"/>
          <w:szCs w:val="24"/>
          <w:rtl/>
        </w:rPr>
        <w:t>גדלה</w:t>
      </w:r>
      <w:r w:rsidR="00882FBA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613223" w:rsidRPr="0007764E">
        <w:rPr>
          <w:rFonts w:ascii="Arial" w:hAnsi="Arial" w:cs="David" w:hint="cs"/>
          <w:sz w:val="24"/>
          <w:szCs w:val="24"/>
          <w:rtl/>
        </w:rPr>
        <w:t xml:space="preserve">יתרת החוב של המגזר העסקי </w:t>
      </w:r>
      <w:r w:rsidR="00C06754" w:rsidRPr="0007764E">
        <w:rPr>
          <w:rFonts w:ascii="Arial" w:hAnsi="Arial" w:cs="David" w:hint="cs"/>
          <w:sz w:val="24"/>
          <w:szCs w:val="24"/>
          <w:rtl/>
        </w:rPr>
        <w:t>בכ</w:t>
      </w:r>
      <w:r w:rsidR="00406F28" w:rsidRPr="0007764E">
        <w:rPr>
          <w:rFonts w:ascii="Arial" w:hAnsi="Arial" w:cs="David" w:hint="cs"/>
          <w:sz w:val="24"/>
          <w:szCs w:val="24"/>
          <w:rtl/>
        </w:rPr>
        <w:t>-</w:t>
      </w:r>
      <w:r w:rsidR="0045197C" w:rsidRPr="0007764E">
        <w:rPr>
          <w:rFonts w:ascii="Arial" w:hAnsi="Arial" w:cs="David" w:hint="cs"/>
          <w:sz w:val="24"/>
          <w:szCs w:val="24"/>
          <w:rtl/>
        </w:rPr>
        <w:t>10.5</w:t>
      </w:r>
      <w:r w:rsidR="00A45CAF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406F28" w:rsidRPr="0007764E">
        <w:rPr>
          <w:rFonts w:ascii="Arial" w:hAnsi="Arial" w:cs="David" w:hint="cs"/>
          <w:sz w:val="24"/>
          <w:szCs w:val="24"/>
          <w:rtl/>
        </w:rPr>
        <w:t>מיליארדי</w:t>
      </w:r>
      <w:r w:rsidR="00C06754" w:rsidRPr="0007764E">
        <w:rPr>
          <w:rFonts w:ascii="Arial" w:hAnsi="Arial" w:cs="David" w:hint="cs"/>
          <w:sz w:val="24"/>
          <w:szCs w:val="24"/>
          <w:rtl/>
        </w:rPr>
        <w:t xml:space="preserve"> ש"ח</w:t>
      </w:r>
      <w:r w:rsidR="00613223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E42B88" w:rsidRPr="0007764E">
        <w:rPr>
          <w:rFonts w:ascii="Arial" w:hAnsi="Arial" w:cs="David" w:hint="cs"/>
          <w:sz w:val="24"/>
          <w:szCs w:val="24"/>
          <w:rtl/>
        </w:rPr>
        <w:t>(1.</w:t>
      </w:r>
      <w:r w:rsidR="0045197C" w:rsidRPr="0007764E">
        <w:rPr>
          <w:rFonts w:ascii="Arial" w:hAnsi="Arial" w:cs="David" w:hint="cs"/>
          <w:sz w:val="24"/>
          <w:szCs w:val="24"/>
          <w:rtl/>
        </w:rPr>
        <w:t>3</w:t>
      </w:r>
      <w:r w:rsidR="00E42B88" w:rsidRPr="0007764E">
        <w:rPr>
          <w:rFonts w:ascii="Arial" w:hAnsi="Arial" w:cs="David" w:hint="cs"/>
          <w:sz w:val="24"/>
          <w:szCs w:val="24"/>
          <w:rtl/>
        </w:rPr>
        <w:t xml:space="preserve">%) ועמדה בסוף </w:t>
      </w:r>
      <w:r w:rsidR="0045197C" w:rsidRPr="0007764E">
        <w:rPr>
          <w:rFonts w:ascii="Arial" w:hAnsi="Arial" w:cs="David" w:hint="cs"/>
          <w:sz w:val="24"/>
          <w:szCs w:val="24"/>
          <w:rtl/>
        </w:rPr>
        <w:t>ספטמבר</w:t>
      </w:r>
      <w:r w:rsidR="00E42B88" w:rsidRPr="0007764E">
        <w:rPr>
          <w:rFonts w:ascii="Arial" w:hAnsi="Arial" w:cs="David" w:hint="cs"/>
          <w:sz w:val="24"/>
          <w:szCs w:val="24"/>
          <w:rtl/>
        </w:rPr>
        <w:t xml:space="preserve"> על </w:t>
      </w:r>
      <w:r w:rsidR="00613223" w:rsidRPr="0007764E">
        <w:rPr>
          <w:rFonts w:ascii="Arial" w:hAnsi="Arial" w:cs="David" w:hint="cs"/>
          <w:sz w:val="24"/>
          <w:szCs w:val="24"/>
          <w:rtl/>
        </w:rPr>
        <w:t>כ-</w:t>
      </w:r>
      <w:r w:rsidR="00D960E3" w:rsidRPr="0007764E">
        <w:rPr>
          <w:rFonts w:ascii="Arial" w:hAnsi="Arial" w:cs="David" w:hint="cs"/>
          <w:sz w:val="24"/>
          <w:szCs w:val="24"/>
          <w:rtl/>
        </w:rPr>
        <w:t>8</w:t>
      </w:r>
      <w:r w:rsidR="00502294" w:rsidRPr="0007764E">
        <w:rPr>
          <w:rFonts w:ascii="Arial" w:hAnsi="Arial" w:cs="David" w:hint="cs"/>
          <w:sz w:val="24"/>
          <w:szCs w:val="24"/>
          <w:rtl/>
        </w:rPr>
        <w:t>41</w:t>
      </w:r>
      <w:r w:rsidR="0034285A" w:rsidRPr="0007764E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B86720" w:rsidRPr="0007764E">
        <w:rPr>
          <w:rFonts w:ascii="Arial" w:hAnsi="Arial" w:cs="David" w:hint="cs"/>
          <w:sz w:val="24"/>
          <w:szCs w:val="24"/>
          <w:rtl/>
        </w:rPr>
        <w:t>ם</w:t>
      </w:r>
      <w:r w:rsidR="00C06754" w:rsidRPr="0007764E">
        <w:rPr>
          <w:rFonts w:ascii="Arial" w:hAnsi="Arial" w:cs="David" w:hint="cs"/>
          <w:sz w:val="24"/>
          <w:szCs w:val="24"/>
          <w:rtl/>
        </w:rPr>
        <w:t xml:space="preserve">. </w:t>
      </w:r>
      <w:r w:rsidR="00502294" w:rsidRPr="0007764E">
        <w:rPr>
          <w:rFonts w:ascii="Arial" w:hAnsi="Arial" w:cs="David"/>
          <w:sz w:val="24"/>
          <w:szCs w:val="24"/>
          <w:rtl/>
        </w:rPr>
        <w:t xml:space="preserve">העלייה ביתרת החוב נבעה מגידול כמותי </w:t>
      </w:r>
      <w:r w:rsidR="00144AA6" w:rsidRPr="0007764E">
        <w:rPr>
          <w:rFonts w:ascii="Arial" w:hAnsi="Arial" w:cs="David" w:hint="cs"/>
          <w:sz w:val="24"/>
          <w:szCs w:val="24"/>
          <w:rtl/>
        </w:rPr>
        <w:t xml:space="preserve">בחוב החוץ הבנקאי </w:t>
      </w:r>
      <w:r w:rsidR="00144AA6" w:rsidRPr="0007764E">
        <w:rPr>
          <w:rFonts w:ascii="Arial" w:hAnsi="Arial" w:cs="David"/>
          <w:sz w:val="24"/>
          <w:szCs w:val="24"/>
          <w:rtl/>
        </w:rPr>
        <w:t xml:space="preserve">שהסתכם </w:t>
      </w:r>
      <w:r w:rsidR="00502294" w:rsidRPr="0007764E">
        <w:rPr>
          <w:rFonts w:ascii="Arial" w:hAnsi="Arial" w:cs="David"/>
          <w:sz w:val="24"/>
          <w:szCs w:val="24"/>
          <w:rtl/>
        </w:rPr>
        <w:t>בכ-14.8 מיליארדים והורכב בעיקרו מגיוסים נטו באג"ח סחירות בישראל. גיוסים אל</w:t>
      </w:r>
      <w:r w:rsidR="00502294" w:rsidRPr="0007764E">
        <w:rPr>
          <w:rFonts w:ascii="Arial" w:hAnsi="Arial" w:cs="David" w:hint="cs"/>
          <w:sz w:val="24"/>
          <w:szCs w:val="24"/>
          <w:rtl/>
        </w:rPr>
        <w:t>ו</w:t>
      </w:r>
      <w:r w:rsidR="00502294" w:rsidRPr="0007764E">
        <w:rPr>
          <w:rFonts w:ascii="Arial" w:hAnsi="Arial" w:cs="David"/>
          <w:sz w:val="24"/>
          <w:szCs w:val="24"/>
          <w:rtl/>
        </w:rPr>
        <w:t xml:space="preserve"> התבצעו בעיקר בספטמבר</w:t>
      </w:r>
      <w:r w:rsidR="00502294" w:rsidRPr="0007764E">
        <w:rPr>
          <w:rFonts w:ascii="Arial" w:hAnsi="Arial" w:cs="David" w:hint="cs"/>
          <w:sz w:val="24"/>
          <w:szCs w:val="24"/>
          <w:rtl/>
        </w:rPr>
        <w:t>,</w:t>
      </w:r>
      <w:r w:rsidR="00502294" w:rsidRPr="0007764E">
        <w:rPr>
          <w:rFonts w:ascii="Arial" w:hAnsi="Arial" w:cs="David"/>
          <w:sz w:val="24"/>
          <w:szCs w:val="24"/>
          <w:rtl/>
        </w:rPr>
        <w:t xml:space="preserve"> בו נרשמו הנפקות משמעותיות שנבעו בחלקן מהקדמת הנפקות מאוקטובר שהתאפיין במיעוט ימי עסקים (חגי תשרי). העלייה ביתרה קוזזה במקצת מהקטנה כמותית של הלוואות בנקאיות ו</w:t>
      </w:r>
      <w:r w:rsidR="00502294" w:rsidRPr="0007764E">
        <w:rPr>
          <w:rFonts w:ascii="Arial" w:hAnsi="Arial" w:cs="David" w:hint="cs"/>
          <w:sz w:val="24"/>
          <w:szCs w:val="24"/>
          <w:rtl/>
        </w:rPr>
        <w:t xml:space="preserve">כתוצאה </w:t>
      </w:r>
      <w:r w:rsidR="00502294" w:rsidRPr="0007764E">
        <w:rPr>
          <w:rFonts w:ascii="Arial" w:hAnsi="Arial" w:cs="David"/>
          <w:sz w:val="24"/>
          <w:szCs w:val="24"/>
          <w:rtl/>
        </w:rPr>
        <w:t xml:space="preserve">מייסוף </w:t>
      </w:r>
      <w:r w:rsidR="00502294" w:rsidRPr="0007764E">
        <w:rPr>
          <w:rFonts w:ascii="Arial" w:hAnsi="Arial" w:cs="David" w:hint="cs"/>
          <w:sz w:val="24"/>
          <w:szCs w:val="24"/>
          <w:rtl/>
        </w:rPr>
        <w:t xml:space="preserve">של כ-2.3% בשער החליפין של </w:t>
      </w:r>
      <w:r w:rsidR="00502294" w:rsidRPr="0007764E">
        <w:rPr>
          <w:rFonts w:ascii="Arial" w:hAnsi="Arial" w:cs="David"/>
          <w:sz w:val="24"/>
          <w:szCs w:val="24"/>
          <w:rtl/>
        </w:rPr>
        <w:t>השקל מול הדולר</w:t>
      </w:r>
      <w:r w:rsidR="00502294" w:rsidRPr="0007764E">
        <w:rPr>
          <w:rFonts w:ascii="Arial" w:hAnsi="Arial" w:cs="David" w:hint="cs"/>
          <w:sz w:val="24"/>
          <w:szCs w:val="24"/>
          <w:rtl/>
        </w:rPr>
        <w:t>, אשר הקטין את השווי של החוב הנקוב והצמוד מט"ח</w:t>
      </w:r>
      <w:r w:rsidR="00502294" w:rsidRPr="0007764E">
        <w:rPr>
          <w:rFonts w:ascii="Arial" w:hAnsi="Arial" w:cs="David"/>
          <w:sz w:val="24"/>
          <w:szCs w:val="24"/>
          <w:rtl/>
        </w:rPr>
        <w:t>.</w:t>
      </w:r>
    </w:p>
    <w:p w:rsidR="004C43DC" w:rsidRPr="0007764E" w:rsidRDefault="004C43DC" w:rsidP="009B7097">
      <w:pPr>
        <w:pStyle w:val="a9"/>
        <w:numPr>
          <w:ilvl w:val="0"/>
          <w:numId w:val="8"/>
        </w:numPr>
        <w:bidi/>
        <w:spacing w:line="360" w:lineRule="auto"/>
        <w:rPr>
          <w:rFonts w:ascii="Arial" w:hAnsi="Arial" w:cs="David"/>
          <w:sz w:val="24"/>
          <w:szCs w:val="24"/>
        </w:rPr>
      </w:pPr>
      <w:r w:rsidRPr="0007764E">
        <w:rPr>
          <w:rFonts w:ascii="Arial" w:hAnsi="Arial" w:cs="David"/>
          <w:b/>
          <w:bCs/>
          <w:sz w:val="24"/>
          <w:szCs w:val="24"/>
          <w:rtl/>
        </w:rPr>
        <w:t>ברביע השלישי</w:t>
      </w:r>
      <w:r w:rsidRPr="0007764E">
        <w:rPr>
          <w:rFonts w:ascii="Arial" w:hAnsi="Arial" w:cs="David"/>
          <w:sz w:val="24"/>
          <w:szCs w:val="24"/>
          <w:rtl/>
        </w:rPr>
        <w:t xml:space="preserve"> של השנה, הנפיק המגזר העסקי (ללא בנקים וביטוח) אג"ח בשווי של כ-19 מיליארדי ש"ח, גבוה משמעותית מהגיוסים ברביע הקודם (כ-10 מיליארדים), </w:t>
      </w:r>
      <w:r w:rsidR="009B7097" w:rsidRPr="0007764E">
        <w:rPr>
          <w:rFonts w:ascii="Arial" w:hAnsi="Arial" w:cs="David" w:hint="cs"/>
          <w:sz w:val="24"/>
          <w:szCs w:val="24"/>
          <w:rtl/>
        </w:rPr>
        <w:t>רוב</w:t>
      </w:r>
      <w:r w:rsidRPr="0007764E">
        <w:rPr>
          <w:rFonts w:ascii="Arial" w:hAnsi="Arial" w:cs="David"/>
          <w:sz w:val="24"/>
          <w:szCs w:val="24"/>
          <w:rtl/>
        </w:rPr>
        <w:t xml:space="preserve"> </w:t>
      </w:r>
      <w:r w:rsidR="009B7097" w:rsidRPr="0007764E">
        <w:rPr>
          <w:rFonts w:ascii="Arial" w:hAnsi="Arial" w:cs="David" w:hint="cs"/>
          <w:sz w:val="24"/>
          <w:szCs w:val="24"/>
          <w:rtl/>
        </w:rPr>
        <w:t>ה</w:t>
      </w:r>
      <w:r w:rsidRPr="0007764E">
        <w:rPr>
          <w:rFonts w:ascii="Arial" w:hAnsi="Arial" w:cs="David"/>
          <w:sz w:val="24"/>
          <w:szCs w:val="24"/>
          <w:rtl/>
        </w:rPr>
        <w:t xml:space="preserve">גיוסים </w:t>
      </w:r>
      <w:r w:rsidR="009B7097" w:rsidRPr="0007764E">
        <w:rPr>
          <w:rFonts w:ascii="Arial" w:hAnsi="Arial" w:cs="David" w:hint="cs"/>
          <w:sz w:val="24"/>
          <w:szCs w:val="24"/>
          <w:rtl/>
        </w:rPr>
        <w:t>התבצעו</w:t>
      </w:r>
      <w:r w:rsidRPr="0007764E">
        <w:rPr>
          <w:rFonts w:ascii="Arial" w:hAnsi="Arial" w:cs="David"/>
          <w:sz w:val="24"/>
          <w:szCs w:val="24"/>
          <w:rtl/>
        </w:rPr>
        <w:t xml:space="preserve"> </w:t>
      </w:r>
      <w:r w:rsidR="009B7097" w:rsidRPr="0007764E">
        <w:rPr>
          <w:rFonts w:ascii="Arial" w:hAnsi="Arial" w:cs="David" w:hint="cs"/>
          <w:sz w:val="24"/>
          <w:szCs w:val="24"/>
          <w:rtl/>
        </w:rPr>
        <w:t>ב</w:t>
      </w:r>
      <w:r w:rsidRPr="0007764E">
        <w:rPr>
          <w:rFonts w:ascii="Arial" w:hAnsi="Arial" w:cs="David"/>
          <w:sz w:val="24"/>
          <w:szCs w:val="24"/>
          <w:rtl/>
        </w:rPr>
        <w:t xml:space="preserve">ספטמבר. </w:t>
      </w:r>
      <w:r w:rsidRPr="0007764E">
        <w:rPr>
          <w:rFonts w:ascii="Arial" w:hAnsi="Arial" w:cs="David"/>
          <w:b/>
          <w:bCs/>
          <w:sz w:val="24"/>
          <w:szCs w:val="24"/>
          <w:rtl/>
        </w:rPr>
        <w:t>בחודש אוקטובר</w:t>
      </w:r>
      <w:r w:rsidRPr="0007764E">
        <w:rPr>
          <w:rFonts w:ascii="Arial" w:hAnsi="Arial" w:cs="David"/>
          <w:sz w:val="24"/>
          <w:szCs w:val="24"/>
          <w:rtl/>
        </w:rPr>
        <w:t xml:space="preserve"> 2016, על רקע מיעוט ימי העסקים, הנפיק המגזר העסקי אג"ח בשווי של כ-0.5 מיליארדי ש"ח בלבד. </w:t>
      </w:r>
    </w:p>
    <w:p w:rsidR="00985B74" w:rsidRPr="0007764E" w:rsidRDefault="00985B74" w:rsidP="00237314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07764E">
        <w:rPr>
          <w:rFonts w:ascii="Arial" w:hAnsi="Arial" w:cs="David" w:hint="cs"/>
          <w:sz w:val="24"/>
          <w:szCs w:val="24"/>
          <w:rtl/>
        </w:rPr>
        <w:t xml:space="preserve">המרווח בין תשואת מדד אג"ח החברות הצמוד, תל בונד 60, לבין תשואת </w:t>
      </w:r>
      <w:proofErr w:type="spellStart"/>
      <w:r w:rsidRPr="0007764E">
        <w:rPr>
          <w:rFonts w:ascii="Arial" w:hAnsi="Arial" w:cs="David" w:hint="cs"/>
          <w:sz w:val="24"/>
          <w:szCs w:val="24"/>
          <w:rtl/>
        </w:rPr>
        <w:t>האג"ח</w:t>
      </w:r>
      <w:proofErr w:type="spellEnd"/>
      <w:r w:rsidRPr="0007764E">
        <w:rPr>
          <w:rFonts w:ascii="Arial" w:hAnsi="Arial" w:cs="David" w:hint="cs"/>
          <w:sz w:val="24"/>
          <w:szCs w:val="24"/>
          <w:rtl/>
        </w:rPr>
        <w:t xml:space="preserve"> הממשלתיות </w:t>
      </w:r>
      <w:r w:rsidR="00DA4279" w:rsidRPr="0007764E">
        <w:rPr>
          <w:rFonts w:ascii="Arial" w:hAnsi="Arial" w:cs="David" w:hint="cs"/>
          <w:sz w:val="24"/>
          <w:szCs w:val="24"/>
          <w:rtl/>
        </w:rPr>
        <w:t xml:space="preserve">הצמודות </w:t>
      </w:r>
      <w:r w:rsidR="004C43DC" w:rsidRPr="0007764E">
        <w:rPr>
          <w:rFonts w:ascii="Arial" w:hAnsi="Arial" w:cs="David" w:hint="cs"/>
          <w:sz w:val="24"/>
          <w:szCs w:val="24"/>
          <w:rtl/>
        </w:rPr>
        <w:t>התרחב</w:t>
      </w:r>
      <w:r w:rsidR="009B7097" w:rsidRPr="0007764E">
        <w:rPr>
          <w:rFonts w:ascii="Arial" w:hAnsi="Arial" w:cs="David" w:hint="cs"/>
          <w:sz w:val="24"/>
          <w:szCs w:val="24"/>
          <w:rtl/>
        </w:rPr>
        <w:t xml:space="preserve"> בכ-0.1 נק' האחוז</w:t>
      </w:r>
      <w:r w:rsidR="00DA4279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4C43DC" w:rsidRPr="0007764E">
        <w:rPr>
          <w:rFonts w:ascii="Arial" w:hAnsi="Arial" w:cs="David" w:hint="cs"/>
          <w:sz w:val="24"/>
          <w:szCs w:val="24"/>
          <w:rtl/>
        </w:rPr>
        <w:t>ב</w:t>
      </w:r>
      <w:r w:rsidR="00237314" w:rsidRPr="0007764E">
        <w:rPr>
          <w:rFonts w:ascii="Arial" w:hAnsi="Arial" w:cs="David" w:hint="cs"/>
          <w:sz w:val="24"/>
          <w:szCs w:val="24"/>
          <w:rtl/>
        </w:rPr>
        <w:t xml:space="preserve">חודשיים האחרונים עד לרמה של כ-1.36 </w:t>
      </w:r>
      <w:r w:rsidRPr="0007764E">
        <w:rPr>
          <w:rFonts w:ascii="Arial" w:hAnsi="Arial" w:cs="David" w:hint="cs"/>
          <w:sz w:val="24"/>
          <w:szCs w:val="24"/>
          <w:rtl/>
        </w:rPr>
        <w:t>נק' האחוז</w:t>
      </w:r>
      <w:r w:rsidR="00237314" w:rsidRPr="0007764E">
        <w:rPr>
          <w:rFonts w:ascii="Arial" w:hAnsi="Arial" w:cs="David" w:hint="cs"/>
          <w:sz w:val="24"/>
          <w:szCs w:val="24"/>
          <w:rtl/>
        </w:rPr>
        <w:t xml:space="preserve"> ב</w:t>
      </w:r>
      <w:r w:rsidR="00237314" w:rsidRPr="0007764E">
        <w:rPr>
          <w:rFonts w:ascii="Arial" w:hAnsi="Arial" w:cs="David" w:hint="cs"/>
          <w:b/>
          <w:bCs/>
          <w:sz w:val="24"/>
          <w:szCs w:val="24"/>
          <w:rtl/>
        </w:rPr>
        <w:t>אוקטובר</w:t>
      </w:r>
      <w:r w:rsidR="009E58EA" w:rsidRPr="0007764E">
        <w:rPr>
          <w:rFonts w:ascii="Arial" w:hAnsi="Arial" w:cs="David" w:hint="cs"/>
          <w:sz w:val="24"/>
          <w:szCs w:val="24"/>
          <w:rtl/>
        </w:rPr>
        <w:t xml:space="preserve">, זאת </w:t>
      </w:r>
      <w:r w:rsidR="00237314" w:rsidRPr="0007764E">
        <w:rPr>
          <w:rFonts w:ascii="Arial" w:hAnsi="Arial" w:cs="David" w:hint="cs"/>
          <w:sz w:val="24"/>
          <w:szCs w:val="24"/>
          <w:rtl/>
        </w:rPr>
        <w:t xml:space="preserve">לאחר </w:t>
      </w:r>
      <w:r w:rsidR="009E58EA" w:rsidRPr="0007764E">
        <w:rPr>
          <w:rFonts w:ascii="Arial" w:hAnsi="Arial" w:cs="David" w:hint="cs"/>
          <w:sz w:val="24"/>
          <w:szCs w:val="24"/>
          <w:rtl/>
        </w:rPr>
        <w:t>ירידה</w:t>
      </w:r>
      <w:r w:rsidR="009B7097" w:rsidRPr="0007764E">
        <w:rPr>
          <w:rFonts w:ascii="Arial" w:hAnsi="Arial" w:cs="David" w:hint="cs"/>
          <w:sz w:val="24"/>
          <w:szCs w:val="24"/>
          <w:rtl/>
        </w:rPr>
        <w:t xml:space="preserve"> של כ-0.31 נק' האחוז</w:t>
      </w:r>
      <w:r w:rsidR="009E58EA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237314" w:rsidRPr="0007764E">
        <w:rPr>
          <w:rFonts w:ascii="Arial" w:hAnsi="Arial" w:cs="David" w:hint="cs"/>
          <w:sz w:val="24"/>
          <w:szCs w:val="24"/>
          <w:rtl/>
        </w:rPr>
        <w:t>שנרשמה בחודשים מרץ עד אוגוסט של השנה</w:t>
      </w:r>
      <w:r w:rsidR="00A23183" w:rsidRPr="0007764E">
        <w:rPr>
          <w:rFonts w:ascii="Arial" w:hAnsi="Arial" w:cs="David" w:hint="cs"/>
          <w:sz w:val="24"/>
          <w:szCs w:val="24"/>
          <w:rtl/>
        </w:rPr>
        <w:t xml:space="preserve">. </w:t>
      </w:r>
    </w:p>
    <w:p w:rsidR="0007764E" w:rsidRDefault="0007764E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  <w:lang w:eastAsia="en-US"/>
        </w:rPr>
      </w:pPr>
      <w:r>
        <w:rPr>
          <w:rFonts w:asciiTheme="minorBidi" w:hAnsiTheme="minorBidi" w:cs="David"/>
          <w:b/>
          <w:bCs/>
          <w:rtl/>
        </w:rPr>
        <w:br w:type="page"/>
      </w:r>
    </w:p>
    <w:p w:rsidR="00AC3E61" w:rsidRPr="0007764E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07764E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07764E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07764E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07764E" w:rsidRDefault="009050FC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07764E">
        <w:rPr>
          <w:rFonts w:cs="David"/>
          <w:noProof/>
          <w:rtl/>
        </w:rPr>
        <w:drawing>
          <wp:inline distT="0" distB="0" distL="0" distR="0" wp14:anchorId="719E7D6A" wp14:editId="683E4484">
            <wp:extent cx="5278120" cy="2411004"/>
            <wp:effectExtent l="0" t="0" r="0" b="8890"/>
            <wp:docPr id="7" name="תמונה 7" descr="התפלגות החוב של המגזר העסקי1 " title="התפלגות החוב של המגזר העסק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54D" w:rsidRPr="0007764E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07764E" w:rsidRDefault="00AC3E61" w:rsidP="006D52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07764E">
        <w:rPr>
          <w:rFonts w:asciiTheme="minorBidi" w:hAnsiTheme="minorBidi" w:cs="David"/>
          <w:b/>
          <w:bCs/>
          <w:rtl/>
        </w:rPr>
        <w:t xml:space="preserve">איור 1: החוב הבנקאי והחוץ-בנקאי של הסקטור העסקי – שיעורי השינוי לעומת </w:t>
      </w:r>
      <w:r w:rsidR="006D526D" w:rsidRPr="0007764E">
        <w:rPr>
          <w:rFonts w:asciiTheme="minorBidi" w:hAnsiTheme="minorBidi" w:cs="David" w:hint="cs"/>
          <w:b/>
          <w:bCs/>
          <w:rtl/>
        </w:rPr>
        <w:t>הרביע</w:t>
      </w:r>
      <w:r w:rsidRPr="0007764E">
        <w:rPr>
          <w:rFonts w:asciiTheme="minorBidi" w:hAnsiTheme="minorBidi" w:cs="David"/>
          <w:b/>
          <w:bCs/>
          <w:rtl/>
        </w:rPr>
        <w:t xml:space="preserve"> המקביל בשנה הקודמת</w:t>
      </w:r>
    </w:p>
    <w:p w:rsidR="002A60C4" w:rsidRPr="0007764E" w:rsidRDefault="009050FC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7764E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7D76348" wp14:editId="5D088723">
            <wp:extent cx="5273675" cy="2578735"/>
            <wp:effectExtent l="0" t="0" r="3175" b="0"/>
            <wp:docPr id="8" name="תמונה 8" descr="החוב הבנקאי והחוץ-בנקאי של הסקטור העסקי – שיעורי השינוי לעומת הרביע המקביל בשנה הקודמת" title="החוב הבנקאי והחוץ-בנקאי של הסקטור העסקי – שיעורי השינוי לעומת הרביע המקביל בשנה הקו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07764E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07764E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07764E" w:rsidRDefault="009050FC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07764E">
        <w:rPr>
          <w:rFonts w:cs="David"/>
          <w:noProof/>
          <w:lang w:eastAsia="en-US"/>
        </w:rPr>
        <w:drawing>
          <wp:inline distT="0" distB="0" distL="0" distR="0" wp14:anchorId="2B353C95" wp14:editId="3461E510">
            <wp:extent cx="5278120" cy="1336295"/>
            <wp:effectExtent l="0" t="0" r="0" b="0"/>
            <wp:docPr id="9" name="תמונה 9" descr="התפלגות החוב לפי בסיסי הצמדה" title="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3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CD" w:rsidRPr="0007764E" w:rsidRDefault="007A3CCD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07764E" w:rsidRDefault="00AC3E61" w:rsidP="00825F21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איור 2: הנפקות אג"ח של הסקטור העסקי הלא פיננסי</w:t>
      </w:r>
    </w:p>
    <w:p w:rsidR="00F83505" w:rsidRPr="0007764E" w:rsidRDefault="00DB73B4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07764E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A9D74D9" wp14:editId="75988118">
            <wp:extent cx="5309870" cy="3078480"/>
            <wp:effectExtent l="0" t="0" r="5080" b="7620"/>
            <wp:docPr id="18" name="תמונה 18" descr="הנפקות אג&quot;ח של הסקטור העסקי הלא פיננסי" title="הנפקות אג&quot;ח של הסקטור העסקי הלא 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07764E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07764E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07764E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07764E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07764E" w:rsidRDefault="009050FC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07764E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769D74DE" wp14:editId="1199724B">
            <wp:extent cx="5297805" cy="2725420"/>
            <wp:effectExtent l="0" t="0" r="0" b="0"/>
            <wp:docPr id="13" name="תמונה 13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443" w:rsidRDefault="005C2443">
      <w:pPr>
        <w:spacing w:after="200" w:line="276" w:lineRule="auto"/>
        <w:rPr>
          <w:rFonts w:ascii="Arial" w:hAnsi="Arial" w:cs="David"/>
          <w:sz w:val="24"/>
          <w:szCs w:val="24"/>
          <w:u w:val="single"/>
          <w:rtl/>
        </w:rPr>
      </w:pPr>
      <w:r>
        <w:rPr>
          <w:rFonts w:ascii="Arial" w:hAnsi="Arial" w:cs="David"/>
          <w:sz w:val="24"/>
          <w:szCs w:val="24"/>
          <w:u w:val="single"/>
          <w:rtl/>
        </w:rPr>
        <w:br w:type="page"/>
      </w:r>
    </w:p>
    <w:p w:rsidR="009F574F" w:rsidRPr="0007764E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bookmarkStart w:id="0" w:name="_GoBack"/>
      <w:r w:rsidRPr="0007764E">
        <w:rPr>
          <w:rStyle w:val="10"/>
          <w:rFonts w:cs="David"/>
          <w:rtl/>
        </w:rPr>
        <w:lastRenderedPageBreak/>
        <w:t>החוב של משקי הבית</w:t>
      </w:r>
    </w:p>
    <w:p w:rsidR="00C95582" w:rsidRPr="0007764E" w:rsidRDefault="002319C1" w:rsidP="00144AA6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07764E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07764E">
        <w:rPr>
          <w:rFonts w:ascii="Arial" w:hAnsi="Arial" w:cs="David" w:hint="cs"/>
          <w:sz w:val="24"/>
          <w:szCs w:val="24"/>
          <w:rtl/>
        </w:rPr>
        <w:t xml:space="preserve"> גדלה </w:t>
      </w:r>
      <w:r w:rsidR="00DA070E" w:rsidRPr="0007764E">
        <w:rPr>
          <w:rFonts w:ascii="Arial" w:hAnsi="Arial" w:cs="David" w:hint="cs"/>
          <w:b/>
          <w:bCs/>
          <w:sz w:val="24"/>
          <w:szCs w:val="24"/>
          <w:rtl/>
        </w:rPr>
        <w:t xml:space="preserve">ברביע </w:t>
      </w:r>
      <w:r w:rsidR="00525B9D" w:rsidRPr="0007764E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A34179" w:rsidRPr="0007764E">
        <w:rPr>
          <w:rFonts w:ascii="Arial" w:hAnsi="Arial" w:cs="David" w:hint="cs"/>
          <w:b/>
          <w:bCs/>
          <w:sz w:val="24"/>
          <w:szCs w:val="24"/>
          <w:rtl/>
        </w:rPr>
        <w:t>שלישי</w:t>
      </w:r>
      <w:r w:rsidR="00DA070E" w:rsidRPr="0007764E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525B9D" w:rsidRPr="0007764E">
        <w:rPr>
          <w:rFonts w:ascii="Arial" w:hAnsi="Arial" w:cs="David" w:hint="cs"/>
          <w:sz w:val="24"/>
          <w:szCs w:val="24"/>
          <w:rtl/>
        </w:rPr>
        <w:t>2016</w:t>
      </w:r>
      <w:r w:rsidRPr="0007764E">
        <w:rPr>
          <w:rFonts w:ascii="Arial" w:hAnsi="Arial" w:cs="David" w:hint="cs"/>
          <w:sz w:val="24"/>
          <w:szCs w:val="24"/>
          <w:rtl/>
        </w:rPr>
        <w:t xml:space="preserve"> בכ-</w:t>
      </w:r>
      <w:r w:rsidR="00A34179" w:rsidRPr="0007764E">
        <w:rPr>
          <w:rFonts w:ascii="Arial" w:hAnsi="Arial" w:cs="David" w:hint="cs"/>
          <w:sz w:val="24"/>
          <w:szCs w:val="24"/>
          <w:rtl/>
        </w:rPr>
        <w:t xml:space="preserve">11 </w:t>
      </w:r>
      <w:r w:rsidRPr="0007764E">
        <w:rPr>
          <w:rFonts w:ascii="Arial" w:hAnsi="Arial" w:cs="David" w:hint="cs"/>
          <w:sz w:val="24"/>
          <w:szCs w:val="24"/>
          <w:rtl/>
        </w:rPr>
        <w:t>מיליארדי ש"ח (</w:t>
      </w:r>
      <w:r w:rsidR="00A34179" w:rsidRPr="0007764E">
        <w:rPr>
          <w:rFonts w:ascii="Arial" w:hAnsi="Arial" w:cs="David" w:hint="cs"/>
          <w:sz w:val="24"/>
          <w:szCs w:val="24"/>
          <w:rtl/>
        </w:rPr>
        <w:t>2.2</w:t>
      </w:r>
      <w:r w:rsidRPr="0007764E">
        <w:rPr>
          <w:rFonts w:ascii="Arial" w:hAnsi="Arial" w:cs="David" w:hint="cs"/>
          <w:sz w:val="24"/>
          <w:szCs w:val="24"/>
          <w:rtl/>
        </w:rPr>
        <w:t>%) והסתכמה בכ-</w:t>
      </w:r>
      <w:r w:rsidR="00A34179" w:rsidRPr="0007764E">
        <w:rPr>
          <w:rFonts w:ascii="Arial" w:hAnsi="Arial" w:cs="David" w:hint="cs"/>
          <w:sz w:val="24"/>
          <w:szCs w:val="24"/>
          <w:rtl/>
        </w:rPr>
        <w:t>501</w:t>
      </w:r>
      <w:r w:rsidR="00DA070E" w:rsidRPr="0007764E">
        <w:rPr>
          <w:rFonts w:ascii="Arial" w:hAnsi="Arial" w:cs="David" w:hint="cs"/>
          <w:sz w:val="24"/>
          <w:szCs w:val="24"/>
          <w:rtl/>
        </w:rPr>
        <w:t xml:space="preserve"> מיליארדים. </w:t>
      </w:r>
      <w:r w:rsidR="00C95582" w:rsidRPr="0007764E">
        <w:rPr>
          <w:rFonts w:ascii="Arial" w:hAnsi="Arial" w:cs="David" w:hint="cs"/>
          <w:b/>
          <w:bCs/>
          <w:sz w:val="24"/>
          <w:szCs w:val="24"/>
          <w:rtl/>
        </w:rPr>
        <w:t xml:space="preserve">מתחילת </w:t>
      </w:r>
      <w:r w:rsidR="00674FDA" w:rsidRPr="0007764E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AA6DC6" w:rsidRPr="0007764E">
        <w:rPr>
          <w:rFonts w:ascii="Arial" w:hAnsi="Arial" w:cs="David" w:hint="cs"/>
          <w:b/>
          <w:bCs/>
          <w:sz w:val="24"/>
          <w:szCs w:val="24"/>
          <w:rtl/>
        </w:rPr>
        <w:t>שנ</w:t>
      </w:r>
      <w:r w:rsidR="00674FDA" w:rsidRPr="0007764E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AA6DC6" w:rsidRPr="0007764E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C95582" w:rsidRPr="0007764E">
        <w:rPr>
          <w:rFonts w:ascii="Arial" w:hAnsi="Arial" w:cs="David" w:hint="cs"/>
          <w:sz w:val="24"/>
          <w:szCs w:val="24"/>
          <w:rtl/>
        </w:rPr>
        <w:t>גדלה יתרת החוב של משקי הבית בכ-</w:t>
      </w:r>
      <w:r w:rsidR="00A34179" w:rsidRPr="0007764E">
        <w:rPr>
          <w:rFonts w:ascii="Arial" w:hAnsi="Arial" w:cs="David" w:hint="cs"/>
          <w:sz w:val="24"/>
          <w:szCs w:val="24"/>
          <w:rtl/>
        </w:rPr>
        <w:t>2</w:t>
      </w:r>
      <w:r w:rsidR="00AB31EF" w:rsidRPr="0007764E">
        <w:rPr>
          <w:rFonts w:ascii="Arial" w:hAnsi="Arial" w:cs="David" w:hint="cs"/>
          <w:sz w:val="24"/>
          <w:szCs w:val="24"/>
          <w:rtl/>
        </w:rPr>
        <w:t>7</w:t>
      </w:r>
      <w:r w:rsidR="00C95582" w:rsidRPr="0007764E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AB31EF" w:rsidRPr="0007764E">
        <w:rPr>
          <w:rFonts w:ascii="Arial" w:hAnsi="Arial" w:cs="David" w:hint="cs"/>
          <w:sz w:val="24"/>
          <w:szCs w:val="24"/>
          <w:rtl/>
        </w:rPr>
        <w:t>5.6</w:t>
      </w:r>
      <w:r w:rsidR="00144AA6" w:rsidRPr="0007764E">
        <w:rPr>
          <w:rFonts w:ascii="Arial" w:hAnsi="Arial" w:cs="David" w:hint="cs"/>
          <w:sz w:val="24"/>
          <w:szCs w:val="24"/>
          <w:rtl/>
        </w:rPr>
        <w:t>%), מזה כ-16 מיליארדים (4.9%) בחוב לדיור וכ-11 מיליארדים (7.2%) בחוב שאינו לדיור.</w:t>
      </w:r>
    </w:p>
    <w:p w:rsidR="002319C1" w:rsidRPr="0007764E" w:rsidRDefault="00DA070E" w:rsidP="00AB31EF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07764E">
        <w:rPr>
          <w:rFonts w:ascii="Arial" w:hAnsi="Arial" w:cs="David" w:hint="cs"/>
          <w:sz w:val="24"/>
          <w:szCs w:val="24"/>
          <w:rtl/>
        </w:rPr>
        <w:t xml:space="preserve">יתרת החוב לדיור </w:t>
      </w:r>
      <w:r w:rsidR="002319C1" w:rsidRPr="0007764E">
        <w:rPr>
          <w:rFonts w:ascii="Arial" w:hAnsi="Arial" w:cs="David" w:hint="cs"/>
          <w:sz w:val="24"/>
          <w:szCs w:val="24"/>
          <w:rtl/>
        </w:rPr>
        <w:t xml:space="preserve">עלתה </w:t>
      </w:r>
      <w:r w:rsidR="00C95582" w:rsidRPr="0007764E">
        <w:rPr>
          <w:rFonts w:ascii="Arial" w:hAnsi="Arial" w:cs="David" w:hint="cs"/>
          <w:b/>
          <w:bCs/>
          <w:sz w:val="24"/>
          <w:szCs w:val="24"/>
          <w:rtl/>
        </w:rPr>
        <w:t>ברביע ה</w:t>
      </w:r>
      <w:r w:rsidR="00AB31EF" w:rsidRPr="0007764E">
        <w:rPr>
          <w:rFonts w:ascii="Arial" w:hAnsi="Arial" w:cs="David" w:hint="cs"/>
          <w:b/>
          <w:bCs/>
          <w:sz w:val="24"/>
          <w:szCs w:val="24"/>
          <w:rtl/>
        </w:rPr>
        <w:t>שלישי</w:t>
      </w:r>
      <w:r w:rsidR="00C95582" w:rsidRPr="0007764E">
        <w:rPr>
          <w:rFonts w:ascii="Arial" w:hAnsi="Arial" w:cs="David" w:hint="cs"/>
          <w:sz w:val="24"/>
          <w:szCs w:val="24"/>
          <w:rtl/>
        </w:rPr>
        <w:t xml:space="preserve"> של השנה </w:t>
      </w:r>
      <w:r w:rsidR="002319C1" w:rsidRPr="0007764E">
        <w:rPr>
          <w:rFonts w:ascii="Arial" w:hAnsi="Arial" w:cs="David" w:hint="cs"/>
          <w:sz w:val="24"/>
          <w:szCs w:val="24"/>
          <w:rtl/>
        </w:rPr>
        <w:t>בכ-</w:t>
      </w:r>
      <w:r w:rsidR="00AB31EF" w:rsidRPr="0007764E">
        <w:rPr>
          <w:rFonts w:ascii="Arial" w:hAnsi="Arial" w:cs="David" w:hint="cs"/>
          <w:sz w:val="24"/>
          <w:szCs w:val="24"/>
          <w:rtl/>
        </w:rPr>
        <w:t xml:space="preserve">6 </w:t>
      </w:r>
      <w:r w:rsidR="002319C1" w:rsidRPr="0007764E">
        <w:rPr>
          <w:rFonts w:ascii="Arial" w:hAnsi="Arial" w:cs="David" w:hint="cs"/>
          <w:sz w:val="24"/>
          <w:szCs w:val="24"/>
          <w:rtl/>
        </w:rPr>
        <w:t xml:space="preserve">מיליארדי ש"ח </w:t>
      </w:r>
      <w:r w:rsidR="00C95582" w:rsidRPr="0007764E">
        <w:rPr>
          <w:rFonts w:ascii="Arial" w:hAnsi="Arial" w:cs="David" w:hint="cs"/>
          <w:sz w:val="24"/>
          <w:szCs w:val="24"/>
          <w:rtl/>
        </w:rPr>
        <w:t>(</w:t>
      </w:r>
      <w:r w:rsidR="00AB31EF" w:rsidRPr="0007764E">
        <w:rPr>
          <w:rFonts w:ascii="Arial" w:hAnsi="Arial" w:cs="David" w:hint="cs"/>
          <w:sz w:val="24"/>
          <w:szCs w:val="24"/>
          <w:rtl/>
        </w:rPr>
        <w:t>1.8</w:t>
      </w:r>
      <w:r w:rsidR="00C95582" w:rsidRPr="0007764E">
        <w:rPr>
          <w:rFonts w:ascii="Arial" w:hAnsi="Arial" w:cs="David" w:hint="cs"/>
          <w:sz w:val="24"/>
          <w:szCs w:val="24"/>
          <w:rtl/>
        </w:rPr>
        <w:t xml:space="preserve">%) </w:t>
      </w:r>
      <w:r w:rsidR="002319C1" w:rsidRPr="0007764E">
        <w:rPr>
          <w:rFonts w:ascii="Arial" w:hAnsi="Arial" w:cs="David" w:hint="cs"/>
          <w:sz w:val="24"/>
          <w:szCs w:val="24"/>
          <w:rtl/>
        </w:rPr>
        <w:t>ועומדת על כ-3</w:t>
      </w:r>
      <w:r w:rsidR="0017002C" w:rsidRPr="0007764E">
        <w:rPr>
          <w:rFonts w:ascii="Arial" w:hAnsi="Arial" w:cs="David" w:hint="cs"/>
          <w:sz w:val="24"/>
          <w:szCs w:val="24"/>
          <w:rtl/>
        </w:rPr>
        <w:t>3</w:t>
      </w:r>
      <w:r w:rsidR="00AB31EF" w:rsidRPr="0007764E">
        <w:rPr>
          <w:rFonts w:ascii="Arial" w:hAnsi="Arial" w:cs="David" w:hint="cs"/>
          <w:sz w:val="24"/>
          <w:szCs w:val="24"/>
          <w:rtl/>
        </w:rPr>
        <w:t>7 מיליארדים.</w:t>
      </w:r>
    </w:p>
    <w:p w:rsidR="006B0BAE" w:rsidRPr="0007764E" w:rsidRDefault="00AB31EF" w:rsidP="00224F08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07764E">
        <w:rPr>
          <w:rFonts w:ascii="Arial" w:hAnsi="Arial" w:cs="David"/>
          <w:b/>
          <w:bCs/>
          <w:sz w:val="24"/>
          <w:szCs w:val="24"/>
          <w:rtl/>
        </w:rPr>
        <w:t>ברביע השלישי</w:t>
      </w:r>
      <w:r w:rsidRPr="0007764E">
        <w:rPr>
          <w:rFonts w:ascii="Arial" w:hAnsi="Arial" w:cs="David"/>
          <w:sz w:val="24"/>
          <w:szCs w:val="24"/>
          <w:rtl/>
        </w:rPr>
        <w:t xml:space="preserve"> של שנת 2016 נטילת משכנתאות חדשות הסתכמה בכ-16 מיליארדי ש"ח, דומה לתקופה המקבילה אשתקד. ב</w:t>
      </w:r>
      <w:r w:rsidRPr="0007764E">
        <w:rPr>
          <w:rFonts w:ascii="Arial" w:hAnsi="Arial" w:cs="David"/>
          <w:b/>
          <w:bCs/>
          <w:sz w:val="24"/>
          <w:szCs w:val="24"/>
          <w:rtl/>
        </w:rPr>
        <w:t>אוקטובר 2016</w:t>
      </w:r>
      <w:r w:rsidRPr="0007764E">
        <w:rPr>
          <w:rFonts w:ascii="Arial" w:hAnsi="Arial" w:cs="David"/>
          <w:sz w:val="24"/>
          <w:szCs w:val="24"/>
          <w:rtl/>
        </w:rPr>
        <w:t xml:space="preserve"> חלה ירידה עונתית ברובה בנטילת משכנתאות לעומת החודש הקודם, והן הסתכמו בכ-2.8 מיליארדי ש"ח, זאת בעקבות מיעוט ימי העסקים בחודש זה. בניכוי השפעות עונתיות,</w:t>
      </w:r>
      <w:r w:rsidR="00224F08" w:rsidRPr="0007764E">
        <w:rPr>
          <w:rFonts w:ascii="Arial" w:hAnsi="Arial" w:cs="David" w:hint="cs"/>
          <w:sz w:val="24"/>
          <w:szCs w:val="24"/>
          <w:rtl/>
        </w:rPr>
        <w:t xml:space="preserve"> האומדן</w:t>
      </w:r>
      <w:r w:rsidRPr="0007764E">
        <w:rPr>
          <w:rFonts w:ascii="Arial" w:hAnsi="Arial" w:cs="David"/>
          <w:sz w:val="24"/>
          <w:szCs w:val="24"/>
          <w:rtl/>
        </w:rPr>
        <w:t xml:space="preserve"> </w:t>
      </w:r>
      <w:r w:rsidR="00224F08" w:rsidRPr="0007764E">
        <w:rPr>
          <w:rFonts w:ascii="Arial" w:hAnsi="Arial" w:cs="David" w:hint="cs"/>
          <w:sz w:val="24"/>
          <w:szCs w:val="24"/>
          <w:rtl/>
        </w:rPr>
        <w:t>ל</w:t>
      </w:r>
      <w:r w:rsidRPr="0007764E">
        <w:rPr>
          <w:rFonts w:ascii="Arial" w:hAnsi="Arial" w:cs="David"/>
          <w:sz w:val="24"/>
          <w:szCs w:val="24"/>
          <w:rtl/>
        </w:rPr>
        <w:t xml:space="preserve">נטילת משכנתאות חדשות בחודש אוקטובר </w:t>
      </w:r>
      <w:r w:rsidR="00224F08" w:rsidRPr="0007764E">
        <w:rPr>
          <w:rFonts w:ascii="Arial" w:hAnsi="Arial" w:cs="David" w:hint="cs"/>
          <w:sz w:val="24"/>
          <w:szCs w:val="24"/>
          <w:rtl/>
        </w:rPr>
        <w:t>הסתכם בכ</w:t>
      </w:r>
      <w:r w:rsidRPr="0007764E">
        <w:rPr>
          <w:rFonts w:ascii="Arial" w:hAnsi="Arial" w:cs="David"/>
          <w:sz w:val="24"/>
          <w:szCs w:val="24"/>
          <w:rtl/>
        </w:rPr>
        <w:t>-4.1 מיליארדי ש"ח</w:t>
      </w:r>
      <w:r w:rsidRPr="0007764E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664600" w:rsidRPr="0007764E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8A537E" w:rsidRPr="0007764E">
        <w:rPr>
          <w:rFonts w:ascii="Arial" w:hAnsi="Arial" w:cs="David" w:hint="cs"/>
          <w:sz w:val="24"/>
          <w:szCs w:val="24"/>
          <w:rtl/>
        </w:rPr>
        <w:t>4</w:t>
      </w:r>
      <w:r w:rsidR="00664600" w:rsidRPr="0007764E">
        <w:rPr>
          <w:rFonts w:ascii="Arial" w:hAnsi="Arial" w:cs="David" w:hint="cs"/>
          <w:sz w:val="24"/>
          <w:szCs w:val="24"/>
          <w:rtl/>
        </w:rPr>
        <w:t>).</w:t>
      </w:r>
      <w:r w:rsidR="00A20385" w:rsidRPr="0007764E">
        <w:rPr>
          <w:rFonts w:ascii="Arial" w:hAnsi="Arial" w:cs="David" w:hint="cs"/>
          <w:sz w:val="24"/>
          <w:szCs w:val="24"/>
          <w:rtl/>
        </w:rPr>
        <w:t xml:space="preserve"> </w:t>
      </w:r>
    </w:p>
    <w:bookmarkEnd w:id="0"/>
    <w:p w:rsidR="00AC3E61" w:rsidRPr="0007764E" w:rsidRDefault="00AC3E61" w:rsidP="004B58B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>לוח 3: יתרות החוב של משקי הבית</w:t>
      </w:r>
      <w:r w:rsidRPr="0007764E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07764E">
        <w:rPr>
          <w:rFonts w:ascii="Arial" w:hAnsi="Arial" w:cs="David"/>
          <w:sz w:val="24"/>
          <w:szCs w:val="24"/>
        </w:rPr>
        <w:t xml:space="preserve"> </w:t>
      </w:r>
      <w:r w:rsidR="009050FC" w:rsidRPr="0007764E">
        <w:rPr>
          <w:rFonts w:cs="David"/>
          <w:noProof/>
          <w:rtl/>
          <w:lang w:eastAsia="en-US"/>
        </w:rPr>
        <w:drawing>
          <wp:inline distT="0" distB="0" distL="0" distR="0" wp14:anchorId="46C274A6" wp14:editId="2D01D022">
            <wp:extent cx="5278120" cy="4504368"/>
            <wp:effectExtent l="0" t="0" r="0" b="0"/>
            <wp:docPr id="15" name="תמונה 15" descr="יתרות החוב של משקי הבית1 " title="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0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52" w:rsidRPr="0007764E" w:rsidRDefault="006D3752" w:rsidP="00522BB0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07764E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07764E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07764E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07764E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07764E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6D3752" w:rsidRPr="0007764E" w:rsidRDefault="006D3752" w:rsidP="006D3752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07764E" w:rsidRDefault="0007764E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</w:rPr>
      </w:pPr>
    </w:p>
    <w:p w:rsidR="00546295" w:rsidRPr="0007764E" w:rsidRDefault="00BF4C2E" w:rsidP="006D3752">
      <w:pPr>
        <w:bidi/>
        <w:spacing w:line="360" w:lineRule="auto"/>
        <w:jc w:val="center"/>
        <w:rPr>
          <w:rFonts w:ascii="Arial" w:hAnsi="Arial" w:cs="David"/>
          <w:noProof/>
          <w:sz w:val="24"/>
          <w:szCs w:val="24"/>
          <w:rtl/>
          <w:lang w:eastAsia="en-US"/>
        </w:rPr>
      </w:pP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522BB0" w:rsidRPr="0007764E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>: נטילת משכנתאות חדשות מ</w:t>
      </w:r>
      <w:r w:rsidR="009050FC" w:rsidRPr="0007764E">
        <w:rPr>
          <w:rFonts w:asciiTheme="minorBidi" w:hAnsiTheme="minorBidi" w:cs="David" w:hint="cs"/>
          <w:b/>
          <w:bCs/>
          <w:sz w:val="24"/>
          <w:szCs w:val="24"/>
          <w:rtl/>
        </w:rPr>
        <w:t>ה</w:t>
      </w:r>
      <w:r w:rsidRPr="0007764E">
        <w:rPr>
          <w:rFonts w:asciiTheme="minorBidi" w:hAnsiTheme="minorBidi" w:cs="David"/>
          <w:b/>
          <w:bCs/>
          <w:sz w:val="24"/>
          <w:szCs w:val="24"/>
          <w:rtl/>
        </w:rPr>
        <w:t>בנקים לפי סוגי הצמדה</w:t>
      </w:r>
    </w:p>
    <w:p w:rsidR="00324EF2" w:rsidRPr="0007764E" w:rsidRDefault="009050FC" w:rsidP="00324EF2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07764E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399A7B4C" wp14:editId="7678EF5E">
            <wp:extent cx="5273675" cy="2731135"/>
            <wp:effectExtent l="0" t="0" r="3175" b="0"/>
            <wp:docPr id="16" name="תמונה 16" descr="נטילת משכנתאות חדשות מהבנקים לפי סוגי הצמדה" title="נטילת משכנתאות חדשות מהבנקים לפי סוג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07764E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07764E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07764E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07764E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18" w:history="1">
        <w:r w:rsidRPr="0007764E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07764E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19" w:history="1">
        <w:r w:rsidR="00F97D41" w:rsidRPr="0007764E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07764E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07764E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28" w:rsidRDefault="00F91828" w:rsidP="00C04A6B">
      <w:r>
        <w:separator/>
      </w:r>
    </w:p>
  </w:endnote>
  <w:endnote w:type="continuationSeparator" w:id="0">
    <w:p w:rsidR="00F91828" w:rsidRDefault="00F91828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07764E" w:rsidRDefault="0007764E" w:rsidP="00882DAC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sz w:val="24"/>
                <w:szCs w:val="24"/>
                <w:rtl/>
                <w:cs/>
              </w:rPr>
            </w:pPr>
            <w:r w:rsidRPr="0007764E">
              <w:rPr>
                <w:rFonts w:ascii="Arial" w:hAnsi="Arial" w:cs="David" w:hint="cs"/>
                <w:sz w:val="24"/>
                <w:szCs w:val="24"/>
                <w:rtl/>
              </w:rPr>
              <w:t xml:space="preserve">בנק ישראל - </w:t>
            </w:r>
            <w:r w:rsidR="00507193" w:rsidRPr="0007764E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07764E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של המגזר הפרטי </w:t>
            </w:r>
            <w:r w:rsidR="00FC2095" w:rsidRPr="0007764E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76231E" w:rsidRPr="0007764E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ה</w:t>
            </w:r>
            <w:r w:rsidR="00882DAC" w:rsidRPr="0007764E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שלישי</w:t>
            </w:r>
            <w:r w:rsidR="00802DF3" w:rsidRPr="0007764E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של שנת 201</w:t>
            </w:r>
            <w:r w:rsidR="0076231E" w:rsidRPr="0007764E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6</w:t>
            </w:r>
            <w:r w:rsidR="002438E2" w:rsidRPr="0007764E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07764E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07764E">
              <w:rPr>
                <w:rFonts w:ascii="Arial" w:hAnsi="Arial" w:cs="David"/>
                <w:sz w:val="24"/>
                <w:szCs w:val="24"/>
                <w:rtl/>
                <w:cs/>
              </w:rPr>
              <w:instrText>PAGE</w:instrText>
            </w:r>
            <w:r w:rsidR="002438E2" w:rsidRPr="0007764E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5C2443">
              <w:rPr>
                <w:rFonts w:ascii="Arial" w:hAnsi="Arial" w:cs="David"/>
                <w:noProof/>
                <w:sz w:val="24"/>
                <w:szCs w:val="24"/>
                <w:rtl/>
              </w:rPr>
              <w:t>4</w:t>
            </w:r>
            <w:r w:rsidR="002438E2" w:rsidRPr="0007764E">
              <w:rPr>
                <w:rFonts w:ascii="Arial" w:hAnsi="Arial" w:cs="David"/>
                <w:sz w:val="24"/>
                <w:szCs w:val="24"/>
              </w:rPr>
              <w:fldChar w:fldCharType="end"/>
            </w:r>
            <w:r w:rsidR="002438E2" w:rsidRPr="0007764E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07764E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07764E">
              <w:rPr>
                <w:rFonts w:ascii="Arial" w:hAnsi="Arial" w:cs="David"/>
                <w:sz w:val="24"/>
                <w:szCs w:val="24"/>
                <w:rtl/>
                <w:cs/>
              </w:rPr>
              <w:instrText>NUMPAGES</w:instrText>
            </w:r>
            <w:r w:rsidR="002438E2" w:rsidRPr="0007764E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 w:rsidR="005C2443">
              <w:rPr>
                <w:rFonts w:ascii="Arial" w:hAnsi="Arial" w:cs="David"/>
                <w:noProof/>
                <w:sz w:val="24"/>
                <w:szCs w:val="24"/>
                <w:rtl/>
              </w:rPr>
              <w:t>5</w:t>
            </w:r>
            <w:r w:rsidR="002438E2" w:rsidRPr="0007764E">
              <w:rPr>
                <w:rFonts w:ascii="Arial" w:hAnsi="Arial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28" w:rsidRDefault="00F91828" w:rsidP="00C04A6B">
      <w:r>
        <w:separator/>
      </w:r>
    </w:p>
  </w:footnote>
  <w:footnote w:type="continuationSeparator" w:id="0">
    <w:p w:rsidR="00F91828" w:rsidRDefault="00F91828" w:rsidP="00C04A6B">
      <w:r>
        <w:continuationSeparator/>
      </w:r>
    </w:p>
  </w:footnote>
  <w:footnote w:id="1">
    <w:p w:rsidR="00882DAC" w:rsidRPr="00882DAC" w:rsidRDefault="00882DAC" w:rsidP="003A48D2">
      <w:pPr>
        <w:bidi/>
        <w:ind w:left="15"/>
        <w:rPr>
          <w:rFonts w:ascii="Arial" w:hAnsi="Arial" w:cs="Arial"/>
          <w:sz w:val="22"/>
          <w:szCs w:val="22"/>
        </w:rPr>
      </w:pPr>
      <w:r w:rsidRPr="00882DAC">
        <w:rPr>
          <w:rStyle w:val="af1"/>
          <w:sz w:val="24"/>
          <w:szCs w:val="24"/>
        </w:rPr>
        <w:footnoteRef/>
      </w:r>
      <w:r w:rsidRPr="00882DAC">
        <w:rPr>
          <w:sz w:val="24"/>
          <w:szCs w:val="24"/>
        </w:rPr>
        <w:t xml:space="preserve"> </w:t>
      </w:r>
      <w:r w:rsidRPr="0007764E">
        <w:rPr>
          <w:rFonts w:ascii="Arial" w:hAnsi="Arial" w:cs="David"/>
          <w:sz w:val="24"/>
          <w:szCs w:val="24"/>
          <w:rtl/>
        </w:rPr>
        <w:t>בחודש נובמבר 2016 בוצעו התיקונים הרטרואקטיביים הבאים</w:t>
      </w:r>
      <w:r w:rsidRPr="0007764E">
        <w:rPr>
          <w:rFonts w:cs="David" w:hint="cs"/>
          <w:sz w:val="24"/>
          <w:szCs w:val="24"/>
          <w:rtl/>
        </w:rPr>
        <w:t xml:space="preserve">: </w:t>
      </w:r>
      <w:r w:rsidRPr="0007764E">
        <w:rPr>
          <w:rFonts w:ascii="Arial" w:hAnsi="Arial" w:cs="David"/>
          <w:sz w:val="24"/>
          <w:szCs w:val="24"/>
          <w:rtl/>
        </w:rPr>
        <w:t>ניכוי אשראי למ</w:t>
      </w:r>
      <w:r w:rsidRPr="0007764E">
        <w:rPr>
          <w:rFonts w:ascii="Arial" w:hAnsi="Arial" w:cs="David" w:hint="cs"/>
          <w:sz w:val="24"/>
          <w:szCs w:val="24"/>
          <w:rtl/>
        </w:rPr>
        <w:t>לכ"ר</w:t>
      </w:r>
      <w:r w:rsidRPr="0007764E">
        <w:rPr>
          <w:rFonts w:ascii="Arial" w:hAnsi="Arial" w:cs="David"/>
          <w:sz w:val="24"/>
          <w:szCs w:val="24"/>
          <w:rtl/>
        </w:rPr>
        <w:t>ים ציבוריים</w:t>
      </w:r>
      <w:r w:rsidR="00A4555E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Pr="0007764E">
        <w:rPr>
          <w:rFonts w:ascii="Arial" w:hAnsi="Arial" w:cs="David"/>
          <w:sz w:val="24"/>
          <w:szCs w:val="24"/>
          <w:rtl/>
        </w:rPr>
        <w:t>ופרטיים מ</w:t>
      </w:r>
      <w:r w:rsidRPr="0007764E">
        <w:rPr>
          <w:rFonts w:ascii="Arial" w:hAnsi="Arial" w:cs="David" w:hint="cs"/>
          <w:sz w:val="24"/>
          <w:szCs w:val="24"/>
          <w:rtl/>
        </w:rPr>
        <w:t>המגזר</w:t>
      </w:r>
      <w:r w:rsidRPr="0007764E">
        <w:rPr>
          <w:rFonts w:ascii="Arial" w:hAnsi="Arial" w:cs="David"/>
          <w:sz w:val="24"/>
          <w:szCs w:val="24"/>
          <w:rtl/>
        </w:rPr>
        <w:t xml:space="preserve"> העסקי </w:t>
      </w:r>
      <w:r w:rsidR="00A4555E" w:rsidRPr="0007764E">
        <w:rPr>
          <w:rFonts w:ascii="Arial" w:hAnsi="Arial" w:cs="David" w:hint="cs"/>
          <w:sz w:val="24"/>
          <w:szCs w:val="24"/>
          <w:rtl/>
        </w:rPr>
        <w:t>(</w:t>
      </w:r>
      <w:r w:rsidR="003A48D2" w:rsidRPr="0007764E">
        <w:rPr>
          <w:rFonts w:ascii="Arial" w:hAnsi="Arial" w:cs="David" w:hint="cs"/>
          <w:sz w:val="24"/>
          <w:szCs w:val="24"/>
          <w:rtl/>
        </w:rPr>
        <w:t xml:space="preserve">ירידה של </w:t>
      </w:r>
      <w:r w:rsidR="00A4555E" w:rsidRPr="0007764E">
        <w:rPr>
          <w:rFonts w:ascii="Arial" w:hAnsi="Arial" w:cs="David" w:hint="cs"/>
          <w:sz w:val="24"/>
          <w:szCs w:val="24"/>
          <w:rtl/>
        </w:rPr>
        <w:t xml:space="preserve">כ-2.3 מיליארדי </w:t>
      </w:r>
      <w:r w:rsidR="003A48D2" w:rsidRPr="0007764E">
        <w:rPr>
          <w:rFonts w:ascii="Arial" w:hAnsi="Arial" w:cs="David" w:hint="cs"/>
          <w:sz w:val="24"/>
          <w:szCs w:val="24"/>
          <w:rtl/>
        </w:rPr>
        <w:t>₪, ביתרת החוב של המגזר העסקי)</w:t>
      </w:r>
      <w:r w:rsidR="00A4555E"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Pr="0007764E">
        <w:rPr>
          <w:rFonts w:ascii="Arial" w:hAnsi="Arial" w:cs="David"/>
          <w:sz w:val="24"/>
          <w:szCs w:val="24"/>
          <w:rtl/>
        </w:rPr>
        <w:t xml:space="preserve">והעברתם לממשלה ולמשקי הבית, בהתאמה. זאת, בהתאם להגדרות </w:t>
      </w:r>
      <w:r w:rsidRPr="0007764E">
        <w:rPr>
          <w:rFonts w:ascii="Arial" w:hAnsi="Arial" w:cs="David" w:hint="cs"/>
          <w:sz w:val="24"/>
          <w:szCs w:val="24"/>
          <w:rtl/>
        </w:rPr>
        <w:t>ה</w:t>
      </w:r>
      <w:r w:rsidRPr="0007764E">
        <w:rPr>
          <w:rFonts w:ascii="Arial" w:hAnsi="Arial" w:cs="David"/>
          <w:sz w:val="24"/>
          <w:szCs w:val="24"/>
          <w:rtl/>
        </w:rPr>
        <w:t>בינלאומיות</w:t>
      </w:r>
      <w:r w:rsidRPr="0007764E">
        <w:rPr>
          <w:rFonts w:ascii="Arial" w:hAnsi="Arial" w:cs="David" w:hint="cs"/>
          <w:sz w:val="24"/>
          <w:szCs w:val="24"/>
          <w:rtl/>
        </w:rPr>
        <w:t xml:space="preserve">; </w:t>
      </w:r>
      <w:r w:rsidRPr="0007764E">
        <w:rPr>
          <w:rFonts w:ascii="Arial" w:hAnsi="Arial" w:cs="David"/>
          <w:sz w:val="24"/>
          <w:szCs w:val="24"/>
          <w:rtl/>
        </w:rPr>
        <w:t>שיפור אומדן לאחזקות הגופים המוסדיים באג"ח של ה</w:t>
      </w:r>
      <w:r w:rsidRPr="0007764E">
        <w:rPr>
          <w:rFonts w:ascii="Arial" w:hAnsi="Arial" w:cs="David" w:hint="cs"/>
          <w:sz w:val="24"/>
          <w:szCs w:val="24"/>
          <w:rtl/>
        </w:rPr>
        <w:t>מגזר</w:t>
      </w:r>
      <w:r w:rsidRPr="0007764E">
        <w:rPr>
          <w:rFonts w:ascii="Arial" w:hAnsi="Arial" w:cs="David"/>
          <w:sz w:val="24"/>
          <w:szCs w:val="24"/>
          <w:rtl/>
        </w:rPr>
        <w:t xml:space="preserve"> העסקי באמצעות שימוש בנתונים פרטניים </w:t>
      </w:r>
      <w:r w:rsidR="00DB73B4" w:rsidRPr="0007764E">
        <w:rPr>
          <w:rFonts w:ascii="Arial" w:hAnsi="Arial" w:cs="David"/>
          <w:sz w:val="24"/>
          <w:szCs w:val="24"/>
          <w:rtl/>
        </w:rPr>
        <w:t>–</w:t>
      </w:r>
      <w:r w:rsidRPr="0007764E">
        <w:rPr>
          <w:rFonts w:ascii="Arial" w:hAnsi="Arial" w:cs="David"/>
          <w:sz w:val="24"/>
          <w:szCs w:val="24"/>
          <w:rtl/>
        </w:rPr>
        <w:t xml:space="preserve"> </w:t>
      </w:r>
      <w:r w:rsidR="00DB73B4" w:rsidRPr="0007764E">
        <w:rPr>
          <w:rFonts w:ascii="Arial" w:hAnsi="Arial" w:cs="David" w:hint="cs"/>
          <w:sz w:val="24"/>
          <w:szCs w:val="24"/>
          <w:rtl/>
        </w:rPr>
        <w:t xml:space="preserve">שיפור זה אינו משפיע </w:t>
      </w:r>
      <w:r w:rsidRPr="0007764E">
        <w:rPr>
          <w:rFonts w:ascii="Arial" w:hAnsi="Arial" w:cs="David"/>
          <w:sz w:val="24"/>
          <w:szCs w:val="24"/>
          <w:rtl/>
        </w:rPr>
        <w:t>על סך החוב של ה</w:t>
      </w:r>
      <w:r w:rsidRPr="0007764E">
        <w:rPr>
          <w:rFonts w:ascii="Arial" w:hAnsi="Arial" w:cs="David" w:hint="cs"/>
          <w:sz w:val="24"/>
          <w:szCs w:val="24"/>
          <w:rtl/>
        </w:rPr>
        <w:t>מגז</w:t>
      </w:r>
      <w:r w:rsidRPr="0007764E">
        <w:rPr>
          <w:rFonts w:ascii="Arial" w:hAnsi="Arial" w:cs="David"/>
          <w:sz w:val="24"/>
          <w:szCs w:val="24"/>
          <w:rtl/>
        </w:rPr>
        <w:t>ר העסקי, אלא על פילוח האחזקות באג"ח של ה</w:t>
      </w:r>
      <w:r w:rsidRPr="0007764E">
        <w:rPr>
          <w:rFonts w:ascii="Arial" w:hAnsi="Arial" w:cs="David" w:hint="cs"/>
          <w:sz w:val="24"/>
          <w:szCs w:val="24"/>
          <w:rtl/>
        </w:rPr>
        <w:t>מגזר</w:t>
      </w:r>
      <w:r w:rsidRPr="0007764E">
        <w:rPr>
          <w:rFonts w:ascii="Arial" w:hAnsi="Arial" w:cs="David"/>
          <w:sz w:val="24"/>
          <w:szCs w:val="24"/>
          <w:rtl/>
        </w:rPr>
        <w:t xml:space="preserve"> העסקי שבידי הגופים המוסדיים ומשקי הבית (המחושב כשארית).</w:t>
      </w:r>
      <w:r w:rsidRPr="0007764E">
        <w:rPr>
          <w:rFonts w:ascii="Arial" w:hAnsi="Arial" w:cs="David" w:hint="cs"/>
          <w:sz w:val="24"/>
          <w:szCs w:val="24"/>
          <w:rtl/>
        </w:rPr>
        <w:t xml:space="preserve"> </w:t>
      </w:r>
      <w:r w:rsidR="009B7097" w:rsidRPr="0007764E">
        <w:rPr>
          <w:rFonts w:ascii="Arial" w:hAnsi="Arial" w:cs="David" w:hint="cs"/>
          <w:sz w:val="24"/>
          <w:szCs w:val="24"/>
          <w:rtl/>
        </w:rPr>
        <w:t>שיפור זה מתבטא בלוחות ארוכי הטווח לפי מלווים ומכשירים המפורסמים באתר הבנק.</w:t>
      </w:r>
    </w:p>
    <w:p w:rsidR="00882DAC" w:rsidRPr="00882DAC" w:rsidRDefault="00882DAC" w:rsidP="00882DAC">
      <w:pPr>
        <w:pStyle w:val="af"/>
        <w:bidi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5A9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624C1"/>
    <w:rsid w:val="000630AB"/>
    <w:rsid w:val="00063601"/>
    <w:rsid w:val="00064830"/>
    <w:rsid w:val="00065320"/>
    <w:rsid w:val="00065C62"/>
    <w:rsid w:val="000713E4"/>
    <w:rsid w:val="00075FC4"/>
    <w:rsid w:val="0007764E"/>
    <w:rsid w:val="000812AB"/>
    <w:rsid w:val="00081313"/>
    <w:rsid w:val="000822C2"/>
    <w:rsid w:val="00085BE0"/>
    <w:rsid w:val="000874C1"/>
    <w:rsid w:val="000911D7"/>
    <w:rsid w:val="0009315D"/>
    <w:rsid w:val="00097E8B"/>
    <w:rsid w:val="000A4C37"/>
    <w:rsid w:val="000A588A"/>
    <w:rsid w:val="000B083E"/>
    <w:rsid w:val="000B190F"/>
    <w:rsid w:val="000B6B82"/>
    <w:rsid w:val="000B7D5E"/>
    <w:rsid w:val="000C62F4"/>
    <w:rsid w:val="000D756E"/>
    <w:rsid w:val="000E3F1A"/>
    <w:rsid w:val="000E59A0"/>
    <w:rsid w:val="000E5A37"/>
    <w:rsid w:val="000E6A23"/>
    <w:rsid w:val="000F0D97"/>
    <w:rsid w:val="000F225A"/>
    <w:rsid w:val="000F33EA"/>
    <w:rsid w:val="000F3A6E"/>
    <w:rsid w:val="000F5653"/>
    <w:rsid w:val="000F5E2D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7006"/>
    <w:rsid w:val="001400D2"/>
    <w:rsid w:val="001431B5"/>
    <w:rsid w:val="00144AA6"/>
    <w:rsid w:val="00146694"/>
    <w:rsid w:val="001503F7"/>
    <w:rsid w:val="001510D4"/>
    <w:rsid w:val="001543AD"/>
    <w:rsid w:val="0017002C"/>
    <w:rsid w:val="00177686"/>
    <w:rsid w:val="00180E8A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2046E"/>
    <w:rsid w:val="002232D2"/>
    <w:rsid w:val="002237E5"/>
    <w:rsid w:val="00224F08"/>
    <w:rsid w:val="0023142A"/>
    <w:rsid w:val="002319C1"/>
    <w:rsid w:val="00237314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64230"/>
    <w:rsid w:val="00265361"/>
    <w:rsid w:val="00266DC3"/>
    <w:rsid w:val="0027192B"/>
    <w:rsid w:val="00274A6A"/>
    <w:rsid w:val="0028327B"/>
    <w:rsid w:val="00283EC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C23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3B0"/>
    <w:rsid w:val="002C756B"/>
    <w:rsid w:val="002D0FD7"/>
    <w:rsid w:val="002D1779"/>
    <w:rsid w:val="002D3C1F"/>
    <w:rsid w:val="002E20F7"/>
    <w:rsid w:val="002E5ADF"/>
    <w:rsid w:val="002E6CC3"/>
    <w:rsid w:val="002E7A87"/>
    <w:rsid w:val="002F0816"/>
    <w:rsid w:val="002F2629"/>
    <w:rsid w:val="002F6C4C"/>
    <w:rsid w:val="00300E82"/>
    <w:rsid w:val="003018A7"/>
    <w:rsid w:val="00303DA6"/>
    <w:rsid w:val="003055E7"/>
    <w:rsid w:val="00310281"/>
    <w:rsid w:val="00317948"/>
    <w:rsid w:val="00320FD1"/>
    <w:rsid w:val="00322FC0"/>
    <w:rsid w:val="00323164"/>
    <w:rsid w:val="00324EF2"/>
    <w:rsid w:val="0033214F"/>
    <w:rsid w:val="00333F8E"/>
    <w:rsid w:val="0034285A"/>
    <w:rsid w:val="003439F5"/>
    <w:rsid w:val="0035070F"/>
    <w:rsid w:val="003509EF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A0C66"/>
    <w:rsid w:val="003A242C"/>
    <w:rsid w:val="003A2FA9"/>
    <w:rsid w:val="003A315C"/>
    <w:rsid w:val="003A43C0"/>
    <w:rsid w:val="003A48D2"/>
    <w:rsid w:val="003A490D"/>
    <w:rsid w:val="003B0ADC"/>
    <w:rsid w:val="003B140B"/>
    <w:rsid w:val="003B17BC"/>
    <w:rsid w:val="003B2A0D"/>
    <w:rsid w:val="003B3050"/>
    <w:rsid w:val="003B360C"/>
    <w:rsid w:val="003B388A"/>
    <w:rsid w:val="003B4CCA"/>
    <w:rsid w:val="003B61BA"/>
    <w:rsid w:val="003B6ADF"/>
    <w:rsid w:val="003C751F"/>
    <w:rsid w:val="003D04A2"/>
    <w:rsid w:val="003D06D2"/>
    <w:rsid w:val="003D54D0"/>
    <w:rsid w:val="003E4002"/>
    <w:rsid w:val="003E68CF"/>
    <w:rsid w:val="003F12AD"/>
    <w:rsid w:val="003F4002"/>
    <w:rsid w:val="003F454D"/>
    <w:rsid w:val="00400630"/>
    <w:rsid w:val="004024AB"/>
    <w:rsid w:val="00406F28"/>
    <w:rsid w:val="00410DE0"/>
    <w:rsid w:val="0041358A"/>
    <w:rsid w:val="00420F93"/>
    <w:rsid w:val="00424BF3"/>
    <w:rsid w:val="004268D2"/>
    <w:rsid w:val="00426A9C"/>
    <w:rsid w:val="0043226F"/>
    <w:rsid w:val="0044713E"/>
    <w:rsid w:val="0045197C"/>
    <w:rsid w:val="00453DD1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43DC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2294"/>
    <w:rsid w:val="005042A9"/>
    <w:rsid w:val="00507193"/>
    <w:rsid w:val="00507235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6295"/>
    <w:rsid w:val="005528A7"/>
    <w:rsid w:val="00555BDD"/>
    <w:rsid w:val="0056103E"/>
    <w:rsid w:val="0056258A"/>
    <w:rsid w:val="00572730"/>
    <w:rsid w:val="00573545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43"/>
    <w:rsid w:val="005C246C"/>
    <w:rsid w:val="005C32B3"/>
    <w:rsid w:val="005C5130"/>
    <w:rsid w:val="005C5F1D"/>
    <w:rsid w:val="005D012F"/>
    <w:rsid w:val="005D0E2A"/>
    <w:rsid w:val="005E2DFC"/>
    <w:rsid w:val="005E409F"/>
    <w:rsid w:val="005E6AF0"/>
    <w:rsid w:val="005E77A7"/>
    <w:rsid w:val="005E7841"/>
    <w:rsid w:val="005F482A"/>
    <w:rsid w:val="005F663A"/>
    <w:rsid w:val="00600591"/>
    <w:rsid w:val="006028EA"/>
    <w:rsid w:val="006038EA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4FDA"/>
    <w:rsid w:val="00675FDA"/>
    <w:rsid w:val="00676F2C"/>
    <w:rsid w:val="006816CE"/>
    <w:rsid w:val="0069062B"/>
    <w:rsid w:val="00691556"/>
    <w:rsid w:val="00695778"/>
    <w:rsid w:val="006957E0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3752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16EF2"/>
    <w:rsid w:val="00720923"/>
    <w:rsid w:val="00725208"/>
    <w:rsid w:val="00737755"/>
    <w:rsid w:val="00742DCE"/>
    <w:rsid w:val="00744938"/>
    <w:rsid w:val="007474E6"/>
    <w:rsid w:val="0074787D"/>
    <w:rsid w:val="00751A3D"/>
    <w:rsid w:val="00752B5B"/>
    <w:rsid w:val="00754AE3"/>
    <w:rsid w:val="00755099"/>
    <w:rsid w:val="00755443"/>
    <w:rsid w:val="00760730"/>
    <w:rsid w:val="0076231E"/>
    <w:rsid w:val="00762D5A"/>
    <w:rsid w:val="00763347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675B"/>
    <w:rsid w:val="007A2DDB"/>
    <w:rsid w:val="007A3CCD"/>
    <w:rsid w:val="007B1313"/>
    <w:rsid w:val="007B174B"/>
    <w:rsid w:val="007B45DE"/>
    <w:rsid w:val="007C2446"/>
    <w:rsid w:val="007C26CE"/>
    <w:rsid w:val="007C3769"/>
    <w:rsid w:val="007D0EF4"/>
    <w:rsid w:val="007D32BF"/>
    <w:rsid w:val="007D7D86"/>
    <w:rsid w:val="007E13A9"/>
    <w:rsid w:val="007E14D9"/>
    <w:rsid w:val="007E18EE"/>
    <w:rsid w:val="007E5070"/>
    <w:rsid w:val="007E72DA"/>
    <w:rsid w:val="007E7A16"/>
    <w:rsid w:val="007F12DE"/>
    <w:rsid w:val="007F2CEB"/>
    <w:rsid w:val="007F3842"/>
    <w:rsid w:val="007F5009"/>
    <w:rsid w:val="007F6557"/>
    <w:rsid w:val="007F7A89"/>
    <w:rsid w:val="00802DD5"/>
    <w:rsid w:val="00802DF3"/>
    <w:rsid w:val="008065E2"/>
    <w:rsid w:val="00806850"/>
    <w:rsid w:val="00811358"/>
    <w:rsid w:val="008121D7"/>
    <w:rsid w:val="00814206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DF0"/>
    <w:rsid w:val="00881187"/>
    <w:rsid w:val="00881EF7"/>
    <w:rsid w:val="00882DAC"/>
    <w:rsid w:val="00882FBA"/>
    <w:rsid w:val="0088314F"/>
    <w:rsid w:val="00883762"/>
    <w:rsid w:val="008842DA"/>
    <w:rsid w:val="008868F8"/>
    <w:rsid w:val="0088690D"/>
    <w:rsid w:val="008900E3"/>
    <w:rsid w:val="0089040A"/>
    <w:rsid w:val="008A537E"/>
    <w:rsid w:val="008A6440"/>
    <w:rsid w:val="008B0765"/>
    <w:rsid w:val="008B10B8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F47C4"/>
    <w:rsid w:val="0090225A"/>
    <w:rsid w:val="00902402"/>
    <w:rsid w:val="0090346B"/>
    <w:rsid w:val="009050FC"/>
    <w:rsid w:val="009065F1"/>
    <w:rsid w:val="00911151"/>
    <w:rsid w:val="00912494"/>
    <w:rsid w:val="00915424"/>
    <w:rsid w:val="00915CE8"/>
    <w:rsid w:val="00917C1C"/>
    <w:rsid w:val="00923125"/>
    <w:rsid w:val="009231C3"/>
    <w:rsid w:val="00925F5D"/>
    <w:rsid w:val="009303F4"/>
    <w:rsid w:val="009311DE"/>
    <w:rsid w:val="00933604"/>
    <w:rsid w:val="00943887"/>
    <w:rsid w:val="009444D9"/>
    <w:rsid w:val="009467BA"/>
    <w:rsid w:val="009516D8"/>
    <w:rsid w:val="00955832"/>
    <w:rsid w:val="00961EFC"/>
    <w:rsid w:val="009653F5"/>
    <w:rsid w:val="00966322"/>
    <w:rsid w:val="00967A2D"/>
    <w:rsid w:val="0097338C"/>
    <w:rsid w:val="00973B12"/>
    <w:rsid w:val="00975122"/>
    <w:rsid w:val="00977BED"/>
    <w:rsid w:val="009818C2"/>
    <w:rsid w:val="00985045"/>
    <w:rsid w:val="00985B74"/>
    <w:rsid w:val="0099010D"/>
    <w:rsid w:val="00992E1E"/>
    <w:rsid w:val="0099500B"/>
    <w:rsid w:val="00995039"/>
    <w:rsid w:val="00996693"/>
    <w:rsid w:val="009974D0"/>
    <w:rsid w:val="009A3808"/>
    <w:rsid w:val="009A54F7"/>
    <w:rsid w:val="009A7195"/>
    <w:rsid w:val="009B0128"/>
    <w:rsid w:val="009B27C2"/>
    <w:rsid w:val="009B5DCF"/>
    <w:rsid w:val="009B7097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34179"/>
    <w:rsid w:val="00A44417"/>
    <w:rsid w:val="00A45303"/>
    <w:rsid w:val="00A4555E"/>
    <w:rsid w:val="00A45CAF"/>
    <w:rsid w:val="00A46B0C"/>
    <w:rsid w:val="00A47EF9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C2F"/>
    <w:rsid w:val="00AA22D1"/>
    <w:rsid w:val="00AA3E80"/>
    <w:rsid w:val="00AA51B0"/>
    <w:rsid w:val="00AA6DC6"/>
    <w:rsid w:val="00AA70E3"/>
    <w:rsid w:val="00AB31EF"/>
    <w:rsid w:val="00AB409F"/>
    <w:rsid w:val="00AB44C3"/>
    <w:rsid w:val="00AB5B06"/>
    <w:rsid w:val="00AC3E61"/>
    <w:rsid w:val="00AC47DE"/>
    <w:rsid w:val="00AC75BF"/>
    <w:rsid w:val="00AD1348"/>
    <w:rsid w:val="00AD32F4"/>
    <w:rsid w:val="00AD4C8C"/>
    <w:rsid w:val="00AD4F67"/>
    <w:rsid w:val="00AD5FFC"/>
    <w:rsid w:val="00AD655A"/>
    <w:rsid w:val="00AD6881"/>
    <w:rsid w:val="00AD759C"/>
    <w:rsid w:val="00AE487B"/>
    <w:rsid w:val="00AE591E"/>
    <w:rsid w:val="00AF0AD5"/>
    <w:rsid w:val="00AF126A"/>
    <w:rsid w:val="00AF2FE3"/>
    <w:rsid w:val="00AF5FCE"/>
    <w:rsid w:val="00AF7ADE"/>
    <w:rsid w:val="00B01C0D"/>
    <w:rsid w:val="00B03DCA"/>
    <w:rsid w:val="00B058F3"/>
    <w:rsid w:val="00B072ED"/>
    <w:rsid w:val="00B110D9"/>
    <w:rsid w:val="00B1299B"/>
    <w:rsid w:val="00B14475"/>
    <w:rsid w:val="00B157DD"/>
    <w:rsid w:val="00B24F7C"/>
    <w:rsid w:val="00B24FBE"/>
    <w:rsid w:val="00B2503D"/>
    <w:rsid w:val="00B266BE"/>
    <w:rsid w:val="00B27269"/>
    <w:rsid w:val="00B2798D"/>
    <w:rsid w:val="00B27A62"/>
    <w:rsid w:val="00B31EFB"/>
    <w:rsid w:val="00B34583"/>
    <w:rsid w:val="00B37F02"/>
    <w:rsid w:val="00B474E8"/>
    <w:rsid w:val="00B478D2"/>
    <w:rsid w:val="00B51372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139C"/>
    <w:rsid w:val="00C22E09"/>
    <w:rsid w:val="00C259B6"/>
    <w:rsid w:val="00C25C1C"/>
    <w:rsid w:val="00C3219B"/>
    <w:rsid w:val="00C411E7"/>
    <w:rsid w:val="00C44E9B"/>
    <w:rsid w:val="00C45C9C"/>
    <w:rsid w:val="00C4703E"/>
    <w:rsid w:val="00C47A82"/>
    <w:rsid w:val="00C5174C"/>
    <w:rsid w:val="00C51835"/>
    <w:rsid w:val="00C56B85"/>
    <w:rsid w:val="00C6135C"/>
    <w:rsid w:val="00C63A60"/>
    <w:rsid w:val="00C656C3"/>
    <w:rsid w:val="00C71943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C1A24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E7A68"/>
    <w:rsid w:val="00CF1E50"/>
    <w:rsid w:val="00CF6B60"/>
    <w:rsid w:val="00CF76EE"/>
    <w:rsid w:val="00D02264"/>
    <w:rsid w:val="00D02682"/>
    <w:rsid w:val="00D04887"/>
    <w:rsid w:val="00D06C99"/>
    <w:rsid w:val="00D13FC6"/>
    <w:rsid w:val="00D168B0"/>
    <w:rsid w:val="00D213B7"/>
    <w:rsid w:val="00D22AF3"/>
    <w:rsid w:val="00D240DB"/>
    <w:rsid w:val="00D25967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50029"/>
    <w:rsid w:val="00D541E8"/>
    <w:rsid w:val="00D56E66"/>
    <w:rsid w:val="00D57208"/>
    <w:rsid w:val="00D577AA"/>
    <w:rsid w:val="00D57DF3"/>
    <w:rsid w:val="00D57F65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B2E03"/>
    <w:rsid w:val="00DB5322"/>
    <w:rsid w:val="00DB630B"/>
    <w:rsid w:val="00DB6C55"/>
    <w:rsid w:val="00DB73B4"/>
    <w:rsid w:val="00DB7F65"/>
    <w:rsid w:val="00DC3899"/>
    <w:rsid w:val="00DC3BC8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16719"/>
    <w:rsid w:val="00E20EC3"/>
    <w:rsid w:val="00E23336"/>
    <w:rsid w:val="00E3272D"/>
    <w:rsid w:val="00E36930"/>
    <w:rsid w:val="00E42B88"/>
    <w:rsid w:val="00E46A8F"/>
    <w:rsid w:val="00E51F1E"/>
    <w:rsid w:val="00E577A9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51C0"/>
    <w:rsid w:val="00EA7329"/>
    <w:rsid w:val="00EB5CD6"/>
    <w:rsid w:val="00EB61B0"/>
    <w:rsid w:val="00EC6205"/>
    <w:rsid w:val="00EC65F0"/>
    <w:rsid w:val="00ED153D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1828"/>
    <w:rsid w:val="00F96916"/>
    <w:rsid w:val="00F97D41"/>
    <w:rsid w:val="00FA02EF"/>
    <w:rsid w:val="00FA0665"/>
    <w:rsid w:val="00FA1F15"/>
    <w:rsid w:val="00FA314D"/>
    <w:rsid w:val="00FA6355"/>
    <w:rsid w:val="00FA6451"/>
    <w:rsid w:val="00FA7EB2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e.boi.org.il/he/DataAndStatistics/Pages/MainPage.aspx?Level=4&amp;Sid=53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customXml" Target="../customXml/item2.xml"/><Relationship Id="rId10" Type="http://schemas.openxmlformats.org/officeDocument/2006/relationships/image" Target="media/image2.emf"/><Relationship Id="rId19" Type="http://schemas.openxmlformats.org/officeDocument/2006/relationships/hyperlink" Target="https://e.boi.org.il/he/BankingSupervision/Data/Pages/Tables.aspx?ChapterId=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15EC7A-9808-4CC0-9F54-3437C68E258A}"/>
</file>

<file path=customXml/itemProps2.xml><?xml version="1.0" encoding="utf-8"?>
<ds:datastoreItem xmlns:ds="http://schemas.openxmlformats.org/officeDocument/2006/customXml" ds:itemID="{FDA4B701-4F1A-443A-96AD-776D4B2E1E89}"/>
</file>

<file path=customXml/itemProps3.xml><?xml version="1.0" encoding="utf-8"?>
<ds:datastoreItem xmlns:ds="http://schemas.openxmlformats.org/officeDocument/2006/customXml" ds:itemID="{4B02820F-F7B9-49A6-8962-1B483C90F6FD}"/>
</file>

<file path=customXml/itemProps4.xml><?xml version="1.0" encoding="utf-8"?>
<ds:datastoreItem xmlns:ds="http://schemas.openxmlformats.org/officeDocument/2006/customXml" ds:itemID="{47545747-5603-4EB7-BC9E-B9632EE0B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2507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2016-11-30T06:09:00Z</dcterms:created>
  <dcterms:modified xsi:type="dcterms:W3CDTF">2016-11-30T06:28:00Z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