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313" w:type="dxa"/>
        <w:jc w:val="center"/>
        <w:tblInd w:w="775" w:type="dxa"/>
        <w:tblLayout w:type="fixed"/>
        <w:tblLook w:val="0000" w:firstRow="0" w:lastRow="0" w:firstColumn="0" w:lastColumn="0" w:noHBand="0" w:noVBand="0"/>
      </w:tblPr>
      <w:tblGrid>
        <w:gridCol w:w="2884"/>
        <w:gridCol w:w="3544"/>
        <w:gridCol w:w="2885"/>
      </w:tblGrid>
      <w:tr w:rsidR="00DD5923" w:rsidRPr="00DB1CBC" w:rsidTr="00562A8F">
        <w:trPr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520BB4" w:rsidRDefault="00DD5923" w:rsidP="00BD5207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BD5207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47627F" w:rsidP="00BD5207">
            <w:pPr>
              <w:bidi/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53FA7718" wp14:editId="4AB7B2E1">
                  <wp:extent cx="1200150" cy="666750"/>
                  <wp:effectExtent l="0" t="0" r="0" b="0"/>
                  <wp:docPr id="1" name="תמונה 1" descr="60Y+bank_Color_RGB_300DP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C25BC9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100FE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C25BC9">
              <w:rPr>
                <w:rFonts w:cs="David" w:hint="cs"/>
                <w:sz w:val="24"/>
                <w:szCs w:val="24"/>
                <w:rtl/>
              </w:rPr>
              <w:t>י"ט</w:t>
            </w:r>
            <w:r w:rsidR="000A3EB8">
              <w:rPr>
                <w:rFonts w:cs="David" w:hint="cs"/>
                <w:sz w:val="24"/>
                <w:szCs w:val="24"/>
                <w:rtl/>
              </w:rPr>
              <w:t xml:space="preserve"> בתמוז</w:t>
            </w:r>
            <w:r w:rsidR="00441E0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C25BC9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C25BC9">
              <w:rPr>
                <w:rFonts w:cs="David" w:hint="cs"/>
                <w:sz w:val="24"/>
                <w:szCs w:val="24"/>
                <w:rtl/>
              </w:rPr>
              <w:t>17</w:t>
            </w:r>
            <w:r w:rsidR="00100FEE">
              <w:rPr>
                <w:rFonts w:cs="David" w:hint="cs"/>
                <w:sz w:val="24"/>
                <w:szCs w:val="24"/>
                <w:rtl/>
              </w:rPr>
              <w:t xml:space="preserve"> ביולי</w:t>
            </w:r>
            <w:r w:rsidR="00D81EC3">
              <w:rPr>
                <w:rFonts w:cs="David" w:hint="cs"/>
                <w:sz w:val="24"/>
                <w:szCs w:val="24"/>
                <w:rtl/>
              </w:rPr>
              <w:t xml:space="preserve"> 2014</w:t>
            </w:r>
          </w:p>
        </w:tc>
      </w:tr>
    </w:tbl>
    <w:p w:rsidR="00FE034E" w:rsidRDefault="00FE034E" w:rsidP="00BD5207">
      <w:pPr>
        <w:bidi/>
        <w:rPr>
          <w:rtl/>
        </w:rPr>
      </w:pPr>
    </w:p>
    <w:p w:rsidR="00C04A6B" w:rsidRDefault="007E18EE" w:rsidP="00E361B9">
      <w:pPr>
        <w:bidi/>
        <w:spacing w:line="360" w:lineRule="auto"/>
        <w:ind w:right="-101"/>
        <w:rPr>
          <w:rFonts w:cs="David" w:hint="cs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3F5BF6" w:rsidRPr="00524602" w:rsidRDefault="003F5BF6" w:rsidP="00562A8F">
      <w:pPr>
        <w:jc w:val="center"/>
        <w:rPr>
          <w:rFonts w:cs="David"/>
          <w:b/>
          <w:bCs/>
          <w:sz w:val="26"/>
          <w:szCs w:val="26"/>
          <w:u w:val="single"/>
          <w:lang w:eastAsia="en-US"/>
        </w:rPr>
      </w:pPr>
      <w:r w:rsidRPr="00524602">
        <w:rPr>
          <w:rFonts w:cs="David" w:hint="cs"/>
          <w:b/>
          <w:bCs/>
          <w:sz w:val="26"/>
          <w:szCs w:val="26"/>
          <w:u w:val="single"/>
          <w:rtl/>
          <w:lang w:eastAsia="en-US"/>
        </w:rPr>
        <w:t>שיעור האינפלציה הצפוי לפי שוק ההון ותחזיות החזאים</w:t>
      </w:r>
      <w:r w:rsidR="00562A8F">
        <w:rPr>
          <w:rFonts w:cs="David" w:hint="cs"/>
          <w:b/>
          <w:bCs/>
          <w:sz w:val="26"/>
          <w:szCs w:val="26"/>
          <w:u w:val="single"/>
          <w:rtl/>
          <w:lang w:eastAsia="en-US"/>
        </w:rPr>
        <w:t>,</w:t>
      </w:r>
      <w:r w:rsidRPr="00524602">
        <w:rPr>
          <w:rFonts w:cs="David" w:hint="cs"/>
          <w:b/>
          <w:bCs/>
          <w:sz w:val="26"/>
          <w:szCs w:val="26"/>
          <w:u w:val="single"/>
          <w:rtl/>
          <w:lang w:eastAsia="en-US"/>
        </w:rPr>
        <w:t xml:space="preserve"> והתפתחות אמצעי התשלום </w:t>
      </w:r>
    </w:p>
    <w:p w:rsidR="003F5BF6" w:rsidRPr="003F5BF6" w:rsidRDefault="003F5BF6" w:rsidP="003F5BF6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992"/>
        <w:gridCol w:w="992"/>
        <w:gridCol w:w="993"/>
        <w:gridCol w:w="1134"/>
        <w:gridCol w:w="992"/>
        <w:gridCol w:w="763"/>
        <w:gridCol w:w="1080"/>
      </w:tblGrid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276" w:type="dxa"/>
            <w:vMerge w:val="restart"/>
            <w:vAlign w:val="center"/>
          </w:tcPr>
          <w:p w:rsidR="003F5BF6" w:rsidRPr="00175F6B" w:rsidRDefault="003F5BF6" w:rsidP="00201677">
            <w:pPr>
              <w:jc w:val="center"/>
              <w:rPr>
                <w:rFonts w:cs="David" w:hint="cs"/>
                <w:b/>
                <w:bCs/>
                <w:sz w:val="26"/>
                <w:szCs w:val="26"/>
                <w:rtl/>
              </w:rPr>
            </w:pPr>
            <w:r w:rsidRPr="00175F6B">
              <w:rPr>
                <w:rFonts w:cs="David" w:hint="cs"/>
                <w:b/>
                <w:bCs/>
                <w:sz w:val="26"/>
                <w:szCs w:val="26"/>
                <w:rtl/>
              </w:rPr>
              <w:t>תאריך</w:t>
            </w:r>
          </w:p>
        </w:tc>
        <w:tc>
          <w:tcPr>
            <w:tcW w:w="5245" w:type="dxa"/>
            <w:gridSpan w:val="5"/>
            <w:vAlign w:val="center"/>
          </w:tcPr>
          <w:p w:rsidR="003F5BF6" w:rsidRPr="00175F6B" w:rsidRDefault="003F5BF6" w:rsidP="00175F6B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שיעור האינפלציה הצפוי (אחוזים)</w:t>
            </w:r>
          </w:p>
        </w:tc>
        <w:tc>
          <w:tcPr>
            <w:tcW w:w="2835" w:type="dxa"/>
            <w:gridSpan w:val="3"/>
            <w:vAlign w:val="center"/>
          </w:tcPr>
          <w:p w:rsidR="003F5BF6" w:rsidRPr="00175F6B" w:rsidRDefault="003F5BF6" w:rsidP="00175F6B">
            <w:pPr>
              <w:bidi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אמצעי התשלום (</w:t>
            </w:r>
            <w:r w:rsidRPr="00175F6B">
              <w:rPr>
                <w:rFonts w:ascii="Arial" w:hAnsi="Arial" w:cs="David"/>
                <w:b/>
                <w:bCs/>
                <w:sz w:val="22"/>
                <w:szCs w:val="22"/>
              </w:rPr>
              <w:t>M1</w:t>
            </w: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3F5BF6" w:rsidRPr="00803D41" w:rsidTr="00613F1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276" w:type="dxa"/>
            <w:vMerge/>
            <w:vAlign w:val="bottom"/>
          </w:tcPr>
          <w:p w:rsidR="003F5BF6" w:rsidRPr="00175F6B" w:rsidRDefault="003F5BF6" w:rsidP="00201677">
            <w:pPr>
              <w:rPr>
                <w:rFonts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3F5BF6" w:rsidRPr="00175F6B" w:rsidRDefault="003F5BF6" w:rsidP="00175F6B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הציפיות משוק ההון</w:t>
            </w: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  <w:rtl/>
              </w:rPr>
              <w:t>1</w:t>
            </w:r>
          </w:p>
        </w:tc>
        <w:tc>
          <w:tcPr>
            <w:tcW w:w="1134" w:type="dxa"/>
            <w:vMerge w:val="restart"/>
            <w:vAlign w:val="bottom"/>
          </w:tcPr>
          <w:p w:rsidR="003F5BF6" w:rsidRPr="00175F6B" w:rsidRDefault="003F5BF6" w:rsidP="00613F1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ממוצע תחזיות</w:t>
            </w: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  <w:rtl/>
              </w:rPr>
              <w:t>3</w:t>
            </w: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האינפלציה ל-12 חודשים קדימה</w:t>
            </w:r>
          </w:p>
        </w:tc>
        <w:tc>
          <w:tcPr>
            <w:tcW w:w="992" w:type="dxa"/>
            <w:vMerge w:val="restart"/>
            <w:vAlign w:val="bottom"/>
          </w:tcPr>
          <w:p w:rsidR="003F5BF6" w:rsidRPr="00175F6B" w:rsidRDefault="003F5BF6" w:rsidP="00613F18">
            <w:pPr>
              <w:ind w:right="-143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היתרה הממוצעת לחודש (מיליארדי ₪)</w:t>
            </w:r>
          </w:p>
        </w:tc>
        <w:tc>
          <w:tcPr>
            <w:tcW w:w="1843" w:type="dxa"/>
            <w:gridSpan w:val="2"/>
            <w:vAlign w:val="center"/>
          </w:tcPr>
          <w:p w:rsidR="003F5BF6" w:rsidRPr="00175F6B" w:rsidRDefault="003F5BF6" w:rsidP="00175F6B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שיעור השינוי</w:t>
            </w: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(אחוזים)</w:t>
            </w:r>
          </w:p>
        </w:tc>
      </w:tr>
      <w:tr w:rsidR="003F5BF6" w:rsidRPr="00803D41" w:rsidTr="00613F1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276" w:type="dxa"/>
            <w:vMerge/>
            <w:vAlign w:val="bottom"/>
          </w:tcPr>
          <w:p w:rsidR="003F5BF6" w:rsidRPr="00175F6B" w:rsidRDefault="003F5BF6" w:rsidP="00201677">
            <w:pPr>
              <w:rPr>
                <w:rFonts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bottom"/>
          </w:tcPr>
          <w:p w:rsidR="003F5BF6" w:rsidRPr="00175F6B" w:rsidRDefault="003F5BF6" w:rsidP="00613F1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לשנה הראשונה</w:t>
            </w: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  <w:rtl/>
              </w:rPr>
              <w:t>2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613F1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לשנתיים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613F1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לחמש שנים</w:t>
            </w:r>
          </w:p>
        </w:tc>
        <w:tc>
          <w:tcPr>
            <w:tcW w:w="993" w:type="dxa"/>
            <w:vAlign w:val="bottom"/>
          </w:tcPr>
          <w:p w:rsidR="003F5BF6" w:rsidRPr="00175F6B" w:rsidRDefault="003F5BF6" w:rsidP="00613F1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לשנה העשירית (פורוורד)</w:t>
            </w:r>
          </w:p>
        </w:tc>
        <w:tc>
          <w:tcPr>
            <w:tcW w:w="1134" w:type="dxa"/>
            <w:vMerge/>
          </w:tcPr>
          <w:p w:rsidR="003F5BF6" w:rsidRPr="00175F6B" w:rsidRDefault="003F5BF6" w:rsidP="00201677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</w:tcPr>
          <w:p w:rsidR="003F5BF6" w:rsidRPr="00175F6B" w:rsidRDefault="003F5BF6" w:rsidP="00201677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63" w:type="dxa"/>
            <w:vAlign w:val="bottom"/>
          </w:tcPr>
          <w:p w:rsidR="003F5BF6" w:rsidRPr="00175F6B" w:rsidRDefault="003F5BF6" w:rsidP="00613F18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חודשי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613F18">
            <w:pPr>
              <w:ind w:right="-56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12 החודשים האחרונים</w:t>
            </w: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  <w:rtl/>
              </w:rPr>
              <w:t>4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הנתונים השנתיים</w:t>
            </w:r>
            <w:r w:rsidRPr="00562A8F">
              <w:rPr>
                <w:rFonts w:cs="David" w:hint="cs"/>
                <w:b/>
                <w:bCs/>
                <w:sz w:val="22"/>
                <w:szCs w:val="22"/>
                <w:vertAlign w:val="superscript"/>
                <w:rtl/>
              </w:rPr>
              <w:t>5</w:t>
            </w: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134" w:type="dxa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992" w:type="dxa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992" w:type="dxa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993" w:type="dxa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1134" w:type="dxa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992" w:type="dxa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763" w:type="dxa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  <w:tc>
          <w:tcPr>
            <w:tcW w:w="1080" w:type="dxa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sz w:val="24"/>
                <w:rtl/>
              </w:rPr>
            </w:pP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2007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1.4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1.7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2.0</w:t>
            </w:r>
          </w:p>
        </w:tc>
        <w:tc>
          <w:tcPr>
            <w:tcW w:w="99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61.2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2.0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17.4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2008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99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3.0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71.9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3.9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17.4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2009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2.4</w:t>
            </w:r>
          </w:p>
        </w:tc>
        <w:tc>
          <w:tcPr>
            <w:tcW w:w="99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109.6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0.5-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52.1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2010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2.9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114.7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2.8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4.6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2011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116.5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1.6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2012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126.6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8.7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2013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99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145.8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15.2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הנתונים החודשיים</w:t>
            </w:r>
            <w:r w:rsidRPr="00562A8F">
              <w:rPr>
                <w:rFonts w:cs="David" w:hint="cs"/>
                <w:b/>
                <w:bCs/>
                <w:sz w:val="22"/>
                <w:szCs w:val="22"/>
                <w:vertAlign w:val="superscript"/>
                <w:rtl/>
              </w:rPr>
              <w:t>6</w:t>
            </w: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134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2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3" w:type="dxa"/>
            <w:vAlign w:val="bottom"/>
          </w:tcPr>
          <w:p w:rsidR="003F5BF6" w:rsidRPr="00A66EE5" w:rsidRDefault="003F5BF6" w:rsidP="00201677">
            <w:pPr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2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763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1080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</w:rPr>
            </w:pP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2013</w:t>
            </w:r>
          </w:p>
        </w:tc>
        <w:tc>
          <w:tcPr>
            <w:tcW w:w="1134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2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3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1134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2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763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1080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ינואר 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2.4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2.4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2.9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126.7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0.1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10.6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פברואר 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2.6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2.5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128.2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1.2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12.2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מארס 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2.8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2.5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131.2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15.2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אפריל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131.4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0.1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8.8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מאי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132.2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0.6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10.9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יוני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1.6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1.7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134.9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11.6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יולי 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1.4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1.6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138.9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2.9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13.8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אוגוסט 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1.4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1.5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141.1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1.6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12.7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ספטמבר 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1.5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1.6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144.6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2.5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13.5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אוקטובר 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1.5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1.4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143.0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1.2-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13.6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נובמבר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1.4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1.5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1.7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142.5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0.3-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15.0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דצמבר 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1.6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1.7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145.8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15.2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3" w:type="dxa"/>
            <w:vAlign w:val="center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1134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992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763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1080" w:type="dxa"/>
            <w:vAlign w:val="bottom"/>
          </w:tcPr>
          <w:p w:rsidR="003F5BF6" w:rsidRPr="00803D41" w:rsidRDefault="003F5BF6" w:rsidP="00201677">
            <w:pPr>
              <w:jc w:val="center"/>
              <w:rPr>
                <w:rFonts w:ascii="Arial" w:hAnsi="Arial" w:cs="David" w:hint="cs"/>
                <w:rtl/>
              </w:rPr>
            </w:pP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ינואר 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1.7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1.7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146.5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0.4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15.6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פברואר 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1.6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149.5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16.6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/>
                <w:b/>
                <w:bCs/>
                <w:sz w:val="22"/>
                <w:szCs w:val="22"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מארס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1.7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1.6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152.3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1.8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16.0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אפריל</w:t>
            </w:r>
            <w:r w:rsidRPr="00562A8F">
              <w:rPr>
                <w:rFonts w:cs="David" w:hint="cs"/>
                <w:b/>
                <w:bCs/>
                <w:sz w:val="22"/>
                <w:szCs w:val="22"/>
                <w:vertAlign w:val="superscript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1.4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2.2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1.6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157.7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3.6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20.1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מאי</w:t>
            </w:r>
            <w:r w:rsidRPr="00562A8F">
              <w:rPr>
                <w:rFonts w:cs="David" w:hint="cs"/>
                <w:b/>
                <w:bCs/>
                <w:sz w:val="22"/>
                <w:szCs w:val="22"/>
                <w:vertAlign w:val="superscript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1.4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2.0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1.5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157.6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0.1-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19.2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  <w:rtl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יוני</w:t>
            </w:r>
            <w:r w:rsidRPr="00562A8F">
              <w:rPr>
                <w:rFonts w:cs="David" w:hint="cs"/>
                <w:b/>
                <w:bCs/>
                <w:sz w:val="22"/>
                <w:szCs w:val="22"/>
                <w:vertAlign w:val="superscript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1.4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1.6</w:t>
            </w:r>
          </w:p>
        </w:tc>
        <w:tc>
          <w:tcPr>
            <w:tcW w:w="992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3" w:type="dxa"/>
            <w:vAlign w:val="center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1.4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159.5</w:t>
            </w: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1.2</w:t>
            </w: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18.2</w:t>
            </w:r>
          </w:p>
        </w:tc>
      </w:tr>
      <w:tr w:rsidR="003F5BF6" w:rsidRPr="00803D41" w:rsidTr="00F635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vAlign w:val="bottom"/>
          </w:tcPr>
          <w:p w:rsidR="003F5BF6" w:rsidRPr="00562A8F" w:rsidRDefault="003F5BF6" w:rsidP="00175F6B">
            <w:pPr>
              <w:bidi/>
              <w:rPr>
                <w:rFonts w:cs="David" w:hint="cs"/>
                <w:b/>
                <w:bCs/>
                <w:sz w:val="22"/>
                <w:szCs w:val="22"/>
              </w:rPr>
            </w:pPr>
            <w:r w:rsidRPr="00562A8F">
              <w:rPr>
                <w:rFonts w:cs="David" w:hint="cs"/>
                <w:b/>
                <w:bCs/>
                <w:sz w:val="22"/>
                <w:szCs w:val="22"/>
                <w:rtl/>
              </w:rPr>
              <w:t>הנתון השוטף</w:t>
            </w:r>
            <w:r w:rsidRPr="00562A8F">
              <w:rPr>
                <w:rFonts w:cs="David" w:hint="cs"/>
                <w:b/>
                <w:bCs/>
                <w:sz w:val="22"/>
                <w:szCs w:val="22"/>
                <w:vertAlign w:val="superscript"/>
                <w:rtl/>
              </w:rPr>
              <w:t>8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1.5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1.6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1.9</w:t>
            </w:r>
          </w:p>
        </w:tc>
        <w:tc>
          <w:tcPr>
            <w:tcW w:w="99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75F6B">
              <w:rPr>
                <w:rFonts w:ascii="Arial" w:hAnsi="Arial" w:cs="David" w:hint="cs"/>
                <w:sz w:val="24"/>
                <w:szCs w:val="24"/>
                <w:rtl/>
              </w:rPr>
              <w:t>1.3</w:t>
            </w:r>
          </w:p>
        </w:tc>
        <w:tc>
          <w:tcPr>
            <w:tcW w:w="992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763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bottom"/>
          </w:tcPr>
          <w:p w:rsidR="003F5BF6" w:rsidRPr="00175F6B" w:rsidRDefault="003F5BF6" w:rsidP="00175F6B">
            <w:pPr>
              <w:bidi/>
              <w:rPr>
                <w:rFonts w:ascii="Arial" w:hAnsi="Arial" w:cs="David" w:hint="cs"/>
                <w:sz w:val="24"/>
                <w:szCs w:val="24"/>
              </w:rPr>
            </w:pPr>
          </w:p>
        </w:tc>
      </w:tr>
    </w:tbl>
    <w:p w:rsidR="003F5BF6" w:rsidRPr="00A23D11" w:rsidRDefault="003F5BF6" w:rsidP="003F5BF6">
      <w:pPr>
        <w:numPr>
          <w:ilvl w:val="0"/>
          <w:numId w:val="2"/>
        </w:numPr>
        <w:tabs>
          <w:tab w:val="clear" w:pos="720"/>
        </w:tabs>
        <w:bidi/>
        <w:spacing w:line="276" w:lineRule="auto"/>
        <w:ind w:left="-52" w:right="0" w:hanging="283"/>
        <w:jc w:val="both"/>
        <w:rPr>
          <w:rFonts w:cs="David"/>
          <w:sz w:val="18"/>
          <w:szCs w:val="18"/>
        </w:rPr>
      </w:pPr>
      <w:r w:rsidRPr="00A23D11">
        <w:rPr>
          <w:rFonts w:cs="David" w:hint="cs"/>
          <w:sz w:val="18"/>
          <w:szCs w:val="18"/>
          <w:rtl/>
        </w:rPr>
        <w:t>הציפיות לאינפלציה</w:t>
      </w:r>
      <w:r>
        <w:rPr>
          <w:rFonts w:cs="David" w:hint="cs"/>
          <w:sz w:val="18"/>
          <w:szCs w:val="18"/>
          <w:rtl/>
        </w:rPr>
        <w:t xml:space="preserve"> משוק ההון </w:t>
      </w:r>
      <w:r w:rsidRPr="00A23D11">
        <w:rPr>
          <w:rFonts w:cs="David" w:hint="cs"/>
          <w:sz w:val="18"/>
          <w:szCs w:val="18"/>
          <w:rtl/>
        </w:rPr>
        <w:t>מוגדרות כ</w:t>
      </w:r>
      <w:r>
        <w:rPr>
          <w:rFonts w:cs="David" w:hint="cs"/>
          <w:sz w:val="18"/>
          <w:szCs w:val="18"/>
          <w:rtl/>
        </w:rPr>
        <w:t>הפרש</w:t>
      </w:r>
      <w:r w:rsidRPr="00A23D11">
        <w:rPr>
          <w:rFonts w:cs="David" w:hint="cs"/>
          <w:sz w:val="18"/>
          <w:szCs w:val="18"/>
          <w:rtl/>
        </w:rPr>
        <w:t xml:space="preserve"> בין התשואות של אג"ח ממשלתיות </w:t>
      </w:r>
      <w:r>
        <w:rPr>
          <w:rFonts w:cs="David" w:hint="cs"/>
          <w:sz w:val="18"/>
          <w:szCs w:val="18"/>
          <w:rtl/>
        </w:rPr>
        <w:t>לא-</w:t>
      </w:r>
      <w:r w:rsidRPr="00A23D11">
        <w:rPr>
          <w:rFonts w:cs="David" w:hint="cs"/>
          <w:sz w:val="18"/>
          <w:szCs w:val="18"/>
          <w:rtl/>
        </w:rPr>
        <w:t xml:space="preserve">צמודות </w:t>
      </w:r>
      <w:r>
        <w:rPr>
          <w:rFonts w:cs="David" w:hint="cs"/>
          <w:sz w:val="18"/>
          <w:szCs w:val="18"/>
          <w:rtl/>
        </w:rPr>
        <w:t xml:space="preserve">לתשואות של אג"ח ממשלתיות </w:t>
      </w:r>
      <w:r w:rsidRPr="00A23D11">
        <w:rPr>
          <w:rFonts w:cs="David" w:hint="cs"/>
          <w:sz w:val="18"/>
          <w:szCs w:val="18"/>
          <w:rtl/>
        </w:rPr>
        <w:t>צמודות (</w:t>
      </w:r>
      <w:r w:rsidRPr="00A23D11">
        <w:rPr>
          <w:rFonts w:cs="David"/>
          <w:sz w:val="18"/>
          <w:szCs w:val="18"/>
        </w:rPr>
        <w:t>Break-even Inflation</w:t>
      </w:r>
      <w:r w:rsidRPr="00A23D11">
        <w:rPr>
          <w:rFonts w:cs="David" w:hint="cs"/>
          <w:sz w:val="18"/>
          <w:szCs w:val="18"/>
          <w:rtl/>
        </w:rPr>
        <w:t>)</w:t>
      </w:r>
      <w:r>
        <w:rPr>
          <w:rFonts w:cs="David" w:hint="cs"/>
          <w:sz w:val="18"/>
          <w:szCs w:val="18"/>
          <w:rtl/>
        </w:rPr>
        <w:t>,</w:t>
      </w:r>
      <w:r w:rsidRPr="00A23D11">
        <w:rPr>
          <w:rFonts w:cs="David" w:hint="cs"/>
          <w:sz w:val="18"/>
          <w:szCs w:val="18"/>
          <w:rtl/>
        </w:rPr>
        <w:t xml:space="preserve"> והן כוללות מרכיב של פרמיית סיכון אינפלציונית</w:t>
      </w:r>
      <w:r>
        <w:rPr>
          <w:rFonts w:cs="David" w:hint="cs"/>
          <w:sz w:val="18"/>
          <w:szCs w:val="18"/>
          <w:rtl/>
        </w:rPr>
        <w:t xml:space="preserve"> </w:t>
      </w:r>
      <w:r w:rsidRPr="00BC2322">
        <w:rPr>
          <w:rFonts w:cs="David" w:hint="cs"/>
          <w:sz w:val="18"/>
          <w:szCs w:val="18"/>
          <w:rtl/>
        </w:rPr>
        <w:t xml:space="preserve">וכן הטיות </w:t>
      </w:r>
      <w:r>
        <w:rPr>
          <w:rFonts w:cs="David" w:hint="cs"/>
          <w:sz w:val="18"/>
          <w:szCs w:val="18"/>
          <w:rtl/>
        </w:rPr>
        <w:t xml:space="preserve">שונות </w:t>
      </w:r>
      <w:r w:rsidRPr="00F22F6E">
        <w:rPr>
          <w:rFonts w:cs="David" w:hint="cs"/>
          <w:sz w:val="18"/>
          <w:szCs w:val="18"/>
          <w:rtl/>
        </w:rPr>
        <w:t xml:space="preserve">הנובעות מהבדלי </w:t>
      </w:r>
      <w:r>
        <w:rPr>
          <w:rFonts w:cs="David" w:hint="cs"/>
          <w:sz w:val="18"/>
          <w:szCs w:val="18"/>
          <w:rtl/>
        </w:rPr>
        <w:t>ה</w:t>
      </w:r>
      <w:r w:rsidRPr="00F22F6E">
        <w:rPr>
          <w:rFonts w:cs="David" w:hint="cs"/>
          <w:sz w:val="18"/>
          <w:szCs w:val="18"/>
          <w:rtl/>
        </w:rPr>
        <w:t>מיסוי ו</w:t>
      </w:r>
      <w:r>
        <w:rPr>
          <w:rFonts w:cs="David" w:hint="cs"/>
          <w:sz w:val="18"/>
          <w:szCs w:val="18"/>
          <w:rtl/>
        </w:rPr>
        <w:t>ה</w:t>
      </w:r>
      <w:r w:rsidRPr="00F22F6E">
        <w:rPr>
          <w:rFonts w:cs="David" w:hint="cs"/>
          <w:sz w:val="18"/>
          <w:szCs w:val="18"/>
          <w:rtl/>
        </w:rPr>
        <w:t xml:space="preserve">נזילות </w:t>
      </w:r>
      <w:r>
        <w:rPr>
          <w:rFonts w:cs="David" w:hint="cs"/>
          <w:sz w:val="18"/>
          <w:szCs w:val="18"/>
          <w:rtl/>
        </w:rPr>
        <w:t xml:space="preserve">הקיימים </w:t>
      </w:r>
      <w:r w:rsidRPr="00F22F6E">
        <w:rPr>
          <w:rFonts w:cs="David" w:hint="cs"/>
          <w:sz w:val="18"/>
          <w:szCs w:val="18"/>
          <w:rtl/>
        </w:rPr>
        <w:t xml:space="preserve">בין </w:t>
      </w:r>
      <w:r>
        <w:rPr>
          <w:rFonts w:cs="David" w:hint="cs"/>
          <w:sz w:val="18"/>
          <w:szCs w:val="18"/>
          <w:rtl/>
        </w:rPr>
        <w:t>ה</w:t>
      </w:r>
      <w:r w:rsidRPr="00F22F6E">
        <w:rPr>
          <w:rFonts w:cs="David" w:hint="cs"/>
          <w:sz w:val="18"/>
          <w:szCs w:val="18"/>
          <w:rtl/>
        </w:rPr>
        <w:t>סוגי</w:t>
      </w:r>
      <w:r>
        <w:rPr>
          <w:rFonts w:cs="David" w:hint="cs"/>
          <w:sz w:val="18"/>
          <w:szCs w:val="18"/>
          <w:rtl/>
        </w:rPr>
        <w:t>ם השונים</w:t>
      </w:r>
      <w:r w:rsidRPr="00F22F6E">
        <w:rPr>
          <w:rFonts w:cs="David" w:hint="cs"/>
          <w:sz w:val="18"/>
          <w:szCs w:val="18"/>
          <w:rtl/>
        </w:rPr>
        <w:t xml:space="preserve"> </w:t>
      </w:r>
      <w:r>
        <w:rPr>
          <w:rFonts w:cs="David" w:hint="cs"/>
          <w:sz w:val="18"/>
          <w:szCs w:val="18"/>
          <w:rtl/>
        </w:rPr>
        <w:t xml:space="preserve">של </w:t>
      </w:r>
      <w:r w:rsidRPr="00F22F6E">
        <w:rPr>
          <w:rFonts w:cs="David" w:hint="cs"/>
          <w:sz w:val="18"/>
          <w:szCs w:val="18"/>
          <w:rtl/>
        </w:rPr>
        <w:t>א</w:t>
      </w:r>
      <w:r>
        <w:rPr>
          <w:rFonts w:cs="David" w:hint="cs"/>
          <w:sz w:val="18"/>
          <w:szCs w:val="18"/>
          <w:rtl/>
        </w:rPr>
        <w:t>י</w:t>
      </w:r>
      <w:r w:rsidRPr="00F22F6E">
        <w:rPr>
          <w:rFonts w:cs="David" w:hint="cs"/>
          <w:sz w:val="18"/>
          <w:szCs w:val="18"/>
          <w:rtl/>
        </w:rPr>
        <w:t>גרות החוב</w:t>
      </w:r>
      <w:r w:rsidRPr="00A23D11">
        <w:rPr>
          <w:rFonts w:cs="David" w:hint="cs"/>
          <w:sz w:val="18"/>
          <w:szCs w:val="18"/>
          <w:rtl/>
        </w:rPr>
        <w:t xml:space="preserve">. הסבר על אופן </w:t>
      </w: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 w:hint="cs"/>
          <w:sz w:val="18"/>
          <w:szCs w:val="18"/>
          <w:rtl/>
        </w:rPr>
        <w:t xml:space="preserve">חישוב </w:t>
      </w:r>
      <w:r>
        <w:rPr>
          <w:rFonts w:cs="David" w:hint="cs"/>
          <w:sz w:val="18"/>
          <w:szCs w:val="18"/>
          <w:rtl/>
        </w:rPr>
        <w:t xml:space="preserve">של </w:t>
      </w:r>
      <w:r w:rsidRPr="00A23D11">
        <w:rPr>
          <w:rFonts w:cs="David" w:hint="cs"/>
          <w:sz w:val="18"/>
          <w:szCs w:val="18"/>
          <w:rtl/>
        </w:rPr>
        <w:t>הציפיות</w:t>
      </w:r>
      <w:r>
        <w:rPr>
          <w:rFonts w:cs="David" w:hint="cs"/>
          <w:sz w:val="18"/>
          <w:szCs w:val="18"/>
          <w:rtl/>
        </w:rPr>
        <w:t xml:space="preserve"> מופיע בכתובת</w:t>
      </w:r>
      <w:r w:rsidRPr="00A23D11">
        <w:rPr>
          <w:rFonts w:cs="David" w:hint="cs"/>
          <w:sz w:val="18"/>
          <w:szCs w:val="18"/>
          <w:rtl/>
        </w:rPr>
        <w:t xml:space="preserve">: </w:t>
      </w:r>
    </w:p>
    <w:p w:rsidR="003F5BF6" w:rsidRPr="00A23D11" w:rsidRDefault="003F5BF6" w:rsidP="003F5BF6">
      <w:pPr>
        <w:spacing w:line="276" w:lineRule="auto"/>
        <w:rPr>
          <w:rFonts w:cs="David"/>
          <w:sz w:val="18"/>
          <w:szCs w:val="18"/>
        </w:rPr>
      </w:pPr>
      <w:hyperlink r:id="rId9" w:history="1">
        <w:r w:rsidRPr="00A23D11">
          <w:rPr>
            <w:rStyle w:val="Hyperlink"/>
            <w:sz w:val="18"/>
            <w:szCs w:val="18"/>
          </w:rPr>
          <w:t>www.boi.org.il</w:t>
        </w:r>
        <w:r w:rsidRPr="00A23D11">
          <w:rPr>
            <w:rStyle w:val="Hyperlink"/>
            <w:rFonts w:ascii="Calibri" w:hAnsi="Calibri" w:cs="Arial"/>
            <w:sz w:val="18"/>
            <w:szCs w:val="18"/>
            <w:rtl/>
          </w:rPr>
          <w:t>/</w:t>
        </w:r>
        <w:r w:rsidRPr="00A23D11">
          <w:rPr>
            <w:rStyle w:val="Hyperlink"/>
            <w:rFonts w:ascii="Calibri" w:hAnsi="Calibri" w:cs="Arial"/>
            <w:sz w:val="18"/>
            <w:szCs w:val="18"/>
          </w:rPr>
          <w:t>he/</w:t>
        </w:r>
        <w:proofErr w:type="spellStart"/>
        <w:r w:rsidRPr="00A23D11">
          <w:rPr>
            <w:rStyle w:val="Hyperlink"/>
            <w:rFonts w:ascii="Calibri" w:hAnsi="Calibri" w:cs="Arial"/>
            <w:sz w:val="18"/>
            <w:szCs w:val="18"/>
          </w:rPr>
          <w:t>DataAndStati</w:t>
        </w:r>
        <w:r w:rsidRPr="00A23D11">
          <w:rPr>
            <w:rStyle w:val="Hyperlink"/>
            <w:rFonts w:ascii="Calibri" w:hAnsi="Calibri" w:cs="Arial"/>
            <w:sz w:val="18"/>
            <w:szCs w:val="18"/>
          </w:rPr>
          <w:t>s</w:t>
        </w:r>
        <w:r w:rsidRPr="00A23D11">
          <w:rPr>
            <w:rStyle w:val="Hyperlink"/>
            <w:rFonts w:ascii="Calibri" w:hAnsi="Calibri" w:cs="Arial"/>
            <w:sz w:val="18"/>
            <w:szCs w:val="18"/>
          </w:rPr>
          <w:t>tics</w:t>
        </w:r>
        <w:proofErr w:type="spellEnd"/>
        <w:r w:rsidRPr="00A23D11">
          <w:rPr>
            <w:rStyle w:val="Hyperlink"/>
            <w:rFonts w:ascii="Calibri" w:hAnsi="Calibri" w:cs="Arial"/>
            <w:sz w:val="18"/>
            <w:szCs w:val="18"/>
          </w:rPr>
          <w:t>/Pages/InflationExpectationsExplanation.aspx</w:t>
        </w:r>
      </w:hyperlink>
    </w:p>
    <w:p w:rsidR="003F5BF6" w:rsidRDefault="003F5BF6" w:rsidP="00613F18">
      <w:pPr>
        <w:bidi/>
        <w:spacing w:line="276" w:lineRule="auto"/>
        <w:ind w:left="-58"/>
        <w:rPr>
          <w:rFonts w:cs="David" w:hint="cs"/>
          <w:sz w:val="18"/>
          <w:szCs w:val="18"/>
          <w:rtl/>
        </w:rPr>
      </w:pPr>
      <w:r w:rsidRPr="00064A12">
        <w:rPr>
          <w:rFonts w:cs="David"/>
          <w:sz w:val="18"/>
          <w:szCs w:val="18"/>
          <w:rtl/>
        </w:rPr>
        <w:lastRenderedPageBreak/>
        <w:t>החל מ</w:t>
      </w:r>
      <w:r>
        <w:rPr>
          <w:rFonts w:cs="David" w:hint="cs"/>
          <w:sz w:val="18"/>
          <w:szCs w:val="18"/>
          <w:rtl/>
        </w:rPr>
        <w:t xml:space="preserve">חודש יוני 2014 פרסום הנתונים מתבסס על </w:t>
      </w:r>
      <w:r w:rsidRPr="00064A12">
        <w:rPr>
          <w:rFonts w:cs="David"/>
          <w:sz w:val="18"/>
          <w:szCs w:val="18"/>
          <w:rtl/>
        </w:rPr>
        <w:t xml:space="preserve">המודל </w:t>
      </w:r>
      <w:r>
        <w:rPr>
          <w:rFonts w:cs="David" w:hint="cs"/>
          <w:sz w:val="18"/>
          <w:szCs w:val="18"/>
          <w:rtl/>
        </w:rPr>
        <w:t xml:space="preserve">המעודכן </w:t>
      </w:r>
      <w:r w:rsidRPr="00064A12">
        <w:rPr>
          <w:rFonts w:cs="David"/>
          <w:sz w:val="18"/>
          <w:szCs w:val="18"/>
          <w:rtl/>
        </w:rPr>
        <w:t>לאמידת עקום התשואות הריאליות</w:t>
      </w:r>
      <w:r>
        <w:rPr>
          <w:rFonts w:cs="David" w:hint="cs"/>
          <w:sz w:val="18"/>
          <w:szCs w:val="18"/>
          <w:rtl/>
        </w:rPr>
        <w:t xml:space="preserve">. מודל זה מביא בחשבון את </w:t>
      </w:r>
      <w:r w:rsidRPr="00064A12">
        <w:rPr>
          <w:rFonts w:cs="David"/>
          <w:sz w:val="18"/>
          <w:szCs w:val="18"/>
          <w:rtl/>
        </w:rPr>
        <w:t xml:space="preserve">גורמי העונתיות של מדד המחירים לצרכן </w:t>
      </w:r>
      <w:r>
        <w:rPr>
          <w:rFonts w:cs="David" w:hint="cs"/>
          <w:sz w:val="18"/>
          <w:szCs w:val="18"/>
          <w:rtl/>
        </w:rPr>
        <w:t xml:space="preserve">על ידי כך שהוא נוטל את </w:t>
      </w:r>
      <w:r w:rsidRPr="00064A12">
        <w:rPr>
          <w:rFonts w:cs="David"/>
          <w:sz w:val="18"/>
          <w:szCs w:val="18"/>
          <w:rtl/>
        </w:rPr>
        <w:t xml:space="preserve">התשואות </w:t>
      </w:r>
      <w:r>
        <w:rPr>
          <w:rFonts w:cs="David" w:hint="cs"/>
          <w:sz w:val="18"/>
          <w:szCs w:val="18"/>
          <w:rtl/>
        </w:rPr>
        <w:t xml:space="preserve">הריאליות של סדרות אג"ח בעלות </w:t>
      </w:r>
      <w:r w:rsidRPr="00AB3C47">
        <w:rPr>
          <w:rFonts w:cs="David" w:hint="cs"/>
          <w:sz w:val="18"/>
          <w:szCs w:val="18"/>
          <w:rtl/>
        </w:rPr>
        <w:t>טווחי פדיון שונים</w:t>
      </w:r>
      <w:r>
        <w:rPr>
          <w:rFonts w:cs="David" w:hint="cs"/>
          <w:sz w:val="18"/>
          <w:szCs w:val="18"/>
          <w:rtl/>
        </w:rPr>
        <w:t xml:space="preserve"> וגוזר מהן את התשואות ל</w:t>
      </w:r>
      <w:r w:rsidRPr="00064A12">
        <w:rPr>
          <w:rFonts w:cs="David"/>
          <w:sz w:val="18"/>
          <w:szCs w:val="18"/>
          <w:rtl/>
        </w:rPr>
        <w:t xml:space="preserve">שנים שלמות. פירוט </w:t>
      </w:r>
      <w:r>
        <w:rPr>
          <w:rFonts w:cs="David" w:hint="cs"/>
          <w:sz w:val="18"/>
          <w:szCs w:val="18"/>
          <w:rtl/>
        </w:rPr>
        <w:t xml:space="preserve">מופיע בכתובת: </w:t>
      </w:r>
      <w:bookmarkStart w:id="0" w:name="_GoBack"/>
      <w:bookmarkEnd w:id="0"/>
      <w:r w:rsidRPr="00A9020C">
        <w:rPr>
          <w:rFonts w:ascii="Calibri" w:hAnsi="Calibri" w:cs="Calibri"/>
          <w:sz w:val="18"/>
          <w:szCs w:val="18"/>
          <w:rtl/>
        </w:rPr>
        <w:fldChar w:fldCharType="begin"/>
      </w:r>
      <w:r w:rsidRPr="00A9020C">
        <w:rPr>
          <w:rFonts w:ascii="Calibri" w:hAnsi="Calibri" w:cs="Calibri"/>
          <w:sz w:val="18"/>
          <w:szCs w:val="18"/>
          <w:rtl/>
        </w:rPr>
        <w:instrText xml:space="preserve"> </w:instrText>
      </w:r>
      <w:r w:rsidRPr="00A9020C">
        <w:rPr>
          <w:rFonts w:ascii="Calibri" w:hAnsi="Calibri" w:cs="Calibri"/>
          <w:sz w:val="18"/>
          <w:szCs w:val="18"/>
        </w:rPr>
        <w:instrText>HYPERLINK "http://www.boi.org.il/he/Research/DocLib1/pp1206h.pdf</w:instrText>
      </w:r>
      <w:r w:rsidRPr="00A9020C">
        <w:rPr>
          <w:rFonts w:ascii="Calibri" w:hAnsi="Calibri" w:cs="Calibri"/>
          <w:sz w:val="18"/>
          <w:szCs w:val="18"/>
          <w:rtl/>
        </w:rPr>
        <w:instrText xml:space="preserve">" </w:instrText>
      </w:r>
      <w:r w:rsidRPr="00A9020C">
        <w:rPr>
          <w:rFonts w:ascii="Calibri" w:hAnsi="Calibri" w:cs="Calibri"/>
          <w:sz w:val="18"/>
          <w:szCs w:val="18"/>
          <w:rtl/>
        </w:rPr>
        <w:fldChar w:fldCharType="separate"/>
      </w:r>
      <w:r w:rsidRPr="00A9020C">
        <w:rPr>
          <w:rStyle w:val="Hyperlink"/>
          <w:rFonts w:ascii="Calibri" w:hAnsi="Calibri" w:cs="Calibri"/>
          <w:sz w:val="18"/>
          <w:szCs w:val="18"/>
        </w:rPr>
        <w:t>http://www.boi.org.il/he/Research/DocLib1/pp1206h.pdf</w:t>
      </w:r>
      <w:r w:rsidRPr="00A9020C">
        <w:rPr>
          <w:rFonts w:ascii="Calibri" w:hAnsi="Calibri" w:cs="Calibri"/>
          <w:sz w:val="18"/>
          <w:szCs w:val="18"/>
          <w:rtl/>
        </w:rPr>
        <w:fldChar w:fldCharType="end"/>
      </w:r>
      <w:r w:rsidRPr="00064A12">
        <w:rPr>
          <w:rtl/>
        </w:rPr>
        <w:t>.</w:t>
      </w:r>
    </w:p>
    <w:p w:rsidR="003F5BF6" w:rsidRPr="00EA11DE" w:rsidRDefault="003F5BF6" w:rsidP="003F5BF6">
      <w:pPr>
        <w:numPr>
          <w:ilvl w:val="0"/>
          <w:numId w:val="2"/>
        </w:numPr>
        <w:tabs>
          <w:tab w:val="clear" w:pos="720"/>
        </w:tabs>
        <w:bidi/>
        <w:spacing w:line="276" w:lineRule="auto"/>
        <w:ind w:left="-52" w:right="0" w:hanging="283"/>
        <w:jc w:val="both"/>
        <w:rPr>
          <w:rFonts w:cs="David" w:hint="cs"/>
          <w:sz w:val="18"/>
          <w:szCs w:val="18"/>
          <w:rtl/>
        </w:rPr>
      </w:pPr>
      <w:r w:rsidRPr="00F34E0D">
        <w:rPr>
          <w:rFonts w:cs="David" w:hint="cs"/>
          <w:sz w:val="18"/>
          <w:szCs w:val="18"/>
          <w:rtl/>
        </w:rPr>
        <w:t>בין אוגוסט 2014 לאוגוסט 2015 אין סדרות אג"ח ממשלתיות צמודות למדד בעלות טווח פדיון קרוב לשנה</w:t>
      </w:r>
      <w:r>
        <w:rPr>
          <w:rFonts w:cs="David" w:hint="cs"/>
          <w:sz w:val="18"/>
          <w:szCs w:val="18"/>
          <w:rtl/>
        </w:rPr>
        <w:t>,</w:t>
      </w:r>
      <w:r w:rsidRPr="00F34E0D">
        <w:rPr>
          <w:rFonts w:cs="David" w:hint="cs"/>
          <w:sz w:val="18"/>
          <w:szCs w:val="18"/>
          <w:rtl/>
        </w:rPr>
        <w:t xml:space="preserve"> </w:t>
      </w:r>
      <w:r>
        <w:rPr>
          <w:rFonts w:cs="David" w:hint="cs"/>
          <w:sz w:val="18"/>
          <w:szCs w:val="18"/>
          <w:rtl/>
        </w:rPr>
        <w:t>ו</w:t>
      </w:r>
      <w:r w:rsidRPr="00F34E0D">
        <w:rPr>
          <w:rFonts w:cs="David" w:hint="cs"/>
          <w:sz w:val="18"/>
          <w:szCs w:val="18"/>
          <w:rtl/>
        </w:rPr>
        <w:t>לכן תיתכן הטיה מסוימת באמידת חלקו הקצר של עקום תשואות האפס הריאלי, המשפיע על אומדן הציפיות לאינפלציה לשנה.</w:t>
      </w:r>
      <w:r w:rsidRPr="00EA11DE">
        <w:rPr>
          <w:rFonts w:cs="David" w:hint="cs"/>
          <w:sz w:val="18"/>
          <w:szCs w:val="18"/>
          <w:rtl/>
        </w:rPr>
        <w:t xml:space="preserve"> </w:t>
      </w:r>
      <w:r>
        <w:rPr>
          <w:rFonts w:cs="David" w:hint="cs"/>
          <w:sz w:val="18"/>
          <w:szCs w:val="18"/>
          <w:rtl/>
        </w:rPr>
        <w:t>בתקופה זו</w:t>
      </w:r>
      <w:r w:rsidRPr="00194097">
        <w:rPr>
          <w:rFonts w:cs="David"/>
          <w:sz w:val="18"/>
          <w:szCs w:val="18"/>
          <w:rtl/>
        </w:rPr>
        <w:t xml:space="preserve"> האומדן </w:t>
      </w:r>
      <w:r>
        <w:rPr>
          <w:rFonts w:cs="David" w:hint="cs"/>
          <w:sz w:val="18"/>
          <w:szCs w:val="18"/>
          <w:rtl/>
        </w:rPr>
        <w:t xml:space="preserve">של הציפיות לשנתיים הוא האומדן </w:t>
      </w:r>
      <w:r w:rsidRPr="00194097">
        <w:rPr>
          <w:rFonts w:cs="David"/>
          <w:sz w:val="18"/>
          <w:szCs w:val="18"/>
          <w:rtl/>
        </w:rPr>
        <w:t xml:space="preserve">הטוב ביותר </w:t>
      </w:r>
      <w:r>
        <w:rPr>
          <w:rFonts w:cs="David" w:hint="cs"/>
          <w:sz w:val="18"/>
          <w:szCs w:val="18"/>
          <w:rtl/>
        </w:rPr>
        <w:t>שמתקבל</w:t>
      </w:r>
      <w:r w:rsidRPr="00194097">
        <w:rPr>
          <w:rFonts w:cs="David"/>
          <w:sz w:val="18"/>
          <w:szCs w:val="18"/>
          <w:rtl/>
        </w:rPr>
        <w:t xml:space="preserve"> </w:t>
      </w:r>
      <w:r>
        <w:rPr>
          <w:rFonts w:cs="David" w:hint="cs"/>
          <w:sz w:val="18"/>
          <w:szCs w:val="18"/>
          <w:rtl/>
        </w:rPr>
        <w:t>מ</w:t>
      </w:r>
      <w:r w:rsidRPr="00194097">
        <w:rPr>
          <w:rFonts w:cs="David"/>
          <w:sz w:val="18"/>
          <w:szCs w:val="18"/>
          <w:rtl/>
        </w:rPr>
        <w:t xml:space="preserve">שוק ההון </w:t>
      </w:r>
      <w:r>
        <w:rPr>
          <w:rFonts w:cs="David" w:hint="cs"/>
          <w:sz w:val="18"/>
          <w:szCs w:val="18"/>
          <w:rtl/>
        </w:rPr>
        <w:t>לגבי</w:t>
      </w:r>
      <w:r w:rsidRPr="00194097">
        <w:rPr>
          <w:rFonts w:cs="David"/>
          <w:sz w:val="18"/>
          <w:szCs w:val="18"/>
          <w:rtl/>
        </w:rPr>
        <w:t xml:space="preserve"> הציפיות לטווח הקצר</w:t>
      </w:r>
      <w:r>
        <w:rPr>
          <w:rFonts w:cs="David" w:hint="cs"/>
          <w:sz w:val="18"/>
          <w:szCs w:val="18"/>
          <w:rtl/>
        </w:rPr>
        <w:t>.</w:t>
      </w:r>
    </w:p>
    <w:p w:rsidR="003F5BF6" w:rsidRDefault="003F5BF6" w:rsidP="003F5BF6">
      <w:pPr>
        <w:numPr>
          <w:ilvl w:val="0"/>
          <w:numId w:val="2"/>
        </w:numPr>
        <w:tabs>
          <w:tab w:val="clear" w:pos="720"/>
        </w:tabs>
        <w:bidi/>
        <w:spacing w:line="276" w:lineRule="auto"/>
        <w:ind w:left="-52" w:right="0" w:hanging="283"/>
        <w:jc w:val="both"/>
        <w:rPr>
          <w:rFonts w:cs="David" w:hint="cs"/>
          <w:sz w:val="18"/>
          <w:szCs w:val="18"/>
        </w:rPr>
      </w:pPr>
      <w:r w:rsidRPr="00A23D11">
        <w:rPr>
          <w:rFonts w:cs="David" w:hint="cs"/>
          <w:sz w:val="18"/>
          <w:szCs w:val="18"/>
          <w:rtl/>
        </w:rPr>
        <w:t xml:space="preserve">ממוצע פשוט של תחזיות </w:t>
      </w: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 w:hint="cs"/>
          <w:sz w:val="18"/>
          <w:szCs w:val="18"/>
          <w:rtl/>
        </w:rPr>
        <w:t xml:space="preserve">אינפלציה של </w:t>
      </w:r>
      <w:r>
        <w:rPr>
          <w:rFonts w:cs="David" w:hint="cs"/>
          <w:sz w:val="18"/>
          <w:szCs w:val="18"/>
          <w:rtl/>
        </w:rPr>
        <w:t xml:space="preserve">חברות לייעוץ כלכלי ושל </w:t>
      </w:r>
      <w:r w:rsidRPr="00A23D11">
        <w:rPr>
          <w:rFonts w:cs="David" w:hint="cs"/>
          <w:sz w:val="18"/>
          <w:szCs w:val="18"/>
          <w:rtl/>
        </w:rPr>
        <w:t>בנקים מסחריים המפרסמים את תחזיותיהם באופן סדיר.</w:t>
      </w:r>
    </w:p>
    <w:p w:rsidR="003F5BF6" w:rsidRPr="00A23D11" w:rsidRDefault="003F5BF6" w:rsidP="003F5BF6">
      <w:pPr>
        <w:numPr>
          <w:ilvl w:val="0"/>
          <w:numId w:val="2"/>
        </w:numPr>
        <w:tabs>
          <w:tab w:val="clear" w:pos="720"/>
        </w:tabs>
        <w:bidi/>
        <w:spacing w:line="276" w:lineRule="auto"/>
        <w:ind w:left="-52" w:right="0" w:hanging="283"/>
        <w:jc w:val="both"/>
        <w:rPr>
          <w:rFonts w:cs="David" w:hint="cs"/>
          <w:sz w:val="18"/>
          <w:szCs w:val="18"/>
        </w:rPr>
      </w:pPr>
      <w:r w:rsidRPr="00A23D11">
        <w:rPr>
          <w:rFonts w:cs="David" w:hint="cs"/>
          <w:sz w:val="18"/>
          <w:szCs w:val="18"/>
          <w:rtl/>
        </w:rPr>
        <w:t>הרמה הממוצעת בחודש השוטף לעומת הרמה הממוצעת של החודש המקביל בשנה הקודמת.</w:t>
      </w:r>
    </w:p>
    <w:p w:rsidR="003F5BF6" w:rsidRPr="00A23D11" w:rsidRDefault="003F5BF6" w:rsidP="003F5BF6">
      <w:pPr>
        <w:numPr>
          <w:ilvl w:val="0"/>
          <w:numId w:val="2"/>
        </w:numPr>
        <w:tabs>
          <w:tab w:val="clear" w:pos="720"/>
        </w:tabs>
        <w:bidi/>
        <w:spacing w:line="276" w:lineRule="auto"/>
        <w:ind w:left="-52" w:right="0" w:hanging="283"/>
        <w:jc w:val="both"/>
        <w:rPr>
          <w:rFonts w:cs="David" w:hint="cs"/>
          <w:sz w:val="18"/>
          <w:szCs w:val="18"/>
        </w:rPr>
      </w:pP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 w:hint="cs"/>
          <w:sz w:val="18"/>
          <w:szCs w:val="18"/>
          <w:rtl/>
        </w:rPr>
        <w:t xml:space="preserve">נתונים </w:t>
      </w: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 w:hint="cs"/>
          <w:sz w:val="18"/>
          <w:szCs w:val="18"/>
          <w:rtl/>
        </w:rPr>
        <w:t xml:space="preserve">שנתיים: שיעור האינפלציה הצפוי </w:t>
      </w:r>
      <w:r w:rsidRPr="00A23D11">
        <w:rPr>
          <w:rFonts w:cs="David"/>
          <w:sz w:val="18"/>
          <w:szCs w:val="18"/>
          <w:rtl/>
        </w:rPr>
        <w:t>–</w:t>
      </w:r>
      <w:r w:rsidRPr="00A23D11">
        <w:rPr>
          <w:rFonts w:cs="David" w:hint="cs"/>
          <w:sz w:val="18"/>
          <w:szCs w:val="18"/>
          <w:rtl/>
        </w:rPr>
        <w:t xml:space="preserve"> ממוצע שנתי, אמצעי </w:t>
      </w: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 w:hint="cs"/>
          <w:sz w:val="18"/>
          <w:szCs w:val="18"/>
          <w:rtl/>
        </w:rPr>
        <w:t>תשלום (1</w:t>
      </w:r>
      <w:r w:rsidRPr="00A23D11">
        <w:rPr>
          <w:rFonts w:cs="David" w:hint="cs"/>
          <w:sz w:val="18"/>
          <w:szCs w:val="18"/>
        </w:rPr>
        <w:t>M</w:t>
      </w:r>
      <w:r w:rsidRPr="00A23D11">
        <w:rPr>
          <w:rFonts w:cs="David" w:hint="cs"/>
          <w:sz w:val="18"/>
          <w:szCs w:val="18"/>
          <w:rtl/>
        </w:rPr>
        <w:t xml:space="preserve">) </w:t>
      </w:r>
      <w:r w:rsidRPr="00A23D11">
        <w:rPr>
          <w:rFonts w:cs="David"/>
          <w:sz w:val="18"/>
          <w:szCs w:val="18"/>
          <w:rtl/>
        </w:rPr>
        <w:t>–</w:t>
      </w:r>
      <w:r w:rsidRPr="00A23D11">
        <w:rPr>
          <w:rFonts w:cs="David" w:hint="cs"/>
          <w:sz w:val="18"/>
          <w:szCs w:val="18"/>
          <w:rtl/>
        </w:rPr>
        <w:t xml:space="preserve"> </w:t>
      </w: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 w:hint="cs"/>
          <w:sz w:val="18"/>
          <w:szCs w:val="18"/>
          <w:rtl/>
        </w:rPr>
        <w:t xml:space="preserve">ממוצע </w:t>
      </w:r>
      <w:r>
        <w:rPr>
          <w:rFonts w:cs="David" w:hint="cs"/>
          <w:sz w:val="18"/>
          <w:szCs w:val="18"/>
          <w:rtl/>
        </w:rPr>
        <w:t>ב</w:t>
      </w:r>
      <w:r w:rsidRPr="00A23D11">
        <w:rPr>
          <w:rFonts w:cs="David" w:hint="cs"/>
          <w:sz w:val="18"/>
          <w:szCs w:val="18"/>
          <w:rtl/>
        </w:rPr>
        <w:t>חודש דצמבר.</w:t>
      </w:r>
    </w:p>
    <w:p w:rsidR="003F5BF6" w:rsidRPr="00A23D11" w:rsidRDefault="003F5BF6" w:rsidP="003F5BF6">
      <w:pPr>
        <w:numPr>
          <w:ilvl w:val="0"/>
          <w:numId w:val="2"/>
        </w:numPr>
        <w:tabs>
          <w:tab w:val="clear" w:pos="720"/>
        </w:tabs>
        <w:bidi/>
        <w:spacing w:line="276" w:lineRule="auto"/>
        <w:ind w:left="-52" w:right="0" w:hanging="283"/>
        <w:jc w:val="both"/>
        <w:rPr>
          <w:rFonts w:cs="David" w:hint="cs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 w:hint="cs"/>
          <w:sz w:val="18"/>
          <w:szCs w:val="18"/>
          <w:rtl/>
        </w:rPr>
        <w:t xml:space="preserve">נתונים </w:t>
      </w: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 w:hint="cs"/>
          <w:sz w:val="18"/>
          <w:szCs w:val="18"/>
          <w:rtl/>
        </w:rPr>
        <w:t>חודשיים: ממוצע חודשי.</w:t>
      </w:r>
    </w:p>
    <w:p w:rsidR="003F5BF6" w:rsidRPr="00A23D11" w:rsidRDefault="003F5BF6" w:rsidP="003F5BF6">
      <w:pPr>
        <w:numPr>
          <w:ilvl w:val="0"/>
          <w:numId w:val="2"/>
        </w:numPr>
        <w:tabs>
          <w:tab w:val="clear" w:pos="720"/>
        </w:tabs>
        <w:bidi/>
        <w:spacing w:line="276" w:lineRule="auto"/>
        <w:ind w:left="-52" w:right="0" w:hanging="283"/>
        <w:jc w:val="both"/>
        <w:rPr>
          <w:rFonts w:cs="David" w:hint="cs"/>
          <w:sz w:val="18"/>
          <w:szCs w:val="18"/>
        </w:rPr>
      </w:pP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 w:hint="cs"/>
          <w:sz w:val="18"/>
          <w:szCs w:val="18"/>
          <w:rtl/>
        </w:rPr>
        <w:t>נתוני</w:t>
      </w:r>
      <w:r>
        <w:rPr>
          <w:rFonts w:cs="David" w:hint="cs"/>
          <w:sz w:val="18"/>
          <w:szCs w:val="18"/>
          <w:rtl/>
        </w:rPr>
        <w:t>ם על</w:t>
      </w:r>
      <w:r w:rsidRPr="00A23D11">
        <w:rPr>
          <w:rFonts w:cs="David" w:hint="cs"/>
          <w:sz w:val="18"/>
          <w:szCs w:val="18"/>
          <w:rtl/>
        </w:rPr>
        <w:t xml:space="preserve"> אמצעי התשלום הם ארעיים. </w:t>
      </w:r>
    </w:p>
    <w:p w:rsidR="003F5BF6" w:rsidRPr="00A23D11" w:rsidRDefault="003F5BF6" w:rsidP="003F5BF6">
      <w:pPr>
        <w:numPr>
          <w:ilvl w:val="0"/>
          <w:numId w:val="2"/>
        </w:numPr>
        <w:tabs>
          <w:tab w:val="clear" w:pos="720"/>
        </w:tabs>
        <w:bidi/>
        <w:spacing w:line="276" w:lineRule="auto"/>
        <w:ind w:left="-52" w:right="0" w:hanging="283"/>
        <w:jc w:val="both"/>
        <w:rPr>
          <w:rFonts w:cs="David" w:hint="cs"/>
          <w:sz w:val="18"/>
          <w:szCs w:val="18"/>
        </w:rPr>
      </w:pPr>
      <w:r>
        <w:rPr>
          <w:rFonts w:cs="David" w:hint="cs"/>
          <w:sz w:val="18"/>
          <w:szCs w:val="18"/>
          <w:rtl/>
        </w:rPr>
        <w:t>על</w:t>
      </w:r>
      <w:r w:rsidRPr="00A23D11">
        <w:rPr>
          <w:rFonts w:cs="David" w:hint="cs"/>
          <w:sz w:val="18"/>
          <w:szCs w:val="18"/>
          <w:rtl/>
        </w:rPr>
        <w:t xml:space="preserve"> </w:t>
      </w: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 w:hint="cs"/>
          <w:sz w:val="18"/>
          <w:szCs w:val="18"/>
          <w:rtl/>
        </w:rPr>
        <w:t xml:space="preserve">ציפיות משוק ההון </w:t>
      </w:r>
      <w:r>
        <w:rPr>
          <w:rFonts w:cs="David"/>
          <w:sz w:val="18"/>
          <w:szCs w:val="18"/>
          <w:rtl/>
        </w:rPr>
        <w:t>–</w:t>
      </w:r>
      <w:r w:rsidRPr="00A23D11">
        <w:rPr>
          <w:rFonts w:cs="David" w:hint="cs"/>
          <w:sz w:val="18"/>
          <w:szCs w:val="18"/>
          <w:rtl/>
        </w:rPr>
        <w:t xml:space="preserve"> </w:t>
      </w:r>
      <w:r w:rsidRPr="00A23D11">
        <w:rPr>
          <w:rFonts w:cs="David"/>
          <w:sz w:val="18"/>
          <w:szCs w:val="18"/>
          <w:rtl/>
        </w:rPr>
        <w:t xml:space="preserve">ממוצע לחודש מדדי (מה-16 בחודש הקודם עד ה-15 בחודש </w:t>
      </w: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/>
          <w:sz w:val="18"/>
          <w:szCs w:val="18"/>
          <w:rtl/>
        </w:rPr>
        <w:t>נוכחי)</w:t>
      </w:r>
      <w:r w:rsidRPr="00A23D11">
        <w:rPr>
          <w:rFonts w:cs="David" w:hint="cs"/>
          <w:sz w:val="18"/>
          <w:szCs w:val="18"/>
          <w:rtl/>
        </w:rPr>
        <w:t>, ע</w:t>
      </w:r>
      <w:r>
        <w:rPr>
          <w:rFonts w:cs="David" w:hint="cs"/>
          <w:sz w:val="18"/>
          <w:szCs w:val="18"/>
          <w:rtl/>
        </w:rPr>
        <w:t>ל</w:t>
      </w:r>
      <w:r w:rsidRPr="00A23D11">
        <w:rPr>
          <w:rFonts w:cs="David" w:hint="cs"/>
          <w:sz w:val="18"/>
          <w:szCs w:val="18"/>
          <w:rtl/>
        </w:rPr>
        <w:t xml:space="preserve"> התחזיות  </w:t>
      </w:r>
      <w:r w:rsidRPr="00A23D11">
        <w:rPr>
          <w:rFonts w:cs="David"/>
          <w:sz w:val="18"/>
          <w:szCs w:val="18"/>
          <w:rtl/>
        </w:rPr>
        <w:t>–</w:t>
      </w:r>
      <w:r w:rsidRPr="00A23D11">
        <w:rPr>
          <w:rFonts w:cs="David" w:hint="cs"/>
          <w:sz w:val="18"/>
          <w:szCs w:val="18"/>
          <w:rtl/>
        </w:rPr>
        <w:t xml:space="preserve"> </w:t>
      </w:r>
      <w:r>
        <w:rPr>
          <w:rFonts w:cs="David" w:hint="cs"/>
          <w:sz w:val="18"/>
          <w:szCs w:val="18"/>
          <w:rtl/>
        </w:rPr>
        <w:t>ה</w:t>
      </w:r>
      <w:r w:rsidRPr="00A23D11">
        <w:rPr>
          <w:rFonts w:cs="David" w:hint="cs"/>
          <w:sz w:val="18"/>
          <w:szCs w:val="18"/>
          <w:rtl/>
        </w:rPr>
        <w:t>ממוצע של התחזיות שעודכנו לאחר פרסום המדד</w:t>
      </w:r>
      <w:r w:rsidRPr="00A23D11">
        <w:rPr>
          <w:rFonts w:cs="David"/>
          <w:sz w:val="18"/>
          <w:szCs w:val="18"/>
          <w:rtl/>
        </w:rPr>
        <w:t>.</w:t>
      </w:r>
    </w:p>
    <w:p w:rsidR="003F5BF6" w:rsidRDefault="003F5BF6" w:rsidP="003F5BF6">
      <w:pPr>
        <w:bidi/>
        <w:spacing w:line="360" w:lineRule="auto"/>
        <w:ind w:right="-101"/>
        <w:rPr>
          <w:rFonts w:cs="David" w:hint="cs"/>
          <w:sz w:val="24"/>
          <w:szCs w:val="24"/>
          <w:rtl/>
        </w:rPr>
      </w:pPr>
    </w:p>
    <w:p w:rsidR="003F5BF6" w:rsidRPr="00C25BC9" w:rsidRDefault="003F5BF6" w:rsidP="003F5BF6">
      <w:pPr>
        <w:bidi/>
        <w:spacing w:line="360" w:lineRule="auto"/>
        <w:ind w:right="-101"/>
        <w:rPr>
          <w:rFonts w:cs="David"/>
          <w:sz w:val="24"/>
          <w:szCs w:val="24"/>
        </w:rPr>
      </w:pPr>
    </w:p>
    <w:sectPr w:rsidR="003F5BF6" w:rsidRPr="00C25BC9" w:rsidSect="00F635F8">
      <w:footerReference w:type="default" r:id="rId10"/>
      <w:pgSz w:w="11906" w:h="16838"/>
      <w:pgMar w:top="737" w:right="1559" w:bottom="794" w:left="1701" w:header="709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6B" w:rsidRDefault="00C04A6B" w:rsidP="00C04A6B">
      <w:r>
        <w:separator/>
      </w:r>
    </w:p>
  </w:endnote>
  <w:endnote w:type="continuationSeparator" w:id="0">
    <w:p w:rsidR="00C04A6B" w:rsidRDefault="00C04A6B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18"/>
        <w:szCs w:val="18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18"/>
            <w:szCs w:val="18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1815" w:rsidRPr="00301815" w:rsidRDefault="00301815" w:rsidP="00F635F8">
            <w:pPr>
              <w:bidi/>
              <w:ind w:left="-284" w:right="-709"/>
              <w:rPr>
                <w:rFonts w:cs="David"/>
                <w:sz w:val="18"/>
                <w:szCs w:val="18"/>
                <w:rtl/>
                <w:cs/>
              </w:rPr>
            </w:pPr>
            <w:r>
              <w:rPr>
                <w:rFonts w:cs="David" w:hint="cs"/>
                <w:sz w:val="18"/>
                <w:szCs w:val="18"/>
                <w:rtl/>
                <w:lang w:val="he-IL"/>
              </w:rPr>
              <w:t xml:space="preserve">בנק ישראל - </w:t>
            </w:r>
            <w:r w:rsidR="00175F6B" w:rsidRPr="00175F6B">
              <w:rPr>
                <w:rFonts w:cs="David" w:hint="cs"/>
                <w:sz w:val="18"/>
                <w:szCs w:val="18"/>
                <w:rtl/>
                <w:lang w:val="he-IL"/>
              </w:rPr>
              <w:t xml:space="preserve">שיעור האינפלציה הצפוי לפי שוק ההון ותחזיות החזאים, והתפתחות אמצעי התשלום </w:t>
            </w:r>
            <w:r w:rsidR="00F635F8">
              <w:rPr>
                <w:rFonts w:cs="David" w:hint="cs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/>
                <w:sz w:val="18"/>
                <w:szCs w:val="18"/>
                <w:rtl/>
                <w:lang w:val="he-IL"/>
              </w:rPr>
              <w:tab/>
            </w:r>
            <w:r w:rsidRPr="003018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301815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PAGE</w:instrTex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613F18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1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  <w:r w:rsidRPr="003018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301815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NUMPAGES</w:instrTex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613F18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2</w:t>
            </w:r>
            <w:r w:rsidRPr="00301815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15F57" w:rsidRDefault="00A15F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6B" w:rsidRDefault="00C04A6B" w:rsidP="00C04A6B">
      <w:r>
        <w:separator/>
      </w:r>
    </w:p>
  </w:footnote>
  <w:footnote w:type="continuationSeparator" w:id="0">
    <w:p w:rsidR="00C04A6B" w:rsidRDefault="00C04A6B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637D"/>
    <w:multiLevelType w:val="hybridMultilevel"/>
    <w:tmpl w:val="77DA8A2C"/>
    <w:lvl w:ilvl="0" w:tplc="F310426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81BCE"/>
    <w:rsid w:val="000A3EB8"/>
    <w:rsid w:val="00100FEE"/>
    <w:rsid w:val="00115A82"/>
    <w:rsid w:val="00175F6B"/>
    <w:rsid w:val="00177686"/>
    <w:rsid w:val="00180E8A"/>
    <w:rsid w:val="001B4567"/>
    <w:rsid w:val="001B5E0C"/>
    <w:rsid w:val="001C0337"/>
    <w:rsid w:val="001D7646"/>
    <w:rsid w:val="001E5A00"/>
    <w:rsid w:val="00225A9F"/>
    <w:rsid w:val="002409CC"/>
    <w:rsid w:val="002438E2"/>
    <w:rsid w:val="002630B7"/>
    <w:rsid w:val="002B3FB0"/>
    <w:rsid w:val="002D510A"/>
    <w:rsid w:val="00301815"/>
    <w:rsid w:val="0031161D"/>
    <w:rsid w:val="003537B9"/>
    <w:rsid w:val="003810D6"/>
    <w:rsid w:val="003901E0"/>
    <w:rsid w:val="003A4EDC"/>
    <w:rsid w:val="003B5DE7"/>
    <w:rsid w:val="003D651A"/>
    <w:rsid w:val="003F5BF6"/>
    <w:rsid w:val="0041690A"/>
    <w:rsid w:val="00417FB6"/>
    <w:rsid w:val="00420F93"/>
    <w:rsid w:val="00421F80"/>
    <w:rsid w:val="00441E07"/>
    <w:rsid w:val="0044713E"/>
    <w:rsid w:val="004625EB"/>
    <w:rsid w:val="0047627F"/>
    <w:rsid w:val="004A5826"/>
    <w:rsid w:val="004B11CB"/>
    <w:rsid w:val="004B5D8D"/>
    <w:rsid w:val="004E23AC"/>
    <w:rsid w:val="004F06E0"/>
    <w:rsid w:val="00500487"/>
    <w:rsid w:val="00502068"/>
    <w:rsid w:val="00515549"/>
    <w:rsid w:val="00520BB4"/>
    <w:rsid w:val="00524602"/>
    <w:rsid w:val="00562A8F"/>
    <w:rsid w:val="00613F18"/>
    <w:rsid w:val="00614095"/>
    <w:rsid w:val="0064287F"/>
    <w:rsid w:val="00651CB7"/>
    <w:rsid w:val="00661ADC"/>
    <w:rsid w:val="006C01FB"/>
    <w:rsid w:val="006C2B75"/>
    <w:rsid w:val="00706E3E"/>
    <w:rsid w:val="00762D5A"/>
    <w:rsid w:val="007A597A"/>
    <w:rsid w:val="007E18EE"/>
    <w:rsid w:val="007F013B"/>
    <w:rsid w:val="00826810"/>
    <w:rsid w:val="00837763"/>
    <w:rsid w:val="00852D44"/>
    <w:rsid w:val="0086330B"/>
    <w:rsid w:val="00881EF7"/>
    <w:rsid w:val="008928BC"/>
    <w:rsid w:val="008B55E9"/>
    <w:rsid w:val="008B5665"/>
    <w:rsid w:val="008D1016"/>
    <w:rsid w:val="00923E37"/>
    <w:rsid w:val="00961EFC"/>
    <w:rsid w:val="00972F89"/>
    <w:rsid w:val="009818C2"/>
    <w:rsid w:val="009B71E4"/>
    <w:rsid w:val="009C16BD"/>
    <w:rsid w:val="00A13688"/>
    <w:rsid w:val="00A15F57"/>
    <w:rsid w:val="00A57161"/>
    <w:rsid w:val="00A6707D"/>
    <w:rsid w:val="00AA51B0"/>
    <w:rsid w:val="00AA7ED7"/>
    <w:rsid w:val="00AB409F"/>
    <w:rsid w:val="00AC2075"/>
    <w:rsid w:val="00AD759C"/>
    <w:rsid w:val="00AE591E"/>
    <w:rsid w:val="00B058F3"/>
    <w:rsid w:val="00B2503D"/>
    <w:rsid w:val="00B45A8A"/>
    <w:rsid w:val="00B77C1D"/>
    <w:rsid w:val="00B84BD7"/>
    <w:rsid w:val="00BC41DB"/>
    <w:rsid w:val="00BC5A6D"/>
    <w:rsid w:val="00BD5207"/>
    <w:rsid w:val="00BE235C"/>
    <w:rsid w:val="00BE49A2"/>
    <w:rsid w:val="00C04A6B"/>
    <w:rsid w:val="00C22C24"/>
    <w:rsid w:val="00C25BC9"/>
    <w:rsid w:val="00C25C1C"/>
    <w:rsid w:val="00C45C9C"/>
    <w:rsid w:val="00C656C3"/>
    <w:rsid w:val="00C84B20"/>
    <w:rsid w:val="00CB1B2B"/>
    <w:rsid w:val="00CB5842"/>
    <w:rsid w:val="00D15A8B"/>
    <w:rsid w:val="00D3721C"/>
    <w:rsid w:val="00D81EC3"/>
    <w:rsid w:val="00D87DC1"/>
    <w:rsid w:val="00D969AD"/>
    <w:rsid w:val="00DD5923"/>
    <w:rsid w:val="00E361B9"/>
    <w:rsid w:val="00E72A42"/>
    <w:rsid w:val="00E85E11"/>
    <w:rsid w:val="00EA052D"/>
    <w:rsid w:val="00ED153D"/>
    <w:rsid w:val="00ED5B1D"/>
    <w:rsid w:val="00EF5DC9"/>
    <w:rsid w:val="00F13573"/>
    <w:rsid w:val="00F36470"/>
    <w:rsid w:val="00F635F8"/>
    <w:rsid w:val="00F75061"/>
    <w:rsid w:val="00F96916"/>
    <w:rsid w:val="00FA0AA7"/>
    <w:rsid w:val="00FA2BB4"/>
    <w:rsid w:val="00FD4DC2"/>
    <w:rsid w:val="00FE0338"/>
    <w:rsid w:val="00FE034E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9">
    <w:name w:val="Block Text"/>
    <w:basedOn w:val="a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9">
    <w:name w:val="Block Text"/>
    <w:basedOn w:val="a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boi.org.il/he/DataAndStatistics/Pages/InflationExpectationsExplanation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1781F-4116-46B8-AA56-E63F857196A4}"/>
</file>

<file path=customXml/itemProps2.xml><?xml version="1.0" encoding="utf-8"?>
<ds:datastoreItem xmlns:ds="http://schemas.openxmlformats.org/officeDocument/2006/customXml" ds:itemID="{69D79E45-0F16-4EAF-956B-BE925E82A8AE}"/>
</file>

<file path=customXml/itemProps3.xml><?xml version="1.0" encoding="utf-8"?>
<ds:datastoreItem xmlns:ds="http://schemas.openxmlformats.org/officeDocument/2006/customXml" ds:itemID="{3CE4AA21-9587-4646-AE10-C2F715E64B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2014-07-17T06:19:00Z</dcterms:created>
  <dcterms:modified xsi:type="dcterms:W3CDTF">2014-07-17T06:30:00Z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