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12" w:rsidRPr="00E8008F" w:rsidRDefault="00AB75B4" w:rsidP="00B108AE">
      <w:pPr>
        <w:bidi w:val="0"/>
        <w:jc w:val="center"/>
        <w:rPr>
          <w:rFonts w:hint="cs"/>
          <w:rtl/>
        </w:rPr>
      </w:pPr>
      <w:bookmarkStart w:id="0" w:name="_GoBack"/>
      <w:bookmarkEnd w:id="0"/>
      <w:r>
        <w:rPr>
          <w:noProof/>
        </w:rPr>
        <w:drawing>
          <wp:inline distT="0" distB="0" distL="0" distR="0">
            <wp:extent cx="683759" cy="676275"/>
            <wp:effectExtent l="0" t="0" r="2540" b="9525"/>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83260" cy="676275"/>
                    </a:xfrm>
                    <a:prstGeom prst="rect">
                      <a:avLst/>
                    </a:prstGeom>
                    <a:noFill/>
                    <a:ln>
                      <a:noFill/>
                    </a:ln>
                  </pic:spPr>
                </pic:pic>
              </a:graphicData>
            </a:graphic>
          </wp:inline>
        </w:drawing>
      </w:r>
    </w:p>
    <w:p w:rsidR="008A7212" w:rsidRDefault="008A7212" w:rsidP="00B108AE">
      <w:pPr>
        <w:pStyle w:val="regpar"/>
        <w:spacing w:line="300" w:lineRule="atLeast"/>
        <w:ind w:firstLine="0"/>
        <w:jc w:val="center"/>
        <w:rPr>
          <w:b/>
        </w:rPr>
      </w:pPr>
    </w:p>
    <w:p w:rsidR="008A7212" w:rsidRPr="00000A06" w:rsidRDefault="008A7212" w:rsidP="00B108A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rsidR="008A7212" w:rsidRPr="00000A06" w:rsidRDefault="008A7212" w:rsidP="00B108AE">
      <w:pPr>
        <w:pStyle w:val="regpar"/>
        <w:spacing w:line="300" w:lineRule="atLeast"/>
        <w:ind w:firstLine="0"/>
        <w:jc w:val="center"/>
        <w:rPr>
          <w:rFonts w:ascii="Times New Roman" w:hAnsi="Times New Roman" w:cs="Times New Roman"/>
          <w:b/>
        </w:rPr>
      </w:pPr>
      <w:r w:rsidRPr="00000A06">
        <w:rPr>
          <w:rFonts w:ascii="Times New Roman" w:hAnsi="Times New Roman" w:cs="Times New Roman"/>
        </w:rPr>
        <w:t>Office of the Spokes</w:t>
      </w:r>
      <w:r w:rsidR="003D6F31">
        <w:rPr>
          <w:rFonts w:ascii="Times New Roman" w:hAnsi="Times New Roman" w:cs="Times New Roman"/>
        </w:rPr>
        <w:t>person</w:t>
      </w:r>
      <w:r w:rsidRPr="00000A06">
        <w:rPr>
          <w:rFonts w:ascii="Times New Roman" w:hAnsi="Times New Roman" w:cs="Times New Roman"/>
        </w:rPr>
        <w:t xml:space="preserve"> and Economic Information</w:t>
      </w:r>
    </w:p>
    <w:p w:rsidR="00596FB4" w:rsidRDefault="00596FB4" w:rsidP="00B108AE">
      <w:pPr>
        <w:bidi w:val="0"/>
        <w:jc w:val="center"/>
        <w:rPr>
          <w:rFonts w:cs="David"/>
          <w:b/>
          <w:bCs/>
          <w:sz w:val="26"/>
          <w:szCs w:val="26"/>
        </w:rPr>
      </w:pPr>
    </w:p>
    <w:p w:rsidR="007F7993" w:rsidRDefault="001C388F" w:rsidP="00596FB4">
      <w:pPr>
        <w:bidi w:val="0"/>
        <w:jc w:val="right"/>
      </w:pPr>
      <w:r>
        <w:t>December</w:t>
      </w:r>
      <w:r w:rsidR="00652D53">
        <w:t xml:space="preserve"> </w:t>
      </w:r>
      <w:r w:rsidR="00A117D2">
        <w:t>1</w:t>
      </w:r>
      <w:r w:rsidR="00596FB4">
        <w:t>9</w:t>
      </w:r>
      <w:r w:rsidR="008A7212" w:rsidRPr="00000A06">
        <w:t>, 2013</w:t>
      </w:r>
    </w:p>
    <w:p w:rsidR="00596FB4" w:rsidRPr="0081026B" w:rsidRDefault="00596FB4" w:rsidP="00596FB4">
      <w:pPr>
        <w:bidi w:val="0"/>
        <w:jc w:val="center"/>
        <w:rPr>
          <w:rFonts w:cs="David"/>
          <w:b/>
          <w:bCs/>
          <w:sz w:val="26"/>
          <w:szCs w:val="26"/>
        </w:rPr>
      </w:pPr>
      <w:r w:rsidRPr="0081026B">
        <w:rPr>
          <w:rFonts w:cs="David"/>
          <w:b/>
          <w:bCs/>
          <w:sz w:val="26"/>
          <w:szCs w:val="26"/>
        </w:rPr>
        <w:t>Press Release</w:t>
      </w:r>
    </w:p>
    <w:p w:rsidR="00596FB4" w:rsidRDefault="00596FB4" w:rsidP="00596FB4">
      <w:pPr>
        <w:pStyle w:val="regpar"/>
        <w:spacing w:line="280" w:lineRule="exact"/>
        <w:ind w:left="-426" w:firstLine="0"/>
        <w:jc w:val="center"/>
        <w:rPr>
          <w:b/>
          <w:bCs/>
        </w:rPr>
      </w:pPr>
    </w:p>
    <w:p w:rsidR="00596FB4" w:rsidRDefault="00596FB4" w:rsidP="00596FB4">
      <w:pPr>
        <w:pStyle w:val="regpar"/>
        <w:spacing w:line="280" w:lineRule="exact"/>
        <w:ind w:left="-426" w:right="-193" w:firstLine="0"/>
        <w:jc w:val="center"/>
        <w:rPr>
          <w:b/>
          <w:bCs/>
          <w:u w:val="single"/>
        </w:rPr>
      </w:pPr>
    </w:p>
    <w:p w:rsidR="00596FB4" w:rsidRPr="00596FB4" w:rsidRDefault="00596FB4" w:rsidP="00596FB4">
      <w:pPr>
        <w:pStyle w:val="regpar"/>
        <w:spacing w:line="280" w:lineRule="exact"/>
        <w:ind w:left="-426" w:right="-193" w:firstLine="0"/>
        <w:jc w:val="center"/>
        <w:rPr>
          <w:b/>
          <w:bCs/>
          <w:u w:val="single"/>
        </w:rPr>
      </w:pPr>
      <w:r w:rsidRPr="00596FB4">
        <w:rPr>
          <w:b/>
          <w:bCs/>
          <w:u w:val="single"/>
        </w:rPr>
        <w:t>The Composite State of the Economy Index for November 2013 increased by 0.2%</w:t>
      </w:r>
    </w:p>
    <w:p w:rsidR="00596FB4" w:rsidRDefault="00596FB4" w:rsidP="00596FB4">
      <w:pPr>
        <w:pStyle w:val="regpar"/>
        <w:spacing w:line="280" w:lineRule="exact"/>
        <w:ind w:firstLine="0"/>
        <w:jc w:val="center"/>
        <w:rPr>
          <w:b/>
          <w:bCs/>
        </w:rPr>
      </w:pPr>
    </w:p>
    <w:p w:rsidR="00596FB4" w:rsidRDefault="00596FB4" w:rsidP="00596FB4">
      <w:pPr>
        <w:pStyle w:val="regpar"/>
        <w:spacing w:line="360" w:lineRule="auto"/>
        <w:ind w:firstLine="0"/>
      </w:pPr>
      <w:r>
        <w:t>The Bank of Israel's Composite State of the Economy Index for November increased by 0.2 percent. The rate of increase in the Index continues to show a stable rate of growth in the economy in recent months.  Among the factors contributing to the increase in the Index were the increases in imports of consumer products, the increase in services exports, and the increases in the Industrial Production Index and in the Trade and Services Revenue Index in November.  The increase was somewhat offset by a slight decline in exports of goods—following a marked increase in this item in September and October—and by a decline in the rate of job vacancies and in the number of employee posts in recent months. This month, there were no significant revisions of the Index’s data for previous months (Table 1). Table 2 presents the development of components of the Index in the past few months.</w:t>
      </w:r>
    </w:p>
    <w:p w:rsidR="00596FB4" w:rsidRDefault="00596FB4" w:rsidP="00596FB4">
      <w:pPr>
        <w:pStyle w:val="regpar"/>
        <w:spacing w:line="280" w:lineRule="exact"/>
        <w:ind w:firstLine="0"/>
        <w:rPr>
          <w:b/>
          <w:bCs/>
        </w:rPr>
      </w:pPr>
    </w:p>
    <w:p w:rsidR="00596FB4" w:rsidRDefault="00596FB4" w:rsidP="00596FB4">
      <w:pPr>
        <w:pStyle w:val="regpar"/>
        <w:spacing w:line="280" w:lineRule="exact"/>
        <w:ind w:firstLine="0"/>
        <w:rPr>
          <w:b/>
          <w:bCs/>
        </w:rPr>
      </w:pPr>
      <w:r>
        <w:rPr>
          <w:b/>
          <w:bCs/>
        </w:rPr>
        <w:t xml:space="preserve">Table 1: </w:t>
      </w:r>
      <w:r w:rsidRPr="00596FB4">
        <w:rPr>
          <w:b/>
          <w:bCs/>
          <w:sz w:val="26"/>
          <w:szCs w:val="26"/>
          <w:u w:val="single"/>
        </w:rPr>
        <w:t>Revisions in the Composite Index</w:t>
      </w:r>
    </w:p>
    <w:p w:rsidR="00596FB4" w:rsidRDefault="00596FB4" w:rsidP="00596FB4">
      <w:pPr>
        <w:pStyle w:val="regpar"/>
        <w:spacing w:line="280" w:lineRule="exact"/>
        <w:ind w:firstLine="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839"/>
        <w:gridCol w:w="1840"/>
      </w:tblGrid>
      <w:tr w:rsidR="00596FB4" w:rsidTr="00596FB4">
        <w:trPr>
          <w:trHeight w:val="340"/>
        </w:trPr>
        <w:tc>
          <w:tcPr>
            <w:tcW w:w="1839"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rPr>
                <w:b/>
                <w:bCs/>
              </w:rPr>
            </w:pPr>
            <w:r>
              <w:rPr>
                <w:b/>
                <w:bCs/>
              </w:rPr>
              <w:t>Revision</w:t>
            </w:r>
          </w:p>
        </w:tc>
        <w:tc>
          <w:tcPr>
            <w:tcW w:w="1839" w:type="dxa"/>
            <w:tcBorders>
              <w:top w:val="single" w:sz="4" w:space="0" w:color="auto"/>
              <w:left w:val="single" w:sz="4" w:space="0" w:color="auto"/>
              <w:bottom w:val="single" w:sz="4" w:space="0" w:color="auto"/>
              <w:right w:val="single" w:sz="4" w:space="0" w:color="auto"/>
            </w:tcBorders>
            <w:hideMark/>
          </w:tcPr>
          <w:p w:rsidR="00596FB4" w:rsidRPr="00596FB4" w:rsidRDefault="00596FB4">
            <w:pPr>
              <w:pStyle w:val="regpar"/>
              <w:spacing w:line="280" w:lineRule="exact"/>
              <w:ind w:firstLine="0"/>
              <w:rPr>
                <w:b/>
                <w:bCs/>
              </w:rPr>
            </w:pPr>
            <w:r w:rsidRPr="00596FB4">
              <w:rPr>
                <w:b/>
                <w:bCs/>
              </w:rPr>
              <w:t>Previous data</w:t>
            </w:r>
          </w:p>
        </w:tc>
        <w:tc>
          <w:tcPr>
            <w:tcW w:w="1840" w:type="dxa"/>
            <w:tcBorders>
              <w:top w:val="single" w:sz="4" w:space="0" w:color="auto"/>
              <w:left w:val="single" w:sz="4" w:space="0" w:color="auto"/>
              <w:bottom w:val="single" w:sz="4" w:space="0" w:color="auto"/>
              <w:right w:val="single" w:sz="4" w:space="0" w:color="auto"/>
            </w:tcBorders>
            <w:hideMark/>
          </w:tcPr>
          <w:p w:rsidR="00596FB4" w:rsidRPr="00596FB4" w:rsidRDefault="00596FB4">
            <w:pPr>
              <w:pStyle w:val="regpar"/>
              <w:spacing w:line="280" w:lineRule="exact"/>
              <w:ind w:firstLine="0"/>
              <w:rPr>
                <w:b/>
                <w:bCs/>
              </w:rPr>
            </w:pPr>
            <w:r w:rsidRPr="00596FB4">
              <w:rPr>
                <w:b/>
                <w:bCs/>
              </w:rPr>
              <w:t>New data</w:t>
            </w:r>
          </w:p>
        </w:tc>
      </w:tr>
      <w:tr w:rsidR="00596FB4" w:rsidTr="00596FB4">
        <w:trPr>
          <w:trHeight w:val="340"/>
        </w:trPr>
        <w:tc>
          <w:tcPr>
            <w:tcW w:w="1839"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November</w:t>
            </w:r>
          </w:p>
        </w:tc>
        <w:tc>
          <w:tcPr>
            <w:tcW w:w="1839" w:type="dxa"/>
            <w:tcBorders>
              <w:top w:val="single" w:sz="4" w:space="0" w:color="auto"/>
              <w:left w:val="single" w:sz="4" w:space="0" w:color="auto"/>
              <w:bottom w:val="single" w:sz="4" w:space="0" w:color="auto"/>
              <w:right w:val="single" w:sz="4" w:space="0" w:color="auto"/>
            </w:tcBorders>
          </w:tcPr>
          <w:p w:rsidR="00596FB4" w:rsidRDefault="00596FB4">
            <w:pPr>
              <w:pStyle w:val="regpar"/>
              <w:spacing w:line="280" w:lineRule="exact"/>
              <w:ind w:firstLine="0"/>
            </w:pPr>
          </w:p>
        </w:tc>
        <w:tc>
          <w:tcPr>
            <w:tcW w:w="1840"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0.23</w:t>
            </w:r>
          </w:p>
        </w:tc>
      </w:tr>
      <w:tr w:rsidR="00596FB4" w:rsidTr="00596FB4">
        <w:trPr>
          <w:trHeight w:val="340"/>
        </w:trPr>
        <w:tc>
          <w:tcPr>
            <w:tcW w:w="1839"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October</w:t>
            </w:r>
          </w:p>
        </w:tc>
        <w:tc>
          <w:tcPr>
            <w:tcW w:w="1839"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0.21</w:t>
            </w:r>
          </w:p>
        </w:tc>
        <w:tc>
          <w:tcPr>
            <w:tcW w:w="1840"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0.23</w:t>
            </w:r>
          </w:p>
        </w:tc>
      </w:tr>
      <w:tr w:rsidR="00596FB4" w:rsidTr="00596FB4">
        <w:trPr>
          <w:trHeight w:val="340"/>
        </w:trPr>
        <w:tc>
          <w:tcPr>
            <w:tcW w:w="1839"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September</w:t>
            </w:r>
          </w:p>
        </w:tc>
        <w:tc>
          <w:tcPr>
            <w:tcW w:w="1839"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0.22</w:t>
            </w:r>
          </w:p>
        </w:tc>
        <w:tc>
          <w:tcPr>
            <w:tcW w:w="1840"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0.21</w:t>
            </w:r>
          </w:p>
        </w:tc>
      </w:tr>
      <w:tr w:rsidR="00596FB4" w:rsidTr="00596FB4">
        <w:trPr>
          <w:trHeight w:val="340"/>
        </w:trPr>
        <w:tc>
          <w:tcPr>
            <w:tcW w:w="1839"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August</w:t>
            </w:r>
          </w:p>
        </w:tc>
        <w:tc>
          <w:tcPr>
            <w:tcW w:w="1839"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0.16</w:t>
            </w:r>
          </w:p>
        </w:tc>
        <w:tc>
          <w:tcPr>
            <w:tcW w:w="1840"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0.14</w:t>
            </w:r>
          </w:p>
        </w:tc>
      </w:tr>
      <w:tr w:rsidR="00596FB4" w:rsidTr="00596FB4">
        <w:trPr>
          <w:trHeight w:val="340"/>
        </w:trPr>
        <w:tc>
          <w:tcPr>
            <w:tcW w:w="1839"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July</w:t>
            </w:r>
          </w:p>
        </w:tc>
        <w:tc>
          <w:tcPr>
            <w:tcW w:w="1839"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0.19</w:t>
            </w:r>
          </w:p>
        </w:tc>
        <w:tc>
          <w:tcPr>
            <w:tcW w:w="1840" w:type="dxa"/>
            <w:tcBorders>
              <w:top w:val="single" w:sz="4" w:space="0" w:color="auto"/>
              <w:left w:val="single" w:sz="4" w:space="0" w:color="auto"/>
              <w:bottom w:val="single" w:sz="4" w:space="0" w:color="auto"/>
              <w:right w:val="single" w:sz="4" w:space="0" w:color="auto"/>
            </w:tcBorders>
            <w:hideMark/>
          </w:tcPr>
          <w:p w:rsidR="00596FB4" w:rsidRDefault="00596FB4">
            <w:pPr>
              <w:pStyle w:val="regpar"/>
              <w:spacing w:line="280" w:lineRule="exact"/>
              <w:ind w:firstLine="0"/>
            </w:pPr>
            <w:r>
              <w:t>0.18</w:t>
            </w:r>
          </w:p>
        </w:tc>
      </w:tr>
    </w:tbl>
    <w:p w:rsidR="00596FB4" w:rsidRDefault="00596FB4" w:rsidP="00596FB4">
      <w:pPr>
        <w:pStyle w:val="regpar"/>
        <w:spacing w:line="280" w:lineRule="exact"/>
        <w:ind w:firstLine="0"/>
      </w:pPr>
    </w:p>
    <w:p w:rsidR="00596FB4" w:rsidRDefault="00596FB4" w:rsidP="00596FB4">
      <w:pPr>
        <w:pStyle w:val="regpar"/>
        <w:spacing w:line="280" w:lineRule="exact"/>
        <w:ind w:firstLine="0"/>
        <w:rPr>
          <w:b/>
          <w:bCs/>
        </w:rPr>
      </w:pPr>
      <w:r>
        <w:br w:type="page"/>
      </w:r>
    </w:p>
    <w:p w:rsidR="00596FB4" w:rsidRDefault="00596FB4" w:rsidP="00596FB4">
      <w:pPr>
        <w:pStyle w:val="regpar"/>
        <w:spacing w:line="280" w:lineRule="exact"/>
        <w:ind w:firstLine="0"/>
        <w:rPr>
          <w:b/>
          <w:bCs/>
        </w:rPr>
      </w:pPr>
    </w:p>
    <w:p w:rsidR="00596FB4" w:rsidRDefault="00596FB4" w:rsidP="00596FB4">
      <w:pPr>
        <w:pStyle w:val="regpar"/>
        <w:spacing w:line="280" w:lineRule="exact"/>
        <w:ind w:firstLine="0"/>
        <w:rPr>
          <w:b/>
          <w:bCs/>
        </w:rPr>
      </w:pPr>
    </w:p>
    <w:p w:rsidR="00596FB4" w:rsidRDefault="00596FB4" w:rsidP="00596FB4">
      <w:pPr>
        <w:pStyle w:val="regpar"/>
        <w:spacing w:line="280" w:lineRule="exact"/>
        <w:ind w:firstLine="0"/>
        <w:rPr>
          <w:b/>
          <w:bCs/>
        </w:rPr>
      </w:pPr>
    </w:p>
    <w:p w:rsidR="00596FB4" w:rsidRDefault="00596FB4" w:rsidP="00596FB4">
      <w:pPr>
        <w:pStyle w:val="regpar"/>
        <w:spacing w:line="280" w:lineRule="exact"/>
        <w:ind w:firstLine="0"/>
        <w:rPr>
          <w:b/>
          <w:bCs/>
        </w:rPr>
      </w:pPr>
    </w:p>
    <w:p w:rsidR="00596FB4" w:rsidRDefault="00596FB4" w:rsidP="00596FB4">
      <w:pPr>
        <w:pStyle w:val="regpar"/>
        <w:spacing w:line="280" w:lineRule="exact"/>
        <w:ind w:firstLine="0"/>
        <w:rPr>
          <w:b/>
          <w:bCs/>
        </w:rPr>
      </w:pPr>
      <w:r>
        <w:rPr>
          <w:b/>
          <w:bCs/>
        </w:rPr>
        <w:t xml:space="preserve">Table 2: </w:t>
      </w:r>
      <w:r w:rsidRPr="00596FB4">
        <w:rPr>
          <w:b/>
          <w:bCs/>
          <w:u w:val="single"/>
        </w:rPr>
        <w:t>Changes in the Index components in recent months</w:t>
      </w:r>
    </w:p>
    <w:p w:rsidR="00596FB4" w:rsidRDefault="00596FB4" w:rsidP="00596FB4">
      <w:pPr>
        <w:pStyle w:val="regpar"/>
        <w:spacing w:line="280" w:lineRule="exact"/>
        <w:ind w:firstLine="0"/>
      </w:pPr>
      <w:r>
        <w:t>(Monthly percent change, unless otherwise noted)</w:t>
      </w:r>
    </w:p>
    <w:p w:rsidR="00596FB4" w:rsidRDefault="00596FB4" w:rsidP="00596FB4">
      <w:pPr>
        <w:pStyle w:val="regpar"/>
        <w:spacing w:line="280" w:lineRule="exact"/>
        <w:ind w:firstLine="0"/>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1283"/>
        <w:gridCol w:w="1190"/>
        <w:gridCol w:w="1323"/>
        <w:gridCol w:w="950"/>
      </w:tblGrid>
      <w:tr w:rsidR="00596FB4" w:rsidTr="00596FB4">
        <w:tc>
          <w:tcPr>
            <w:tcW w:w="4436" w:type="dxa"/>
            <w:tcBorders>
              <w:top w:val="single" w:sz="4" w:space="0" w:color="auto"/>
              <w:left w:val="single" w:sz="4" w:space="0" w:color="auto"/>
              <w:bottom w:val="single" w:sz="4" w:space="0" w:color="auto"/>
              <w:right w:val="single" w:sz="4" w:space="0" w:color="auto"/>
            </w:tcBorders>
            <w:vAlign w:val="bottom"/>
          </w:tcPr>
          <w:p w:rsidR="00596FB4" w:rsidRDefault="00596FB4">
            <w:pPr>
              <w:pStyle w:val="regpar"/>
              <w:spacing w:line="280" w:lineRule="exact"/>
              <w:ind w:firstLine="0"/>
              <w:jc w:val="center"/>
            </w:pPr>
          </w:p>
        </w:tc>
        <w:tc>
          <w:tcPr>
            <w:tcW w:w="990" w:type="dxa"/>
            <w:tcBorders>
              <w:top w:val="single" w:sz="4" w:space="0" w:color="auto"/>
              <w:left w:val="single" w:sz="4" w:space="0" w:color="auto"/>
              <w:bottom w:val="single" w:sz="4" w:space="0" w:color="auto"/>
              <w:right w:val="single" w:sz="4" w:space="0" w:color="auto"/>
            </w:tcBorders>
            <w:vAlign w:val="bottom"/>
            <w:hideMark/>
          </w:tcPr>
          <w:p w:rsidR="00596FB4" w:rsidRPr="00596FB4" w:rsidRDefault="00596FB4">
            <w:pPr>
              <w:pStyle w:val="regpar"/>
              <w:spacing w:line="280" w:lineRule="exact"/>
              <w:ind w:firstLine="0"/>
              <w:jc w:val="center"/>
              <w:rPr>
                <w:b/>
                <w:bCs/>
              </w:rPr>
            </w:pPr>
            <w:r w:rsidRPr="00596FB4">
              <w:rPr>
                <w:b/>
                <w:bCs/>
              </w:rPr>
              <w:t>November</w:t>
            </w:r>
          </w:p>
        </w:tc>
        <w:tc>
          <w:tcPr>
            <w:tcW w:w="1243" w:type="dxa"/>
            <w:tcBorders>
              <w:top w:val="single" w:sz="4" w:space="0" w:color="auto"/>
              <w:left w:val="single" w:sz="4" w:space="0" w:color="auto"/>
              <w:bottom w:val="single" w:sz="4" w:space="0" w:color="auto"/>
              <w:right w:val="single" w:sz="4" w:space="0" w:color="auto"/>
            </w:tcBorders>
            <w:vAlign w:val="bottom"/>
            <w:hideMark/>
          </w:tcPr>
          <w:p w:rsidR="00596FB4" w:rsidRPr="00596FB4" w:rsidRDefault="00596FB4">
            <w:pPr>
              <w:pStyle w:val="regpar"/>
              <w:spacing w:line="280" w:lineRule="exact"/>
              <w:ind w:firstLine="0"/>
              <w:jc w:val="center"/>
              <w:rPr>
                <w:b/>
                <w:bCs/>
              </w:rPr>
            </w:pPr>
            <w:r w:rsidRPr="00596FB4">
              <w:rPr>
                <w:b/>
                <w:bCs/>
              </w:rPr>
              <w:t>October</w:t>
            </w:r>
          </w:p>
        </w:tc>
        <w:tc>
          <w:tcPr>
            <w:tcW w:w="910" w:type="dxa"/>
            <w:tcBorders>
              <w:top w:val="single" w:sz="4" w:space="0" w:color="auto"/>
              <w:left w:val="single" w:sz="4" w:space="0" w:color="auto"/>
              <w:bottom w:val="single" w:sz="4" w:space="0" w:color="auto"/>
              <w:right w:val="single" w:sz="4" w:space="0" w:color="auto"/>
            </w:tcBorders>
            <w:vAlign w:val="bottom"/>
            <w:hideMark/>
          </w:tcPr>
          <w:p w:rsidR="00596FB4" w:rsidRPr="00596FB4" w:rsidRDefault="00596FB4">
            <w:pPr>
              <w:pStyle w:val="regpar"/>
              <w:spacing w:line="280" w:lineRule="exact"/>
              <w:ind w:firstLine="0"/>
              <w:jc w:val="center"/>
              <w:rPr>
                <w:b/>
                <w:bCs/>
              </w:rPr>
            </w:pPr>
            <w:r w:rsidRPr="00596FB4">
              <w:rPr>
                <w:b/>
                <w:bCs/>
              </w:rPr>
              <w:t>September</w:t>
            </w:r>
          </w:p>
        </w:tc>
        <w:tc>
          <w:tcPr>
            <w:tcW w:w="816" w:type="dxa"/>
            <w:tcBorders>
              <w:top w:val="single" w:sz="4" w:space="0" w:color="auto"/>
              <w:left w:val="single" w:sz="4" w:space="0" w:color="auto"/>
              <w:bottom w:val="single" w:sz="4" w:space="0" w:color="auto"/>
              <w:right w:val="single" w:sz="4" w:space="0" w:color="auto"/>
            </w:tcBorders>
            <w:vAlign w:val="bottom"/>
            <w:hideMark/>
          </w:tcPr>
          <w:p w:rsidR="00596FB4" w:rsidRPr="00596FB4" w:rsidRDefault="00596FB4">
            <w:pPr>
              <w:pStyle w:val="regpar"/>
              <w:spacing w:line="280" w:lineRule="exact"/>
              <w:ind w:firstLine="0"/>
              <w:jc w:val="center"/>
              <w:rPr>
                <w:b/>
                <w:bCs/>
              </w:rPr>
            </w:pPr>
            <w:r w:rsidRPr="00596FB4">
              <w:rPr>
                <w:b/>
                <w:bCs/>
              </w:rPr>
              <w:t>August</w:t>
            </w:r>
          </w:p>
        </w:tc>
      </w:tr>
      <w:tr w:rsidR="00596FB4" w:rsidTr="00596FB4">
        <w:trPr>
          <w:trHeight w:val="567"/>
        </w:trPr>
        <w:tc>
          <w:tcPr>
            <w:tcW w:w="443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pStyle w:val="regpar"/>
              <w:spacing w:line="280" w:lineRule="exact"/>
              <w:ind w:firstLine="0"/>
              <w:jc w:val="left"/>
            </w:pPr>
            <w:r>
              <w:t>Industrial Production Index (excluding mining and quarrying)</w:t>
            </w:r>
          </w:p>
        </w:tc>
        <w:tc>
          <w:tcPr>
            <w:tcW w:w="990" w:type="dxa"/>
            <w:tcBorders>
              <w:top w:val="single" w:sz="4" w:space="0" w:color="auto"/>
              <w:left w:val="single" w:sz="4" w:space="0" w:color="auto"/>
              <w:bottom w:val="single" w:sz="4" w:space="0" w:color="auto"/>
              <w:right w:val="single" w:sz="4" w:space="0" w:color="auto"/>
            </w:tcBorders>
            <w:vAlign w:val="bottom"/>
          </w:tcPr>
          <w:p w:rsidR="00596FB4" w:rsidRDefault="00596FB4">
            <w:pPr>
              <w:bidi w:val="0"/>
              <w:spacing w:line="300" w:lineRule="exact"/>
              <w:jc w:val="center"/>
              <w:rPr>
                <w:rFonts w:ascii="Times" w:hAnsi="Times" w:cs="Times"/>
                <w:color w:val="000000"/>
                <w:sz w:val="22"/>
                <w:szCs w:val="22"/>
              </w:rPr>
            </w:pPr>
          </w:p>
        </w:tc>
        <w:tc>
          <w:tcPr>
            <w:tcW w:w="1243"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3.48</w:t>
            </w:r>
          </w:p>
        </w:tc>
        <w:tc>
          <w:tcPr>
            <w:tcW w:w="91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0.89</w:t>
            </w:r>
          </w:p>
        </w:tc>
        <w:tc>
          <w:tcPr>
            <w:tcW w:w="81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-2.45</w:t>
            </w:r>
          </w:p>
        </w:tc>
      </w:tr>
      <w:tr w:rsidR="00596FB4" w:rsidTr="00596FB4">
        <w:trPr>
          <w:trHeight w:val="567"/>
        </w:trPr>
        <w:tc>
          <w:tcPr>
            <w:tcW w:w="443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pStyle w:val="regpar"/>
              <w:spacing w:line="280" w:lineRule="exact"/>
              <w:ind w:firstLine="0"/>
              <w:jc w:val="left"/>
            </w:pPr>
            <w:r>
              <w:t>Services Revenue Index (excluding finance, education, and public administration)</w:t>
            </w:r>
          </w:p>
        </w:tc>
        <w:tc>
          <w:tcPr>
            <w:tcW w:w="990" w:type="dxa"/>
            <w:tcBorders>
              <w:top w:val="single" w:sz="4" w:space="0" w:color="auto"/>
              <w:left w:val="single" w:sz="4" w:space="0" w:color="auto"/>
              <w:bottom w:val="single" w:sz="4" w:space="0" w:color="auto"/>
              <w:right w:val="single" w:sz="4" w:space="0" w:color="auto"/>
            </w:tcBorders>
            <w:vAlign w:val="bottom"/>
          </w:tcPr>
          <w:p w:rsidR="00596FB4" w:rsidRDefault="00596FB4">
            <w:pPr>
              <w:bidi w:val="0"/>
              <w:spacing w:line="300" w:lineRule="exact"/>
              <w:jc w:val="center"/>
              <w:rPr>
                <w:rFonts w:ascii="Times" w:hAnsi="Times" w:cs="Times"/>
                <w:color w:val="000000"/>
                <w:sz w:val="22"/>
                <w:szCs w:val="22"/>
              </w:rPr>
            </w:pPr>
          </w:p>
        </w:tc>
        <w:tc>
          <w:tcPr>
            <w:tcW w:w="1243"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0.40</w:t>
            </w:r>
          </w:p>
        </w:tc>
        <w:tc>
          <w:tcPr>
            <w:tcW w:w="91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1.42</w:t>
            </w:r>
          </w:p>
        </w:tc>
        <w:tc>
          <w:tcPr>
            <w:tcW w:w="81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-0.35</w:t>
            </w:r>
          </w:p>
        </w:tc>
      </w:tr>
      <w:tr w:rsidR="00596FB4" w:rsidTr="00596FB4">
        <w:trPr>
          <w:trHeight w:val="567"/>
        </w:trPr>
        <w:tc>
          <w:tcPr>
            <w:tcW w:w="443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pStyle w:val="regpar"/>
              <w:spacing w:line="280" w:lineRule="exact"/>
              <w:ind w:firstLine="0"/>
              <w:jc w:val="left"/>
            </w:pPr>
            <w:r>
              <w:t>Trade Revenue Index</w:t>
            </w:r>
          </w:p>
        </w:tc>
        <w:tc>
          <w:tcPr>
            <w:tcW w:w="990" w:type="dxa"/>
            <w:tcBorders>
              <w:top w:val="single" w:sz="4" w:space="0" w:color="auto"/>
              <w:left w:val="single" w:sz="4" w:space="0" w:color="auto"/>
              <w:bottom w:val="single" w:sz="4" w:space="0" w:color="auto"/>
              <w:right w:val="single" w:sz="4" w:space="0" w:color="auto"/>
            </w:tcBorders>
            <w:vAlign w:val="bottom"/>
          </w:tcPr>
          <w:p w:rsidR="00596FB4" w:rsidRDefault="00596FB4">
            <w:pPr>
              <w:bidi w:val="0"/>
              <w:spacing w:line="300" w:lineRule="exact"/>
              <w:jc w:val="center"/>
              <w:rPr>
                <w:rFonts w:ascii="Times" w:hAnsi="Times" w:cs="Times"/>
                <w:color w:val="000000"/>
                <w:sz w:val="22"/>
                <w:szCs w:val="22"/>
              </w:rPr>
            </w:pPr>
          </w:p>
        </w:tc>
        <w:tc>
          <w:tcPr>
            <w:tcW w:w="1243"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0.88</w:t>
            </w:r>
          </w:p>
        </w:tc>
        <w:tc>
          <w:tcPr>
            <w:tcW w:w="91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-0.21</w:t>
            </w:r>
          </w:p>
        </w:tc>
        <w:tc>
          <w:tcPr>
            <w:tcW w:w="81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0.47</w:t>
            </w:r>
          </w:p>
        </w:tc>
      </w:tr>
      <w:tr w:rsidR="00596FB4" w:rsidTr="00596FB4">
        <w:trPr>
          <w:trHeight w:val="567"/>
        </w:trPr>
        <w:tc>
          <w:tcPr>
            <w:tcW w:w="443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pStyle w:val="regpar"/>
              <w:spacing w:line="280" w:lineRule="exact"/>
              <w:ind w:firstLine="0"/>
              <w:jc w:val="left"/>
            </w:pPr>
            <w:r>
              <w:t>Imports of consumer products</w:t>
            </w:r>
            <w:r>
              <w:rPr>
                <w:vertAlign w:val="superscript"/>
              </w:rPr>
              <w:t>3</w:t>
            </w:r>
          </w:p>
        </w:tc>
        <w:tc>
          <w:tcPr>
            <w:tcW w:w="99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4.59</w:t>
            </w:r>
          </w:p>
        </w:tc>
        <w:tc>
          <w:tcPr>
            <w:tcW w:w="1243"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-7.52</w:t>
            </w:r>
          </w:p>
        </w:tc>
        <w:tc>
          <w:tcPr>
            <w:tcW w:w="91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4.32</w:t>
            </w:r>
          </w:p>
        </w:tc>
        <w:tc>
          <w:tcPr>
            <w:tcW w:w="81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-1.10</w:t>
            </w:r>
          </w:p>
        </w:tc>
      </w:tr>
      <w:tr w:rsidR="00596FB4" w:rsidTr="00596FB4">
        <w:trPr>
          <w:trHeight w:val="567"/>
        </w:trPr>
        <w:tc>
          <w:tcPr>
            <w:tcW w:w="443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pStyle w:val="regpar"/>
              <w:spacing w:line="280" w:lineRule="exact"/>
              <w:ind w:firstLine="0"/>
              <w:jc w:val="left"/>
            </w:pPr>
            <w:r>
              <w:t>Imports of manufacturing inputs (excluding fuels)</w:t>
            </w:r>
            <w:r>
              <w:rPr>
                <w:vertAlign w:val="superscript"/>
              </w:rPr>
              <w:t>3</w:t>
            </w:r>
          </w:p>
        </w:tc>
        <w:tc>
          <w:tcPr>
            <w:tcW w:w="99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0.05</w:t>
            </w:r>
          </w:p>
        </w:tc>
        <w:tc>
          <w:tcPr>
            <w:tcW w:w="1243"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2.19</w:t>
            </w:r>
          </w:p>
        </w:tc>
        <w:tc>
          <w:tcPr>
            <w:tcW w:w="91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4.64</w:t>
            </w:r>
          </w:p>
        </w:tc>
        <w:tc>
          <w:tcPr>
            <w:tcW w:w="81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-6.33</w:t>
            </w:r>
          </w:p>
        </w:tc>
      </w:tr>
      <w:tr w:rsidR="00596FB4" w:rsidTr="00596FB4">
        <w:trPr>
          <w:trHeight w:val="567"/>
        </w:trPr>
        <w:tc>
          <w:tcPr>
            <w:tcW w:w="443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pStyle w:val="regpar"/>
              <w:spacing w:line="280" w:lineRule="exact"/>
              <w:ind w:firstLine="0"/>
              <w:jc w:val="left"/>
            </w:pPr>
            <w:r>
              <w:t>Goods exports (excluding agriculture)</w:t>
            </w:r>
            <w:r>
              <w:rPr>
                <w:vertAlign w:val="superscript"/>
              </w:rPr>
              <w:t xml:space="preserve"> 3</w:t>
            </w:r>
          </w:p>
        </w:tc>
        <w:tc>
          <w:tcPr>
            <w:tcW w:w="99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-1.68</w:t>
            </w:r>
          </w:p>
        </w:tc>
        <w:tc>
          <w:tcPr>
            <w:tcW w:w="1243"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7.54</w:t>
            </w:r>
          </w:p>
        </w:tc>
        <w:tc>
          <w:tcPr>
            <w:tcW w:w="91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7.24</w:t>
            </w:r>
          </w:p>
        </w:tc>
        <w:tc>
          <w:tcPr>
            <w:tcW w:w="81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0.49</w:t>
            </w:r>
          </w:p>
        </w:tc>
      </w:tr>
      <w:tr w:rsidR="00596FB4" w:rsidTr="00596FB4">
        <w:trPr>
          <w:trHeight w:val="567"/>
        </w:trPr>
        <w:tc>
          <w:tcPr>
            <w:tcW w:w="443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pStyle w:val="regpar"/>
              <w:spacing w:line="280" w:lineRule="exact"/>
              <w:ind w:firstLine="0"/>
              <w:jc w:val="left"/>
            </w:pPr>
            <w:r>
              <w:t>Services exports (excluding transportation)</w:t>
            </w:r>
            <w:r>
              <w:rPr>
                <w:vertAlign w:val="superscript"/>
              </w:rPr>
              <w:t xml:space="preserve"> 3</w:t>
            </w:r>
          </w:p>
        </w:tc>
        <w:tc>
          <w:tcPr>
            <w:tcW w:w="99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2.42</w:t>
            </w:r>
          </w:p>
        </w:tc>
        <w:tc>
          <w:tcPr>
            <w:tcW w:w="1243"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-1.27</w:t>
            </w:r>
          </w:p>
        </w:tc>
        <w:tc>
          <w:tcPr>
            <w:tcW w:w="91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0.14</w:t>
            </w:r>
          </w:p>
        </w:tc>
        <w:tc>
          <w:tcPr>
            <w:tcW w:w="81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1.24</w:t>
            </w:r>
          </w:p>
        </w:tc>
      </w:tr>
      <w:tr w:rsidR="00596FB4" w:rsidTr="00596FB4">
        <w:trPr>
          <w:trHeight w:val="567"/>
        </w:trPr>
        <w:tc>
          <w:tcPr>
            <w:tcW w:w="443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pStyle w:val="regpar"/>
              <w:spacing w:line="280" w:lineRule="exact"/>
              <w:ind w:firstLine="0"/>
              <w:jc w:val="left"/>
            </w:pPr>
            <w:r>
              <w:t>Number of employee posts in the private sector</w:t>
            </w:r>
          </w:p>
        </w:tc>
        <w:tc>
          <w:tcPr>
            <w:tcW w:w="990" w:type="dxa"/>
            <w:tcBorders>
              <w:top w:val="single" w:sz="4" w:space="0" w:color="auto"/>
              <w:left w:val="single" w:sz="4" w:space="0" w:color="auto"/>
              <w:bottom w:val="single" w:sz="4" w:space="0" w:color="auto"/>
              <w:right w:val="single" w:sz="4" w:space="0" w:color="auto"/>
            </w:tcBorders>
            <w:vAlign w:val="bottom"/>
          </w:tcPr>
          <w:p w:rsidR="00596FB4" w:rsidRDefault="00596FB4">
            <w:pPr>
              <w:bidi w:val="0"/>
              <w:spacing w:line="300" w:lineRule="exact"/>
              <w:jc w:val="center"/>
              <w:rPr>
                <w:rFonts w:ascii="Times" w:hAnsi="Times" w:cs="Times"/>
                <w:color w:val="000000"/>
                <w:sz w:val="22"/>
                <w:szCs w:val="22"/>
              </w:rPr>
            </w:pPr>
          </w:p>
        </w:tc>
        <w:tc>
          <w:tcPr>
            <w:tcW w:w="1243" w:type="dxa"/>
            <w:tcBorders>
              <w:top w:val="single" w:sz="4" w:space="0" w:color="auto"/>
              <w:left w:val="single" w:sz="4" w:space="0" w:color="auto"/>
              <w:bottom w:val="single" w:sz="4" w:space="0" w:color="auto"/>
              <w:right w:val="single" w:sz="4" w:space="0" w:color="auto"/>
            </w:tcBorders>
            <w:vAlign w:val="bottom"/>
          </w:tcPr>
          <w:p w:rsidR="00596FB4" w:rsidRDefault="00596FB4">
            <w:pPr>
              <w:bidi w:val="0"/>
              <w:spacing w:line="300" w:lineRule="exact"/>
              <w:jc w:val="center"/>
              <w:rPr>
                <w:rFonts w:ascii="Times" w:hAnsi="Times" w:cs="Times"/>
                <w:color w:val="000000"/>
                <w:sz w:val="22"/>
                <w:szCs w:val="22"/>
              </w:rPr>
            </w:pPr>
          </w:p>
        </w:tc>
        <w:tc>
          <w:tcPr>
            <w:tcW w:w="91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-0.37</w:t>
            </w:r>
          </w:p>
        </w:tc>
        <w:tc>
          <w:tcPr>
            <w:tcW w:w="81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-0.22</w:t>
            </w:r>
          </w:p>
        </w:tc>
      </w:tr>
      <w:tr w:rsidR="00596FB4" w:rsidTr="00596FB4">
        <w:trPr>
          <w:trHeight w:val="567"/>
        </w:trPr>
        <w:tc>
          <w:tcPr>
            <w:tcW w:w="443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pStyle w:val="regpar"/>
              <w:spacing w:line="280" w:lineRule="exact"/>
              <w:ind w:firstLine="0"/>
              <w:jc w:val="left"/>
            </w:pPr>
            <w:r>
              <w:t>Rate of vacant employee posts out of total number of employed people in the business sector</w:t>
            </w:r>
            <w:r>
              <w:rPr>
                <w:rStyle w:val="ad"/>
              </w:rPr>
              <w:t>1</w:t>
            </w:r>
          </w:p>
        </w:tc>
        <w:tc>
          <w:tcPr>
            <w:tcW w:w="99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2.59</w:t>
            </w:r>
          </w:p>
        </w:tc>
        <w:tc>
          <w:tcPr>
            <w:tcW w:w="1243"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2.63</w:t>
            </w:r>
          </w:p>
        </w:tc>
        <w:tc>
          <w:tcPr>
            <w:tcW w:w="91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2.65</w:t>
            </w:r>
          </w:p>
        </w:tc>
        <w:tc>
          <w:tcPr>
            <w:tcW w:w="81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2.73</w:t>
            </w:r>
          </w:p>
        </w:tc>
      </w:tr>
      <w:tr w:rsidR="00596FB4" w:rsidTr="00596FB4">
        <w:trPr>
          <w:trHeight w:val="567"/>
        </w:trPr>
        <w:tc>
          <w:tcPr>
            <w:tcW w:w="443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pStyle w:val="regpar"/>
              <w:spacing w:line="280" w:lineRule="exact"/>
              <w:ind w:firstLine="0"/>
              <w:jc w:val="left"/>
            </w:pPr>
            <w:r>
              <w:t>Building starts</w:t>
            </w:r>
            <w:r>
              <w:rPr>
                <w:vertAlign w:val="superscript"/>
              </w:rPr>
              <w:t>2</w:t>
            </w:r>
          </w:p>
        </w:tc>
        <w:tc>
          <w:tcPr>
            <w:tcW w:w="990" w:type="dxa"/>
            <w:tcBorders>
              <w:top w:val="single" w:sz="4" w:space="0" w:color="auto"/>
              <w:left w:val="single" w:sz="4" w:space="0" w:color="auto"/>
              <w:bottom w:val="single" w:sz="4" w:space="0" w:color="auto"/>
              <w:right w:val="single" w:sz="4" w:space="0" w:color="auto"/>
            </w:tcBorders>
            <w:vAlign w:val="bottom"/>
          </w:tcPr>
          <w:p w:rsidR="00596FB4" w:rsidRDefault="00596FB4">
            <w:pPr>
              <w:bidi w:val="0"/>
              <w:spacing w:line="300" w:lineRule="exact"/>
              <w:jc w:val="center"/>
              <w:rPr>
                <w:rFonts w:ascii="Times" w:hAnsi="Times" w:cs="Times"/>
                <w:color w:val="000000"/>
                <w:sz w:val="22"/>
                <w:szCs w:val="22"/>
              </w:rPr>
            </w:pPr>
          </w:p>
        </w:tc>
        <w:tc>
          <w:tcPr>
            <w:tcW w:w="1243" w:type="dxa"/>
            <w:tcBorders>
              <w:top w:val="single" w:sz="4" w:space="0" w:color="auto"/>
              <w:left w:val="single" w:sz="4" w:space="0" w:color="auto"/>
              <w:bottom w:val="single" w:sz="4" w:space="0" w:color="auto"/>
              <w:right w:val="single" w:sz="4" w:space="0" w:color="auto"/>
            </w:tcBorders>
            <w:vAlign w:val="bottom"/>
          </w:tcPr>
          <w:p w:rsidR="00596FB4" w:rsidRDefault="00596FB4">
            <w:pPr>
              <w:bidi w:val="0"/>
              <w:spacing w:line="300" w:lineRule="exact"/>
              <w:jc w:val="center"/>
              <w:rPr>
                <w:rFonts w:ascii="Times" w:hAnsi="Times" w:cs="Times"/>
                <w:color w:val="000000"/>
                <w:sz w:val="22"/>
                <w:szCs w:val="22"/>
              </w:rPr>
            </w:pPr>
          </w:p>
        </w:tc>
        <w:tc>
          <w:tcPr>
            <w:tcW w:w="910"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-0.65</w:t>
            </w:r>
          </w:p>
        </w:tc>
        <w:tc>
          <w:tcPr>
            <w:tcW w:w="816" w:type="dxa"/>
            <w:tcBorders>
              <w:top w:val="single" w:sz="4" w:space="0" w:color="auto"/>
              <w:left w:val="single" w:sz="4" w:space="0" w:color="auto"/>
              <w:bottom w:val="single" w:sz="4" w:space="0" w:color="auto"/>
              <w:right w:val="single" w:sz="4" w:space="0" w:color="auto"/>
            </w:tcBorders>
            <w:vAlign w:val="bottom"/>
            <w:hideMark/>
          </w:tcPr>
          <w:p w:rsidR="00596FB4" w:rsidRDefault="00596FB4">
            <w:pPr>
              <w:bidi w:val="0"/>
              <w:spacing w:line="300" w:lineRule="exact"/>
              <w:jc w:val="center"/>
              <w:rPr>
                <w:rFonts w:ascii="Times" w:hAnsi="Times" w:cs="Times"/>
                <w:color w:val="000000"/>
                <w:sz w:val="22"/>
                <w:szCs w:val="22"/>
              </w:rPr>
            </w:pPr>
            <w:r>
              <w:rPr>
                <w:color w:val="000000"/>
                <w:sz w:val="22"/>
                <w:szCs w:val="22"/>
              </w:rPr>
              <w:t>-2.02</w:t>
            </w:r>
          </w:p>
        </w:tc>
      </w:tr>
    </w:tbl>
    <w:p w:rsidR="00596FB4" w:rsidRDefault="00596FB4" w:rsidP="00596FB4">
      <w:pPr>
        <w:pStyle w:val="regpar"/>
        <w:spacing w:line="280" w:lineRule="exact"/>
        <w:ind w:firstLine="0"/>
      </w:pPr>
    </w:p>
    <w:p w:rsidR="00596FB4" w:rsidRDefault="00596FB4" w:rsidP="00596FB4">
      <w:pPr>
        <w:pStyle w:val="regpar"/>
        <w:spacing w:line="220" w:lineRule="exact"/>
        <w:ind w:firstLine="0"/>
        <w:rPr>
          <w:highlight w:val="yellow"/>
        </w:rPr>
      </w:pPr>
    </w:p>
    <w:p w:rsidR="00596FB4" w:rsidRDefault="00596FB4" w:rsidP="00596FB4">
      <w:pPr>
        <w:pStyle w:val="ab"/>
        <w:spacing w:line="240" w:lineRule="auto"/>
      </w:pPr>
      <w:r>
        <w:rPr>
          <w:vertAlign w:val="superscript"/>
        </w:rPr>
        <w:t>1</w:t>
      </w:r>
      <w:r>
        <w:t xml:space="preserve"> The rate of job vacancies at its actual level, seasonally adjusted and smoothed.</w:t>
      </w:r>
    </w:p>
    <w:p w:rsidR="00596FB4" w:rsidRDefault="00596FB4" w:rsidP="00596FB4">
      <w:pPr>
        <w:pStyle w:val="ab"/>
        <w:spacing w:line="240" w:lineRule="auto"/>
      </w:pPr>
      <w:r>
        <w:rPr>
          <w:vertAlign w:val="superscript"/>
        </w:rPr>
        <w:t>2</w:t>
      </w:r>
      <w:r>
        <w:t xml:space="preserve"> Six-month moving average.</w:t>
      </w:r>
    </w:p>
    <w:p w:rsidR="00596FB4" w:rsidRDefault="00596FB4" w:rsidP="00596FB4">
      <w:pPr>
        <w:pStyle w:val="ab"/>
        <w:spacing w:line="240" w:lineRule="auto"/>
      </w:pPr>
      <w:r>
        <w:rPr>
          <w:vertAlign w:val="superscript"/>
        </w:rPr>
        <w:t>3</w:t>
      </w:r>
      <w:r>
        <w:t xml:space="preserve"> Foreign trade indices are quantitative (in contrast to CBS monthly foreign trade indices).</w:t>
      </w:r>
    </w:p>
    <w:p w:rsidR="00596FB4" w:rsidRDefault="00596FB4" w:rsidP="00596FB4">
      <w:pPr>
        <w:autoSpaceDE w:val="0"/>
        <w:autoSpaceDN w:val="0"/>
        <w:bidi w:val="0"/>
        <w:adjustRightInd w:val="0"/>
        <w:spacing w:line="280" w:lineRule="exact"/>
      </w:pPr>
    </w:p>
    <w:p w:rsidR="00596FB4" w:rsidRDefault="00596FB4" w:rsidP="00596FB4">
      <w:pPr>
        <w:autoSpaceDE w:val="0"/>
        <w:autoSpaceDN w:val="0"/>
        <w:bidi w:val="0"/>
        <w:adjustRightInd w:val="0"/>
        <w:spacing w:line="280" w:lineRule="exact"/>
      </w:pPr>
    </w:p>
    <w:p w:rsidR="00596FB4" w:rsidRDefault="00596FB4" w:rsidP="00596FB4">
      <w:pPr>
        <w:autoSpaceDE w:val="0"/>
        <w:autoSpaceDN w:val="0"/>
        <w:bidi w:val="0"/>
        <w:adjustRightInd w:val="0"/>
        <w:spacing w:line="280" w:lineRule="exact"/>
      </w:pPr>
      <w:r>
        <w:t>For additional data and explanations please click here.</w:t>
      </w:r>
    </w:p>
    <w:p w:rsidR="00596FB4" w:rsidRDefault="00596FB4" w:rsidP="00596FB4">
      <w:pPr>
        <w:autoSpaceDE w:val="0"/>
        <w:autoSpaceDN w:val="0"/>
        <w:bidi w:val="0"/>
        <w:adjustRightInd w:val="0"/>
        <w:rPr>
          <w:rStyle w:val="Hyperlink"/>
        </w:rPr>
      </w:pPr>
      <w:hyperlink r:id="rId9" w:history="1">
        <w:r>
          <w:rPr>
            <w:rStyle w:val="Hyperlink"/>
          </w:rPr>
          <w:t>http://www.boi.org.il/en/Research/Pages/ind.aspx</w:t>
        </w:r>
      </w:hyperlink>
    </w:p>
    <w:p w:rsidR="0074341E" w:rsidRPr="00E64B36" w:rsidRDefault="0074341E" w:rsidP="00596FB4">
      <w:pPr>
        <w:bidi w:val="0"/>
        <w:jc w:val="both"/>
      </w:pPr>
    </w:p>
    <w:sectPr w:rsidR="0074341E" w:rsidRPr="00E64B36" w:rsidSect="00FC2A67">
      <w:footerReference w:type="default" r:id="rId10"/>
      <w:pgSz w:w="11906" w:h="16838"/>
      <w:pgMar w:top="510" w:right="1797" w:bottom="624" w:left="1797"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22" w:rsidRPr="00596FB4" w:rsidRDefault="004E4AEC" w:rsidP="00596FB4">
    <w:pPr>
      <w:pStyle w:val="regpar"/>
      <w:spacing w:line="280" w:lineRule="exact"/>
      <w:ind w:left="-709" w:right="-902" w:firstLine="0"/>
      <w:jc w:val="left"/>
      <w:rPr>
        <w:b/>
        <w:bCs/>
        <w:cs/>
      </w:rPr>
    </w:pPr>
    <w:r>
      <w:rPr>
        <w:sz w:val="20"/>
        <w:szCs w:val="20"/>
      </w:rPr>
      <w:t xml:space="preserve">Bank of </w:t>
    </w:r>
    <w:r w:rsidRPr="00596FB4">
      <w:rPr>
        <w:sz w:val="20"/>
        <w:szCs w:val="20"/>
      </w:rPr>
      <w:t xml:space="preserve">Israel - </w:t>
    </w:r>
    <w:r w:rsidR="00596FB4" w:rsidRPr="00596FB4">
      <w:rPr>
        <w:sz w:val="20"/>
        <w:szCs w:val="20"/>
      </w:rPr>
      <w:t>The Composite State of the Economy Index for November 2013</w:t>
    </w:r>
    <w:r w:rsidR="00596FB4">
      <w:rPr>
        <w:sz w:val="20"/>
        <w:szCs w:val="20"/>
      </w:rPr>
      <w:tab/>
    </w:r>
    <w:r w:rsidR="00596FB4">
      <w:rPr>
        <w:sz w:val="20"/>
        <w:szCs w:val="20"/>
      </w:rPr>
      <w:tab/>
    </w:r>
    <w:r w:rsidR="00596FB4">
      <w:rPr>
        <w:sz w:val="20"/>
        <w:szCs w:val="20"/>
      </w:rPr>
      <w:tab/>
    </w:r>
    <w:r w:rsidR="00596FB4">
      <w:rPr>
        <w:sz w:val="20"/>
        <w:szCs w:val="20"/>
      </w:rPr>
      <w:tab/>
    </w:r>
    <w:r w:rsidR="00B96022" w:rsidRPr="00B96022">
      <w:rPr>
        <w:sz w:val="20"/>
        <w:szCs w:val="20"/>
      </w:rPr>
      <w:t>Page</w:t>
    </w:r>
    <w:r w:rsidR="00B96022" w:rsidRPr="00B96022">
      <w:rPr>
        <w:sz w:val="20"/>
        <w:szCs w:val="20"/>
        <w:rtl/>
        <w:cs/>
        <w:lang w:val="he-IL"/>
      </w:rPr>
      <w:t xml:space="preserve"> </w:t>
    </w:r>
    <w:r w:rsidR="00B96022" w:rsidRPr="00B96022">
      <w:rPr>
        <w:b/>
        <w:bCs/>
        <w:sz w:val="20"/>
        <w:szCs w:val="20"/>
      </w:rPr>
      <w:fldChar w:fldCharType="begin"/>
    </w:r>
    <w:r w:rsidR="00B96022" w:rsidRPr="00B96022">
      <w:rPr>
        <w:b/>
        <w:bCs/>
        <w:sz w:val="20"/>
        <w:szCs w:val="20"/>
        <w:cs/>
      </w:rPr>
      <w:instrText>PAGE</w:instrText>
    </w:r>
    <w:r w:rsidR="00B96022" w:rsidRPr="00B96022">
      <w:rPr>
        <w:b/>
        <w:bCs/>
        <w:sz w:val="20"/>
        <w:szCs w:val="20"/>
      </w:rPr>
      <w:fldChar w:fldCharType="separate"/>
    </w:r>
    <w:r w:rsidR="00AB75B4">
      <w:rPr>
        <w:b/>
        <w:bCs/>
        <w:noProof/>
        <w:sz w:val="20"/>
        <w:szCs w:val="20"/>
      </w:rPr>
      <w:t>1</w:t>
    </w:r>
    <w:r w:rsidR="00B96022" w:rsidRPr="00B96022">
      <w:rPr>
        <w:b/>
        <w:bCs/>
        <w:sz w:val="20"/>
        <w:szCs w:val="20"/>
      </w:rPr>
      <w:fldChar w:fldCharType="end"/>
    </w:r>
    <w:r w:rsidR="00B96022" w:rsidRPr="00B96022">
      <w:rPr>
        <w:sz w:val="20"/>
        <w:szCs w:val="20"/>
      </w:rPr>
      <w:t xml:space="preserve"> Of</w:t>
    </w:r>
    <w:r w:rsidR="00B96022" w:rsidRPr="00B96022">
      <w:rPr>
        <w:sz w:val="20"/>
        <w:szCs w:val="20"/>
        <w:rtl/>
        <w:cs/>
        <w:lang w:val="he-IL"/>
      </w:rPr>
      <w:t xml:space="preserve"> </w:t>
    </w:r>
    <w:r w:rsidR="00B96022" w:rsidRPr="00B96022">
      <w:rPr>
        <w:b/>
        <w:bCs/>
        <w:sz w:val="20"/>
        <w:szCs w:val="20"/>
      </w:rPr>
      <w:fldChar w:fldCharType="begin"/>
    </w:r>
    <w:r w:rsidR="00B96022" w:rsidRPr="00B96022">
      <w:rPr>
        <w:b/>
        <w:bCs/>
        <w:sz w:val="20"/>
        <w:szCs w:val="20"/>
        <w:cs/>
      </w:rPr>
      <w:instrText>NUMPAGES</w:instrText>
    </w:r>
    <w:r w:rsidR="00B96022" w:rsidRPr="00B96022">
      <w:rPr>
        <w:b/>
        <w:bCs/>
        <w:sz w:val="20"/>
        <w:szCs w:val="20"/>
      </w:rPr>
      <w:fldChar w:fldCharType="separate"/>
    </w:r>
    <w:r w:rsidR="00AB75B4">
      <w:rPr>
        <w:b/>
        <w:bCs/>
        <w:noProof/>
        <w:sz w:val="20"/>
        <w:szCs w:val="20"/>
      </w:rPr>
      <w:t>2</w:t>
    </w:r>
    <w:r w:rsidR="00B96022" w:rsidRPr="00B96022">
      <w:rPr>
        <w:b/>
        <w:bCs/>
        <w:sz w:val="20"/>
        <w:szCs w:val="20"/>
      </w:rPr>
      <w:fldChar w:fldCharType="end"/>
    </w:r>
  </w:p>
  <w:p w:rsidR="00A749E1" w:rsidRPr="00B96022" w:rsidRDefault="00A749E1" w:rsidP="00B96022">
    <w:pPr>
      <w:pStyle w:val="a6"/>
      <w:rPr>
        <w:rFonts w:hint="cs"/>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F4" w:rsidRDefault="00933EF4" w:rsidP="00E64B36">
      <w:r>
        <w:separator/>
      </w:r>
    </w:p>
  </w:footnote>
  <w:footnote w:type="continuationSeparator" w:id="0">
    <w:p w:rsidR="00933EF4" w:rsidRDefault="00933EF4" w:rsidP="00E64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D0"/>
    <w:rsid w:val="00000A06"/>
    <w:rsid w:val="0001385E"/>
    <w:rsid w:val="000526A0"/>
    <w:rsid w:val="0005726E"/>
    <w:rsid w:val="000A520E"/>
    <w:rsid w:val="00101B55"/>
    <w:rsid w:val="00130245"/>
    <w:rsid w:val="00143F3A"/>
    <w:rsid w:val="001B4E73"/>
    <w:rsid w:val="001C1BC1"/>
    <w:rsid w:val="001C388F"/>
    <w:rsid w:val="001C71E8"/>
    <w:rsid w:val="0021327F"/>
    <w:rsid w:val="00237CE5"/>
    <w:rsid w:val="00281C70"/>
    <w:rsid w:val="002A0D2A"/>
    <w:rsid w:val="002B48CC"/>
    <w:rsid w:val="0030279B"/>
    <w:rsid w:val="003129D6"/>
    <w:rsid w:val="003136EE"/>
    <w:rsid w:val="003727EE"/>
    <w:rsid w:val="003772AF"/>
    <w:rsid w:val="00385CB3"/>
    <w:rsid w:val="00387840"/>
    <w:rsid w:val="00390CA5"/>
    <w:rsid w:val="003A3813"/>
    <w:rsid w:val="003B715F"/>
    <w:rsid w:val="003B7DC3"/>
    <w:rsid w:val="003C7815"/>
    <w:rsid w:val="003D6F31"/>
    <w:rsid w:val="003D7860"/>
    <w:rsid w:val="00411BA4"/>
    <w:rsid w:val="00412846"/>
    <w:rsid w:val="00445B15"/>
    <w:rsid w:val="00492391"/>
    <w:rsid w:val="004A20A5"/>
    <w:rsid w:val="004D32A7"/>
    <w:rsid w:val="004D5D6F"/>
    <w:rsid w:val="004E4AEC"/>
    <w:rsid w:val="00540B03"/>
    <w:rsid w:val="005462D0"/>
    <w:rsid w:val="005713A8"/>
    <w:rsid w:val="0059277F"/>
    <w:rsid w:val="00596FB4"/>
    <w:rsid w:val="00597EED"/>
    <w:rsid w:val="0060215A"/>
    <w:rsid w:val="006216F9"/>
    <w:rsid w:val="0062658F"/>
    <w:rsid w:val="00652D53"/>
    <w:rsid w:val="006B679C"/>
    <w:rsid w:val="006D3582"/>
    <w:rsid w:val="00721560"/>
    <w:rsid w:val="0074341E"/>
    <w:rsid w:val="007666A8"/>
    <w:rsid w:val="00793399"/>
    <w:rsid w:val="007C6400"/>
    <w:rsid w:val="007D57EE"/>
    <w:rsid w:val="007F7993"/>
    <w:rsid w:val="0081026B"/>
    <w:rsid w:val="008403F1"/>
    <w:rsid w:val="00864C55"/>
    <w:rsid w:val="008A7212"/>
    <w:rsid w:val="0091307F"/>
    <w:rsid w:val="00933EF4"/>
    <w:rsid w:val="00961BD6"/>
    <w:rsid w:val="009744A0"/>
    <w:rsid w:val="00976781"/>
    <w:rsid w:val="009C21B3"/>
    <w:rsid w:val="009C2C42"/>
    <w:rsid w:val="009E3D4E"/>
    <w:rsid w:val="00A117D2"/>
    <w:rsid w:val="00A37869"/>
    <w:rsid w:val="00A72122"/>
    <w:rsid w:val="00A74752"/>
    <w:rsid w:val="00A749E1"/>
    <w:rsid w:val="00A81B6C"/>
    <w:rsid w:val="00A94775"/>
    <w:rsid w:val="00AB75B4"/>
    <w:rsid w:val="00AD7CC8"/>
    <w:rsid w:val="00B108AE"/>
    <w:rsid w:val="00B13C9D"/>
    <w:rsid w:val="00B40E49"/>
    <w:rsid w:val="00B84789"/>
    <w:rsid w:val="00B85769"/>
    <w:rsid w:val="00B87F00"/>
    <w:rsid w:val="00B96022"/>
    <w:rsid w:val="00BC71FF"/>
    <w:rsid w:val="00BE27B4"/>
    <w:rsid w:val="00BE52BF"/>
    <w:rsid w:val="00C171FF"/>
    <w:rsid w:val="00C21009"/>
    <w:rsid w:val="00C37129"/>
    <w:rsid w:val="00C76E10"/>
    <w:rsid w:val="00CE0B40"/>
    <w:rsid w:val="00D554DA"/>
    <w:rsid w:val="00D60BFC"/>
    <w:rsid w:val="00D60FF3"/>
    <w:rsid w:val="00D67C46"/>
    <w:rsid w:val="00D907A2"/>
    <w:rsid w:val="00DE01A0"/>
    <w:rsid w:val="00DE0699"/>
    <w:rsid w:val="00DF4CC2"/>
    <w:rsid w:val="00DF6966"/>
    <w:rsid w:val="00E04222"/>
    <w:rsid w:val="00E2493A"/>
    <w:rsid w:val="00E64B36"/>
    <w:rsid w:val="00E660F1"/>
    <w:rsid w:val="00E8008F"/>
    <w:rsid w:val="00EB44F5"/>
    <w:rsid w:val="00EB669A"/>
    <w:rsid w:val="00EC48D4"/>
    <w:rsid w:val="00ED5226"/>
    <w:rsid w:val="00EF1AC2"/>
    <w:rsid w:val="00F53236"/>
    <w:rsid w:val="00F576F6"/>
    <w:rsid w:val="00F806F6"/>
    <w:rsid w:val="00FA13BA"/>
    <w:rsid w:val="00FA454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semiHidden/>
    <w:rsid w:val="003772AF"/>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772AF"/>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semiHidden/>
    <w:rsid w:val="003772AF"/>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772AF"/>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boi.org.il/en/Research/Pages/ind.aspx" TargetMode="Externa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5FD43-F012-4DB9-85C0-3F0BC8F74979}"/>
</file>

<file path=customXml/itemProps2.xml><?xml version="1.0" encoding="utf-8"?>
<ds:datastoreItem xmlns:ds="http://schemas.openxmlformats.org/officeDocument/2006/customXml" ds:itemID="{CBCD16D6-59BB-4183-838E-349C7D891791}"/>
</file>

<file path=customXml/itemProps3.xml><?xml version="1.0" encoding="utf-8"?>
<ds:datastoreItem xmlns:ds="http://schemas.openxmlformats.org/officeDocument/2006/customXml" ds:itemID="{E05EFF14-D74A-45D5-A57E-B65AB5B67856}"/>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2039</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2442</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2013-12-19T14:07:00Z</dcterms:created>
  <dcterms:modified xsi:type="dcterms:W3CDTF">2013-12-19T14:07:00Z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