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EBACA" w14:textId="77777777" w:rsidR="00F04CE4" w:rsidRDefault="00F04CE4" w:rsidP="00F04CE4">
      <w:pPr>
        <w:pStyle w:val="regpar"/>
        <w:spacing w:line="300" w:lineRule="atLeast"/>
        <w:ind w:firstLine="0"/>
        <w:jc w:val="center"/>
        <w:rPr>
          <w:rFonts w:ascii="Times New Roman" w:hAnsi="Times New Roman" w:cs="David"/>
          <w:bCs/>
        </w:rPr>
      </w:pPr>
      <w:r>
        <w:rPr>
          <w:rFonts w:ascii="Times New Roman" w:hAnsi="Times New Roman" w:cs="David"/>
          <w:bCs/>
          <w:noProof/>
        </w:rPr>
        <w:drawing>
          <wp:anchor distT="0" distB="0" distL="114300" distR="114300" simplePos="0" relativeHeight="251660288" behindDoc="0" locked="0" layoutInCell="1" allowOverlap="1" wp14:anchorId="6AAC25E2" wp14:editId="5D9F5948">
            <wp:simplePos x="0" y="0"/>
            <wp:positionH relativeFrom="column">
              <wp:posOffset>2193290</wp:posOffset>
            </wp:positionH>
            <wp:positionV relativeFrom="paragraph">
              <wp:posOffset>-558923</wp:posOffset>
            </wp:positionV>
            <wp:extent cx="891540" cy="891540"/>
            <wp:effectExtent l="0" t="0" r="0" b="0"/>
            <wp:wrapNone/>
            <wp:docPr id="5" name="תמונה 5"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0BABD" w14:textId="77777777" w:rsidR="00F04CE4" w:rsidRDefault="00F04CE4" w:rsidP="00F04CE4">
      <w:pPr>
        <w:pStyle w:val="regpar"/>
        <w:spacing w:line="300" w:lineRule="atLeast"/>
        <w:ind w:firstLine="0"/>
        <w:jc w:val="center"/>
        <w:rPr>
          <w:rFonts w:ascii="Times New Roman" w:hAnsi="Times New Roman" w:cs="David"/>
          <w:bCs/>
        </w:rPr>
      </w:pPr>
    </w:p>
    <w:p w14:paraId="2EC8B8F5" w14:textId="77777777" w:rsidR="00F04CE4" w:rsidRPr="00000A06" w:rsidRDefault="00F04CE4" w:rsidP="00F04CE4">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656C4FBD" w14:textId="77777777" w:rsidR="00F04CE4" w:rsidRDefault="00F04CE4" w:rsidP="00F04CE4">
      <w:pPr>
        <w:pStyle w:val="regpar"/>
        <w:spacing w:line="300" w:lineRule="atLeast"/>
        <w:ind w:firstLine="0"/>
        <w:jc w:val="center"/>
        <w:rPr>
          <w:rFonts w:ascii="Times New Roman" w:hAnsi="Times New Roman" w:cs="Times New Roman"/>
          <w:b/>
        </w:rPr>
      </w:pPr>
      <w:r w:rsidRPr="00000A06">
        <w:rPr>
          <w:rFonts w:ascii="Times New Roman" w:hAnsi="Times New Roman" w:cs="Times New Roman"/>
        </w:rPr>
        <w:t>Office of the Spokes</w:t>
      </w:r>
      <w:r>
        <w:rPr>
          <w:rFonts w:ascii="Times New Roman" w:hAnsi="Times New Roman" w:cs="Times New Roman"/>
        </w:rPr>
        <w:t>person</w:t>
      </w:r>
      <w:r w:rsidRPr="00000A06">
        <w:rPr>
          <w:rFonts w:ascii="Times New Roman" w:hAnsi="Times New Roman" w:cs="Times New Roman"/>
        </w:rPr>
        <w:t xml:space="preserve"> and Economic Information</w:t>
      </w:r>
    </w:p>
    <w:p w14:paraId="45311924" w14:textId="77777777" w:rsidR="00F04CE4" w:rsidRDefault="00F04CE4" w:rsidP="00F04CE4">
      <w:pPr>
        <w:pStyle w:val="PS"/>
        <w:ind w:firstLine="0"/>
        <w:jc w:val="right"/>
      </w:pPr>
    </w:p>
    <w:p w14:paraId="1FDE86CC" w14:textId="38DB2BDE" w:rsidR="000E5969" w:rsidRPr="000E5969" w:rsidRDefault="003C3953" w:rsidP="00F04CE4">
      <w:pPr>
        <w:pStyle w:val="PS"/>
        <w:ind w:firstLine="0"/>
        <w:jc w:val="right"/>
        <w:rPr>
          <w:lang w:bidi="he-IL"/>
        </w:rPr>
      </w:pPr>
      <w:r>
        <w:t>April 15, 2019</w:t>
      </w:r>
    </w:p>
    <w:p w14:paraId="2BD45874" w14:textId="77777777" w:rsidR="007E7179" w:rsidRDefault="007E7179" w:rsidP="00105E9B">
      <w:pPr>
        <w:pStyle w:val="PC"/>
        <w:spacing w:line="276" w:lineRule="auto"/>
        <w:jc w:val="center"/>
        <w:rPr>
          <w:b/>
          <w:bCs/>
          <w:lang w:bidi="he-IL"/>
        </w:rPr>
      </w:pPr>
    </w:p>
    <w:p w14:paraId="67E3894E" w14:textId="76646FA9" w:rsidR="00334F60" w:rsidRPr="00F04CE4" w:rsidRDefault="00334F60" w:rsidP="00105E9B">
      <w:pPr>
        <w:pStyle w:val="PC"/>
        <w:spacing w:line="276" w:lineRule="auto"/>
        <w:jc w:val="center"/>
        <w:rPr>
          <w:b/>
          <w:bCs/>
          <w:sz w:val="28"/>
          <w:szCs w:val="28"/>
        </w:rPr>
      </w:pPr>
      <w:r w:rsidRPr="00F04CE4">
        <w:rPr>
          <w:b/>
          <w:bCs/>
          <w:sz w:val="28"/>
          <w:szCs w:val="28"/>
        </w:rPr>
        <w:t>Semiannual Report on the Prices of Common Banking Services</w:t>
      </w:r>
    </w:p>
    <w:p w14:paraId="1F1754A6" w14:textId="77777777" w:rsidR="002507E9" w:rsidRPr="00F04CE4" w:rsidRDefault="002507E9" w:rsidP="00105E9B">
      <w:pPr>
        <w:pStyle w:val="PS"/>
        <w:spacing w:line="276" w:lineRule="auto"/>
        <w:rPr>
          <w:sz w:val="28"/>
          <w:szCs w:val="28"/>
        </w:rPr>
      </w:pPr>
    </w:p>
    <w:p w14:paraId="5D171994" w14:textId="77777777" w:rsidR="00334F60" w:rsidRPr="00F04CE4" w:rsidRDefault="00334F60" w:rsidP="00545467">
      <w:pPr>
        <w:pStyle w:val="PS"/>
        <w:spacing w:line="276" w:lineRule="auto"/>
        <w:ind w:firstLine="0"/>
        <w:jc w:val="center"/>
        <w:rPr>
          <w:b/>
          <w:bCs/>
          <w:sz w:val="28"/>
          <w:szCs w:val="28"/>
        </w:rPr>
      </w:pPr>
      <w:r w:rsidRPr="00F04CE4">
        <w:rPr>
          <w:b/>
          <w:bCs/>
          <w:sz w:val="28"/>
          <w:szCs w:val="28"/>
        </w:rPr>
        <w:t xml:space="preserve">First Half of </w:t>
      </w:r>
      <w:r w:rsidR="004B4E35" w:rsidRPr="00F04CE4">
        <w:rPr>
          <w:b/>
          <w:bCs/>
          <w:sz w:val="28"/>
          <w:szCs w:val="28"/>
        </w:rPr>
        <w:t>201</w:t>
      </w:r>
      <w:r w:rsidR="00545467" w:rsidRPr="00F04CE4">
        <w:rPr>
          <w:b/>
          <w:bCs/>
          <w:sz w:val="28"/>
          <w:szCs w:val="28"/>
        </w:rPr>
        <w:t>8</w:t>
      </w:r>
    </w:p>
    <w:p w14:paraId="5A3D2239" w14:textId="77777777" w:rsidR="00334F60" w:rsidRPr="004C07CF" w:rsidRDefault="00334F60" w:rsidP="00105E9B">
      <w:pPr>
        <w:pStyle w:val="PS"/>
        <w:spacing w:line="276" w:lineRule="auto"/>
        <w:ind w:firstLine="0"/>
        <w:jc w:val="both"/>
      </w:pPr>
    </w:p>
    <w:p w14:paraId="7656CE47" w14:textId="77777777" w:rsidR="00334F60" w:rsidRDefault="00334F60" w:rsidP="00105E9B">
      <w:pPr>
        <w:pStyle w:val="PS"/>
        <w:spacing w:line="276" w:lineRule="auto"/>
        <w:ind w:firstLine="0"/>
        <w:jc w:val="both"/>
      </w:pPr>
    </w:p>
    <w:p w14:paraId="7B34775F" w14:textId="6993F598" w:rsidR="00545467" w:rsidRDefault="00545467" w:rsidP="00642FDD">
      <w:pPr>
        <w:pStyle w:val="PS"/>
        <w:spacing w:line="276" w:lineRule="auto"/>
        <w:ind w:firstLine="0"/>
        <w:jc w:val="both"/>
        <w:rPr>
          <w:lang w:bidi="he-IL"/>
        </w:rPr>
      </w:pPr>
      <w:r>
        <w:t xml:space="preserve">Supervisor of Banks Dr. </w:t>
      </w:r>
      <w:proofErr w:type="spellStart"/>
      <w:r>
        <w:t>Hedva</w:t>
      </w:r>
      <w:proofErr w:type="spellEnd"/>
      <w:r>
        <w:t xml:space="preserve"> </w:t>
      </w:r>
      <w:proofErr w:type="spellStart"/>
      <w:r>
        <w:t>Ber</w:t>
      </w:r>
      <w:proofErr w:type="spellEnd"/>
      <w:r>
        <w:t xml:space="preserve"> presented the </w:t>
      </w:r>
      <w:r w:rsidRPr="00545467">
        <w:rPr>
          <w:b/>
          <w:bCs/>
        </w:rPr>
        <w:t>Semiannual Report on the Prices of Common Banking Services for Households</w:t>
      </w:r>
      <w:r>
        <w:rPr>
          <w:b/>
          <w:bCs/>
        </w:rPr>
        <w:t xml:space="preserve"> </w:t>
      </w:r>
      <w:r w:rsidRPr="00642FDD">
        <w:t>to the Knesset’s Economic Affairs Committee.</w:t>
      </w:r>
      <w:r w:rsidR="00642FDD">
        <w:rPr>
          <w:rFonts w:hint="cs"/>
          <w:rtl/>
          <w:lang w:bidi="he-IL"/>
        </w:rPr>
        <w:t xml:space="preserve"> </w:t>
      </w:r>
      <w:r w:rsidR="00642FDD">
        <w:rPr>
          <w:lang w:bidi="he-IL"/>
        </w:rPr>
        <w:t>The report is based on banks’ and credit card companies’ reports of actual income from fees collected in the first half of 2018.</w:t>
      </w:r>
    </w:p>
    <w:p w14:paraId="26D461D6" w14:textId="77777777" w:rsidR="00642FDD" w:rsidRDefault="00642FDD" w:rsidP="00642FDD">
      <w:pPr>
        <w:pStyle w:val="PS"/>
        <w:spacing w:line="276" w:lineRule="auto"/>
        <w:ind w:firstLine="0"/>
        <w:jc w:val="both"/>
        <w:rPr>
          <w:lang w:bidi="he-IL"/>
        </w:rPr>
      </w:pPr>
    </w:p>
    <w:p w14:paraId="3CBA1EFE" w14:textId="77777777" w:rsidR="00642FDD" w:rsidRPr="001A368A" w:rsidRDefault="00642FDD" w:rsidP="00642FDD">
      <w:pPr>
        <w:pStyle w:val="PS"/>
        <w:spacing w:line="276" w:lineRule="auto"/>
        <w:ind w:firstLine="0"/>
        <w:jc w:val="both"/>
        <w:rPr>
          <w:b/>
          <w:bCs/>
          <w:color w:val="4F81BD" w:themeColor="accent1"/>
          <w:lang w:bidi="he-IL"/>
        </w:rPr>
      </w:pPr>
      <w:r w:rsidRPr="001A368A">
        <w:rPr>
          <w:b/>
          <w:bCs/>
          <w:color w:val="4F81BD" w:themeColor="accent1"/>
          <w:lang w:bidi="he-IL"/>
        </w:rPr>
        <w:t>Main points of the report:</w:t>
      </w:r>
    </w:p>
    <w:p w14:paraId="4B43BE5B" w14:textId="0199AE9E" w:rsidR="00642FDD" w:rsidRDefault="00642FDD" w:rsidP="006845A0">
      <w:pPr>
        <w:pStyle w:val="PS"/>
        <w:numPr>
          <w:ilvl w:val="0"/>
          <w:numId w:val="21"/>
        </w:numPr>
        <w:spacing w:line="276" w:lineRule="auto"/>
        <w:jc w:val="both"/>
        <w:rPr>
          <w:lang w:bidi="he-IL"/>
        </w:rPr>
      </w:pPr>
      <w:r>
        <w:rPr>
          <w:lang w:bidi="he-IL"/>
        </w:rPr>
        <w:t>Over the past 9½ years, there was a decline of approximately 29 percent in the share of fees collect</w:t>
      </w:r>
      <w:r w:rsidR="000714DE">
        <w:rPr>
          <w:lang w:bidi="he-IL"/>
        </w:rPr>
        <w:t>ed by banks</w:t>
      </w:r>
      <w:r>
        <w:rPr>
          <w:lang w:bidi="he-IL"/>
        </w:rPr>
        <w:t xml:space="preserve"> (the ratio of banking corporations’ total income from fees </w:t>
      </w:r>
      <w:r w:rsidRPr="006B4C84">
        <w:rPr>
          <w:lang w:bidi="he-IL"/>
        </w:rPr>
        <w:t>to total activity),</w:t>
      </w:r>
      <w:r>
        <w:rPr>
          <w:lang w:bidi="he-IL"/>
        </w:rPr>
        <w:t xml:space="preserve"> with that ratio remaining stable in the past two years.</w:t>
      </w:r>
      <w:r w:rsidR="00DA6459">
        <w:rPr>
          <w:lang w:bidi="he-IL"/>
        </w:rPr>
        <w:t xml:space="preserve"> In the first half of 2018, the stability in the ratio continued, similar to 2016 and 2017.</w:t>
      </w:r>
    </w:p>
    <w:p w14:paraId="00EA78DD" w14:textId="1AA82D4B" w:rsidR="00251016" w:rsidRDefault="00DA6459" w:rsidP="00D83283">
      <w:pPr>
        <w:pStyle w:val="PS"/>
        <w:numPr>
          <w:ilvl w:val="0"/>
          <w:numId w:val="21"/>
        </w:numPr>
        <w:spacing w:line="276" w:lineRule="auto"/>
        <w:jc w:val="both"/>
        <w:rPr>
          <w:lang w:bidi="he-IL"/>
        </w:rPr>
      </w:pPr>
      <w:r>
        <w:rPr>
          <w:lang w:bidi="he-IL"/>
        </w:rPr>
        <w:t>The average monthly cost for a</w:t>
      </w:r>
      <w:r w:rsidR="002E1E1B">
        <w:rPr>
          <w:lang w:bidi="he-IL"/>
        </w:rPr>
        <w:t xml:space="preserve">n account for </w:t>
      </w:r>
      <w:r>
        <w:rPr>
          <w:lang w:bidi="he-IL"/>
        </w:rPr>
        <w:t>household</w:t>
      </w:r>
      <w:r w:rsidR="002E1E1B">
        <w:rPr>
          <w:lang w:bidi="he-IL"/>
        </w:rPr>
        <w:t>s</w:t>
      </w:r>
      <w:r>
        <w:rPr>
          <w:lang w:bidi="he-IL"/>
        </w:rPr>
        <w:t xml:space="preserve"> and private banking, for the first half of 2018, was NIS 24.8, similar to 2017 (NIS 24.6).</w:t>
      </w:r>
      <w:r w:rsidR="00CD1725">
        <w:rPr>
          <w:lang w:bidi="he-IL"/>
        </w:rPr>
        <w:t xml:space="preserve"> During the past 7½ years (2011–June 2018) there was a decline of </w:t>
      </w:r>
      <w:r w:rsidR="00CD1725" w:rsidRPr="006B4C84">
        <w:rPr>
          <w:lang w:bidi="he-IL"/>
        </w:rPr>
        <w:t>approximately 15.6 percent in the</w:t>
      </w:r>
      <w:r w:rsidR="00CD1725">
        <w:rPr>
          <w:lang w:bidi="he-IL"/>
        </w:rPr>
        <w:t xml:space="preserve"> average monthly </w:t>
      </w:r>
      <w:r w:rsidR="00234341">
        <w:rPr>
          <w:lang w:bidi="he-IL"/>
        </w:rPr>
        <w:t xml:space="preserve">cost </w:t>
      </w:r>
      <w:r w:rsidR="00234341" w:rsidRPr="009564FC">
        <w:rPr>
          <w:lang w:bidi="he-IL"/>
        </w:rPr>
        <w:t xml:space="preserve">for a </w:t>
      </w:r>
      <w:r w:rsidR="00234341" w:rsidRPr="00793CBD">
        <w:rPr>
          <w:lang w:bidi="he-IL"/>
        </w:rPr>
        <w:t>household</w:t>
      </w:r>
      <w:r w:rsidR="002E1E1B" w:rsidRPr="00793CBD">
        <w:rPr>
          <w:lang w:bidi="he-IL"/>
        </w:rPr>
        <w:t xml:space="preserve"> account</w:t>
      </w:r>
      <w:r w:rsidR="00234341" w:rsidRPr="00793CBD">
        <w:rPr>
          <w:lang w:bidi="he-IL"/>
        </w:rPr>
        <w:t xml:space="preserve"> and private banking</w:t>
      </w:r>
      <w:r w:rsidR="009564FC">
        <w:rPr>
          <w:lang w:bidi="he-IL"/>
        </w:rPr>
        <w:t xml:space="preserve"> account</w:t>
      </w:r>
      <w:r w:rsidR="00234341">
        <w:rPr>
          <w:lang w:bidi="he-IL"/>
        </w:rPr>
        <w:t>. This cost is</w:t>
      </w:r>
      <w:r w:rsidR="006B4C84">
        <w:rPr>
          <w:lang w:bidi="he-IL"/>
        </w:rPr>
        <w:t xml:space="preserve"> </w:t>
      </w:r>
      <w:r w:rsidR="00234341" w:rsidRPr="00D83283">
        <w:rPr>
          <w:lang w:bidi="he-IL"/>
        </w:rPr>
        <w:t>made up</w:t>
      </w:r>
      <w:r w:rsidR="00234341">
        <w:rPr>
          <w:lang w:bidi="he-IL"/>
        </w:rPr>
        <w:t xml:space="preserve"> of the </w:t>
      </w:r>
      <w:r w:rsidR="002E1E1B">
        <w:rPr>
          <w:lang w:bidi="he-IL"/>
        </w:rPr>
        <w:t xml:space="preserve">cost of </w:t>
      </w:r>
      <w:r w:rsidR="00234341">
        <w:rPr>
          <w:lang w:bidi="he-IL"/>
        </w:rPr>
        <w:t xml:space="preserve">current-account activity, which declined by about 36 percent, and the cost of </w:t>
      </w:r>
      <w:r w:rsidR="00B228E4">
        <w:rPr>
          <w:lang w:bidi="he-IL"/>
        </w:rPr>
        <w:t xml:space="preserve">a </w:t>
      </w:r>
      <w:r w:rsidR="00234341">
        <w:rPr>
          <w:lang w:bidi="he-IL"/>
        </w:rPr>
        <w:t xml:space="preserve">credit card which increased by about 31 percent, an increase that derives mainly </w:t>
      </w:r>
      <w:r w:rsidR="00E37FF0">
        <w:rPr>
          <w:lang w:bidi="he-IL"/>
        </w:rPr>
        <w:t>from</w:t>
      </w:r>
      <w:r w:rsidR="00234341">
        <w:rPr>
          <w:lang w:bidi="he-IL"/>
        </w:rPr>
        <w:t xml:space="preserve"> the trend of increase in the quantity of cards held by customers per individual account.</w:t>
      </w:r>
    </w:p>
    <w:p w14:paraId="3E2B548E" w14:textId="02669CA1" w:rsidR="00DA6459" w:rsidRDefault="00251016" w:rsidP="005624C9">
      <w:pPr>
        <w:pStyle w:val="PS"/>
        <w:numPr>
          <w:ilvl w:val="0"/>
          <w:numId w:val="21"/>
        </w:numPr>
        <w:spacing w:line="276" w:lineRule="auto"/>
        <w:jc w:val="both"/>
        <w:rPr>
          <w:lang w:bidi="he-IL"/>
        </w:rPr>
      </w:pPr>
      <w:r w:rsidRPr="00F441A2">
        <w:rPr>
          <w:lang w:bidi="he-IL"/>
        </w:rPr>
        <w:t xml:space="preserve">A significant measure that will go into effect this year, is expected to contribute to reducing fees in small business and </w:t>
      </w:r>
      <w:r w:rsidRPr="00A61D55">
        <w:rPr>
          <w:lang w:bidi="he-IL"/>
        </w:rPr>
        <w:t>authorized</w:t>
      </w:r>
      <w:r w:rsidR="003B0B84" w:rsidRPr="00A61D55">
        <w:rPr>
          <w:lang w:bidi="he-IL"/>
        </w:rPr>
        <w:t>-</w:t>
      </w:r>
      <w:r w:rsidR="005624C9">
        <w:rPr>
          <w:lang w:bidi="he-IL"/>
        </w:rPr>
        <w:t>business</w:t>
      </w:r>
      <w:r w:rsidR="005624C9" w:rsidRPr="00F441A2">
        <w:rPr>
          <w:lang w:bidi="he-IL"/>
        </w:rPr>
        <w:t xml:space="preserve"> </w:t>
      </w:r>
      <w:r w:rsidRPr="00F441A2">
        <w:rPr>
          <w:lang w:bidi="he-IL"/>
        </w:rPr>
        <w:t>accounts: proactive enrollment in the basic or expanded fee track service, which</w:t>
      </w:r>
      <w:r w:rsidR="00F441A2">
        <w:rPr>
          <w:lang w:bidi="he-IL"/>
        </w:rPr>
        <w:t xml:space="preserve">ever </w:t>
      </w:r>
      <w:r w:rsidRPr="00F441A2">
        <w:rPr>
          <w:lang w:bidi="he-IL"/>
        </w:rPr>
        <w:t xml:space="preserve">is the most worthwhile for them, </w:t>
      </w:r>
      <w:r w:rsidR="00F1231F">
        <w:rPr>
          <w:lang w:bidi="he-IL"/>
        </w:rPr>
        <w:t xml:space="preserve">pursuant to </w:t>
      </w:r>
      <w:r w:rsidRPr="00F441A2">
        <w:rPr>
          <w:lang w:bidi="he-IL"/>
        </w:rPr>
        <w:t>the requirement of the Banking Supervision Department.</w:t>
      </w:r>
    </w:p>
    <w:p w14:paraId="1F57B41D" w14:textId="77777777" w:rsidR="004A3C5B" w:rsidRDefault="004A3C5B" w:rsidP="00C44B09">
      <w:pPr>
        <w:pStyle w:val="PS"/>
        <w:numPr>
          <w:ilvl w:val="0"/>
          <w:numId w:val="21"/>
        </w:numPr>
        <w:spacing w:line="276" w:lineRule="auto"/>
        <w:jc w:val="both"/>
        <w:rPr>
          <w:lang w:bidi="he-IL"/>
        </w:rPr>
      </w:pPr>
      <w:r>
        <w:rPr>
          <w:lang w:bidi="he-IL"/>
        </w:rPr>
        <w:t>Within the framework of the implementation of the Reducing the Use of Cash Law, and with the goal of</w:t>
      </w:r>
      <w:r w:rsidR="00F9495B">
        <w:rPr>
          <w:lang w:bidi="he-IL"/>
        </w:rPr>
        <w:t xml:space="preserve"> encouraging private customers and small businesses to deposit for custody post-dated endorsed checks, before the Law goes into effect, a </w:t>
      </w:r>
      <w:r w:rsidR="00C44B09">
        <w:rPr>
          <w:lang w:bidi="he-IL"/>
        </w:rPr>
        <w:t>s</w:t>
      </w:r>
      <w:r w:rsidR="00F9495B">
        <w:rPr>
          <w:lang w:bidi="he-IL"/>
        </w:rPr>
        <w:t>upervisory Order was published, which reduces the fee in respect of depositing c</w:t>
      </w:r>
      <w:r w:rsidR="00F9495B" w:rsidRPr="006B4C84">
        <w:rPr>
          <w:lang w:bidi="he-IL"/>
        </w:rPr>
        <w:t xml:space="preserve">hecks into custody and establishes it at only NIS 2, from April 15, 2019 through </w:t>
      </w:r>
      <w:r w:rsidR="00F9495B" w:rsidRPr="008B625A">
        <w:rPr>
          <w:lang w:bidi="he-IL"/>
        </w:rPr>
        <w:t>July 1, 2019</w:t>
      </w:r>
      <w:r w:rsidR="00F9495B" w:rsidRPr="006B4C84">
        <w:rPr>
          <w:lang w:bidi="he-IL"/>
        </w:rPr>
        <w:t xml:space="preserve">, </w:t>
      </w:r>
      <w:r w:rsidR="00C705C5" w:rsidRPr="006B4C84">
        <w:rPr>
          <w:lang w:bidi="he-IL"/>
        </w:rPr>
        <w:t>the</w:t>
      </w:r>
      <w:r w:rsidR="00C705C5">
        <w:rPr>
          <w:lang w:bidi="he-IL"/>
        </w:rPr>
        <w:t xml:space="preserve"> day the Law goes into effect.</w:t>
      </w:r>
    </w:p>
    <w:p w14:paraId="02A58A64" w14:textId="77777777" w:rsidR="007F39B3" w:rsidRDefault="007F39B3" w:rsidP="00F9495B">
      <w:pPr>
        <w:pStyle w:val="PS"/>
        <w:spacing w:line="276" w:lineRule="auto"/>
        <w:ind w:firstLine="0"/>
        <w:jc w:val="both"/>
        <w:rPr>
          <w:lang w:bidi="he-IL"/>
        </w:rPr>
      </w:pPr>
    </w:p>
    <w:p w14:paraId="23BAC73E" w14:textId="77777777" w:rsidR="007F39B3" w:rsidRPr="00EC5381" w:rsidRDefault="007F39B3" w:rsidP="007F39B3">
      <w:pPr>
        <w:pStyle w:val="PS"/>
        <w:spacing w:line="276" w:lineRule="auto"/>
        <w:ind w:firstLine="0"/>
        <w:jc w:val="both"/>
        <w:rPr>
          <w:color w:val="4F81BD" w:themeColor="accent1"/>
          <w:lang w:bidi="he-IL"/>
        </w:rPr>
      </w:pPr>
      <w:r w:rsidRPr="00EC5381">
        <w:rPr>
          <w:color w:val="4F81BD" w:themeColor="accent1"/>
          <w:lang w:bidi="he-IL"/>
        </w:rPr>
        <w:t>The Bank of Israel urges the public to consume banking products and services in a wise and informed manner, and invites the public</w:t>
      </w:r>
      <w:r w:rsidR="007F2B56" w:rsidRPr="00EC5381">
        <w:rPr>
          <w:color w:val="4F81BD" w:themeColor="accent1"/>
          <w:lang w:bidi="he-IL"/>
        </w:rPr>
        <w:t xml:space="preserve"> to read the </w:t>
      </w:r>
      <w:r w:rsidR="006845A0" w:rsidRPr="00EC5381">
        <w:rPr>
          <w:color w:val="4F81BD" w:themeColor="accent1"/>
          <w:lang w:bidi="he-IL"/>
        </w:rPr>
        <w:t>“Banking ID Card” that was issued on February 28, 2019, which presents an overall picture of the account.</w:t>
      </w:r>
    </w:p>
    <w:p w14:paraId="4F7A4FBF" w14:textId="36988FE2" w:rsidR="006845A0" w:rsidRPr="00EC5381" w:rsidRDefault="00B87466" w:rsidP="007F39B3">
      <w:pPr>
        <w:pStyle w:val="PS"/>
        <w:spacing w:line="276" w:lineRule="auto"/>
        <w:ind w:firstLine="0"/>
        <w:jc w:val="both"/>
        <w:rPr>
          <w:color w:val="4F81BD" w:themeColor="accent1"/>
          <w:lang w:bidi="he-IL"/>
        </w:rPr>
      </w:pPr>
      <w:hyperlink r:id="rId10" w:history="1">
        <w:r w:rsidR="006845A0" w:rsidRPr="00B87466">
          <w:rPr>
            <w:rStyle w:val="Hyperlink"/>
            <w:lang w:bidi="he-IL"/>
          </w:rPr>
          <w:t>For information on the issue on the Bank of Israel website, click here.</w:t>
        </w:r>
      </w:hyperlink>
      <w:bookmarkStart w:id="0" w:name="_GoBack"/>
      <w:bookmarkEnd w:id="0"/>
    </w:p>
    <w:p w14:paraId="1F98CD29" w14:textId="77777777" w:rsidR="00545467" w:rsidRPr="004C07CF" w:rsidRDefault="00545467" w:rsidP="00105E9B">
      <w:pPr>
        <w:pStyle w:val="PS"/>
        <w:spacing w:line="276" w:lineRule="auto"/>
        <w:ind w:firstLine="0"/>
        <w:jc w:val="both"/>
      </w:pPr>
    </w:p>
    <w:p w14:paraId="440355DE" w14:textId="77777777" w:rsidR="00334F60" w:rsidRDefault="00534D56" w:rsidP="00534D56">
      <w:pPr>
        <w:pStyle w:val="PC"/>
        <w:keepNext/>
        <w:numPr>
          <w:ilvl w:val="0"/>
          <w:numId w:val="9"/>
        </w:numPr>
        <w:spacing w:line="276" w:lineRule="auto"/>
        <w:ind w:left="0" w:firstLine="0"/>
        <w:jc w:val="both"/>
        <w:rPr>
          <w:b/>
          <w:bCs/>
          <w:color w:val="0070C0"/>
        </w:rPr>
      </w:pPr>
      <w:r>
        <w:rPr>
          <w:b/>
          <w:bCs/>
          <w:color w:val="0070C0"/>
        </w:rPr>
        <w:t>The b</w:t>
      </w:r>
      <w:r w:rsidR="0073730E" w:rsidRPr="0073730E">
        <w:rPr>
          <w:b/>
          <w:bCs/>
          <w:color w:val="0070C0"/>
        </w:rPr>
        <w:t xml:space="preserve">anking system’s </w:t>
      </w:r>
      <w:r w:rsidR="00334F60" w:rsidRPr="0073730E">
        <w:rPr>
          <w:b/>
          <w:bCs/>
          <w:color w:val="0070C0"/>
        </w:rPr>
        <w:t xml:space="preserve">income </w:t>
      </w:r>
      <w:r w:rsidR="0073730E" w:rsidRPr="0073730E">
        <w:rPr>
          <w:b/>
          <w:bCs/>
          <w:color w:val="0070C0"/>
        </w:rPr>
        <w:t>from fees</w:t>
      </w:r>
    </w:p>
    <w:p w14:paraId="18E464E8" w14:textId="77777777" w:rsidR="00D17C39" w:rsidRPr="0073730E" w:rsidRDefault="00334F60" w:rsidP="00D17C39">
      <w:pPr>
        <w:pStyle w:val="PC"/>
        <w:keepNext/>
        <w:spacing w:line="276" w:lineRule="auto"/>
        <w:jc w:val="center"/>
        <w:rPr>
          <w:b/>
          <w:bCs/>
        </w:rPr>
      </w:pPr>
      <w:r w:rsidRPr="0073730E">
        <w:rPr>
          <w:b/>
          <w:bCs/>
        </w:rPr>
        <w:t>Development of total income from fees relative to banking</w:t>
      </w:r>
      <w:r w:rsidR="00504289" w:rsidRPr="0073730E">
        <w:rPr>
          <w:b/>
          <w:bCs/>
        </w:rPr>
        <w:t xml:space="preserve"> </w:t>
      </w:r>
      <w:r w:rsidR="00134AC6">
        <w:rPr>
          <w:b/>
          <w:bCs/>
        </w:rPr>
        <w:t>system assets</w:t>
      </w:r>
    </w:p>
    <w:p w14:paraId="0CFFD6A0" w14:textId="01369E6E" w:rsidR="00334F60" w:rsidRPr="00D17C39" w:rsidRDefault="00D17C39" w:rsidP="00D17C39">
      <w:pPr>
        <w:pStyle w:val="PC"/>
        <w:keepNext/>
        <w:spacing w:line="276" w:lineRule="auto"/>
        <w:jc w:val="center"/>
      </w:pPr>
      <w:r>
        <w:t>A</w:t>
      </w:r>
      <w:r w:rsidR="00334F60" w:rsidRPr="00D17C39">
        <w:t xml:space="preserve">ll banking activity segments (households, private banking, </w:t>
      </w:r>
      <w:r w:rsidR="00241286">
        <w:t xml:space="preserve">and </w:t>
      </w:r>
      <w:r w:rsidR="00334F60" w:rsidRPr="00D17C39">
        <w:t>businesses)</w:t>
      </w:r>
    </w:p>
    <w:p w14:paraId="4DD97065" w14:textId="77777777" w:rsidR="00334F60" w:rsidRDefault="00334F60" w:rsidP="00105E9B">
      <w:pPr>
        <w:pStyle w:val="PC"/>
        <w:keepNext/>
        <w:spacing w:line="276" w:lineRule="auto"/>
        <w:jc w:val="both"/>
        <w:rPr>
          <w:b/>
          <w:bCs/>
        </w:rPr>
      </w:pPr>
    </w:p>
    <w:p w14:paraId="29B9BC58" w14:textId="52422FB8" w:rsidR="00334F60" w:rsidRDefault="00FB168E" w:rsidP="00793CBD">
      <w:pPr>
        <w:pStyle w:val="PS"/>
        <w:spacing w:line="276" w:lineRule="auto"/>
        <w:ind w:firstLine="0"/>
        <w:jc w:val="center"/>
      </w:pPr>
      <w:r>
        <w:rPr>
          <w:noProof/>
          <w:snapToGrid/>
          <w:lang w:bidi="he-IL"/>
        </w:rPr>
        <w:drawing>
          <wp:inline distT="0" distB="0" distL="0" distR="0" wp14:anchorId="444912BD" wp14:editId="49943BA4">
            <wp:extent cx="5402317" cy="3646805"/>
            <wp:effectExtent l="0" t="0" r="8255" b="0"/>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7B33CA" w14:textId="77777777" w:rsidR="00334F60" w:rsidRPr="00E47E19" w:rsidRDefault="00334F60" w:rsidP="00105E9B">
      <w:pPr>
        <w:pStyle w:val="PS"/>
        <w:spacing w:line="276" w:lineRule="auto"/>
        <w:ind w:firstLine="0"/>
        <w:jc w:val="both"/>
      </w:pPr>
    </w:p>
    <w:p w14:paraId="727EB295" w14:textId="331C8B24" w:rsidR="00524F6F" w:rsidRDefault="00F718AF" w:rsidP="00621CC1">
      <w:pPr>
        <w:pStyle w:val="PC"/>
        <w:spacing w:line="276" w:lineRule="auto"/>
        <w:jc w:val="both"/>
      </w:pPr>
      <w:r>
        <w:t>In the first half of 201</w:t>
      </w:r>
      <w:r w:rsidR="00134AC6">
        <w:t>8</w:t>
      </w:r>
      <w:r>
        <w:t>, the</w:t>
      </w:r>
      <w:r w:rsidR="00134AC6">
        <w:t xml:space="preserve">re was continued stability in the </w:t>
      </w:r>
      <w:r>
        <w:t>ratio of total fee income in the banking system to the scope of activity</w:t>
      </w:r>
      <w:r w:rsidR="001F4878">
        <w:t>,</w:t>
      </w:r>
      <w:r>
        <w:t xml:space="preserve"> </w:t>
      </w:r>
      <w:r w:rsidR="00995BE7">
        <w:t>similar to</w:t>
      </w:r>
      <w:r>
        <w:t xml:space="preserve"> 2016</w:t>
      </w:r>
      <w:r w:rsidR="001F4878">
        <w:t xml:space="preserve"> and 2017</w:t>
      </w:r>
      <w:r>
        <w:t>.</w:t>
      </w:r>
    </w:p>
    <w:p w14:paraId="6912B9F2" w14:textId="77777777" w:rsidR="00621CC1" w:rsidRPr="00621CC1" w:rsidRDefault="00621CC1" w:rsidP="00D63B21">
      <w:pPr>
        <w:pStyle w:val="PS"/>
      </w:pPr>
    </w:p>
    <w:p w14:paraId="0195F50B" w14:textId="786566D3" w:rsidR="00F718AF" w:rsidRDefault="00524F6F" w:rsidP="00621CC1">
      <w:pPr>
        <w:pStyle w:val="PC"/>
        <w:spacing w:line="276" w:lineRule="auto"/>
        <w:jc w:val="both"/>
      </w:pPr>
      <w:r>
        <w:t xml:space="preserve">During the past </w:t>
      </w:r>
      <w:r w:rsidR="00C07D33">
        <w:t>9</w:t>
      </w:r>
      <w:r w:rsidR="00376FAB">
        <w:t xml:space="preserve">½ </w:t>
      </w:r>
      <w:r>
        <w:t xml:space="preserve">years, there was a decline </w:t>
      </w:r>
      <w:r w:rsidR="00C07D33">
        <w:t xml:space="preserve">of </w:t>
      </w:r>
      <w:r>
        <w:t xml:space="preserve">about 29 percent in the share of the banking system’s income </w:t>
      </w:r>
      <w:r w:rsidR="00995BE7">
        <w:t>d</w:t>
      </w:r>
      <w:r w:rsidR="00621CC1">
        <w:t>e</w:t>
      </w:r>
      <w:r w:rsidR="00995BE7">
        <w:t>rive</w:t>
      </w:r>
      <w:r w:rsidR="00621CC1">
        <w:t>d</w:t>
      </w:r>
      <w:r w:rsidR="00995BE7">
        <w:t xml:space="preserve"> from</w:t>
      </w:r>
      <w:r>
        <w:t xml:space="preserve"> fees</w:t>
      </w:r>
      <w:r w:rsidR="00995BE7">
        <w:t>,</w:t>
      </w:r>
      <w:r>
        <w:t xml:space="preserve"> out of total activity. The decline </w:t>
      </w:r>
      <w:r w:rsidR="00442B09">
        <w:t xml:space="preserve">is </w:t>
      </w:r>
      <w:r>
        <w:t xml:space="preserve">attributed to the impact of a range of activities by the Banking Supervision Department in the area of fees. </w:t>
      </w:r>
      <w:r w:rsidR="00F718AF">
        <w:t xml:space="preserve"> </w:t>
      </w:r>
    </w:p>
    <w:p w14:paraId="70E664A9" w14:textId="77777777" w:rsidR="00F718AF" w:rsidRDefault="00F718AF" w:rsidP="0082180B">
      <w:pPr>
        <w:pStyle w:val="PC"/>
        <w:spacing w:line="276" w:lineRule="auto"/>
        <w:jc w:val="both"/>
      </w:pPr>
    </w:p>
    <w:p w14:paraId="51B0940A" w14:textId="77777777" w:rsidR="00334F60" w:rsidRDefault="00334F60" w:rsidP="00105E9B">
      <w:pPr>
        <w:pStyle w:val="PS"/>
        <w:spacing w:line="276" w:lineRule="auto"/>
        <w:ind w:firstLine="0"/>
        <w:jc w:val="both"/>
      </w:pPr>
    </w:p>
    <w:p w14:paraId="7E2C378B" w14:textId="77777777" w:rsidR="00334F60" w:rsidRPr="003B2C05" w:rsidRDefault="00334F60" w:rsidP="00613E7D">
      <w:pPr>
        <w:pStyle w:val="PS"/>
        <w:numPr>
          <w:ilvl w:val="0"/>
          <w:numId w:val="9"/>
        </w:numPr>
        <w:spacing w:line="276" w:lineRule="auto"/>
        <w:ind w:left="360"/>
        <w:jc w:val="both"/>
        <w:rPr>
          <w:b/>
          <w:bCs/>
        </w:rPr>
      </w:pPr>
      <w:r w:rsidRPr="003B2C05">
        <w:rPr>
          <w:b/>
          <w:bCs/>
        </w:rPr>
        <w:lastRenderedPageBreak/>
        <w:t xml:space="preserve">Comparison of common current account fees, comparison of basic </w:t>
      </w:r>
      <w:r w:rsidR="001E20E5">
        <w:rPr>
          <w:b/>
          <w:bCs/>
        </w:rPr>
        <w:t xml:space="preserve">and expanded </w:t>
      </w:r>
      <w:r w:rsidRPr="003B2C05">
        <w:rPr>
          <w:b/>
          <w:bCs/>
        </w:rPr>
        <w:t>track prices at various banks</w:t>
      </w:r>
      <w:r w:rsidRPr="003B2C05">
        <w:rPr>
          <w:rStyle w:val="af2"/>
          <w:b/>
          <w:bCs/>
        </w:rPr>
        <w:footnoteReference w:id="1"/>
      </w:r>
      <w:r w:rsidRPr="003B2C05">
        <w:rPr>
          <w:b/>
          <w:bCs/>
        </w:rPr>
        <w:t>, and cos</w:t>
      </w:r>
      <w:r w:rsidR="007649FC" w:rsidRPr="003B2C05">
        <w:rPr>
          <w:b/>
          <w:bCs/>
        </w:rPr>
        <w:t>t of managing a current account:</w:t>
      </w:r>
    </w:p>
    <w:p w14:paraId="015BCFA1" w14:textId="77777777" w:rsidR="007649FC" w:rsidRDefault="007649FC" w:rsidP="007649FC">
      <w:pPr>
        <w:pStyle w:val="PS"/>
        <w:spacing w:line="276" w:lineRule="auto"/>
        <w:ind w:left="360" w:firstLine="0"/>
        <w:jc w:val="both"/>
        <w:rPr>
          <w:b/>
          <w:bCs/>
          <w:color w:val="0070C0"/>
        </w:rPr>
      </w:pPr>
    </w:p>
    <w:p w14:paraId="3A38F7FB" w14:textId="77777777" w:rsidR="00334F60" w:rsidRDefault="00334F60" w:rsidP="00F66A46">
      <w:pPr>
        <w:pStyle w:val="PS"/>
        <w:spacing w:line="276" w:lineRule="auto"/>
        <w:ind w:firstLine="0"/>
        <w:jc w:val="both"/>
        <w:rPr>
          <w:b/>
          <w:bCs/>
          <w:color w:val="0070C0"/>
        </w:rPr>
      </w:pPr>
      <w:r>
        <w:rPr>
          <w:b/>
          <w:bCs/>
          <w:color w:val="0070C0"/>
        </w:rPr>
        <w:t>2.1 Comparison of fees – teller-executed transaction and customer-executed transaction</w:t>
      </w:r>
    </w:p>
    <w:p w14:paraId="368E1D45" w14:textId="77777777" w:rsidR="00334F60" w:rsidRDefault="00334F60" w:rsidP="00105E9B">
      <w:pPr>
        <w:pStyle w:val="PS"/>
        <w:spacing w:line="276" w:lineRule="auto"/>
        <w:ind w:firstLine="0"/>
        <w:jc w:val="both"/>
        <w:rPr>
          <w:b/>
          <w:bCs/>
          <w:color w:val="0070C0"/>
        </w:rPr>
      </w:pPr>
    </w:p>
    <w:p w14:paraId="0505B125" w14:textId="77777777" w:rsidR="00334F60" w:rsidRDefault="00334F60" w:rsidP="004312AD">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sidRPr="00334F60">
        <w:rPr>
          <w:b/>
          <w:bCs/>
        </w:rPr>
        <w:t>Direct banking saves money</w:t>
      </w:r>
    </w:p>
    <w:p w14:paraId="46697A16" w14:textId="77777777" w:rsidR="00334F60" w:rsidRDefault="00334F60" w:rsidP="00105E9B">
      <w:pPr>
        <w:pStyle w:val="PS"/>
        <w:spacing w:line="276" w:lineRule="auto"/>
        <w:ind w:firstLine="0"/>
        <w:jc w:val="both"/>
        <w:rPr>
          <w:b/>
          <w:bCs/>
        </w:rPr>
      </w:pPr>
    </w:p>
    <w:p w14:paraId="577D66D2" w14:textId="77777777" w:rsidR="00334F60" w:rsidRPr="00D72537" w:rsidRDefault="00334F60" w:rsidP="00A83D0B">
      <w:pPr>
        <w:pStyle w:val="PC"/>
        <w:spacing w:line="276" w:lineRule="auto"/>
        <w:jc w:val="both"/>
        <w:rPr>
          <w:b/>
          <w:bCs/>
        </w:rPr>
      </w:pPr>
      <w:r w:rsidRPr="00B02C5B">
        <w:rPr>
          <w:b/>
          <w:bCs/>
        </w:rPr>
        <w:t>The cost of a customer-executed transaction is about 75 percent less, on average, than the cost of a teller-executed transaction.</w:t>
      </w:r>
      <w:r w:rsidR="00504289" w:rsidRPr="00B02C5B">
        <w:rPr>
          <w:b/>
          <w:bCs/>
        </w:rPr>
        <w:t xml:space="preserve"> </w:t>
      </w:r>
      <w:r w:rsidRPr="00B02C5B">
        <w:rPr>
          <w:b/>
          <w:bCs/>
        </w:rPr>
        <w:t xml:space="preserve">Customers interested in </w:t>
      </w:r>
      <w:r w:rsidR="00AA6619" w:rsidRPr="00B02C5B">
        <w:rPr>
          <w:b/>
          <w:bCs/>
        </w:rPr>
        <w:t xml:space="preserve">reducing </w:t>
      </w:r>
      <w:r w:rsidRPr="00B02C5B">
        <w:rPr>
          <w:b/>
          <w:bCs/>
        </w:rPr>
        <w:t>the fees they pay</w:t>
      </w:r>
      <w:r w:rsidR="00833AB1">
        <w:rPr>
          <w:b/>
          <w:bCs/>
        </w:rPr>
        <w:t>,</w:t>
      </w:r>
      <w:r w:rsidRPr="00B02C5B">
        <w:rPr>
          <w:b/>
          <w:bCs/>
        </w:rPr>
        <w:t xml:space="preserve"> can </w:t>
      </w:r>
      <w:r w:rsidR="00AA6619" w:rsidRPr="00B02C5B">
        <w:rPr>
          <w:b/>
          <w:bCs/>
        </w:rPr>
        <w:t xml:space="preserve">switch to </w:t>
      </w:r>
      <w:r w:rsidRPr="00B02C5B">
        <w:rPr>
          <w:b/>
          <w:bCs/>
        </w:rPr>
        <w:t>advanced technological means offered by direct banking.</w:t>
      </w:r>
      <w:r w:rsidR="00504289" w:rsidRPr="00B02C5B">
        <w:rPr>
          <w:b/>
          <w:bCs/>
        </w:rPr>
        <w:t xml:space="preserve"> </w:t>
      </w:r>
      <w:r w:rsidR="00A02BA4" w:rsidRPr="00B02C5B">
        <w:rPr>
          <w:b/>
          <w:bCs/>
        </w:rPr>
        <w:t>Use of d</w:t>
      </w:r>
      <w:r w:rsidR="00A83D0B" w:rsidRPr="00B02C5B">
        <w:rPr>
          <w:b/>
          <w:bCs/>
        </w:rPr>
        <w:t xml:space="preserve">irect channels </w:t>
      </w:r>
      <w:r w:rsidR="00AA6619" w:rsidRPr="00B02C5B">
        <w:rPr>
          <w:b/>
          <w:bCs/>
        </w:rPr>
        <w:t xml:space="preserve">provides </w:t>
      </w:r>
      <w:r w:rsidR="00A02BA4" w:rsidRPr="00B02C5B">
        <w:rPr>
          <w:b/>
          <w:bCs/>
        </w:rPr>
        <w:t xml:space="preserve">greater availability </w:t>
      </w:r>
      <w:r w:rsidRPr="00B02C5B">
        <w:rPr>
          <w:b/>
          <w:bCs/>
        </w:rPr>
        <w:t>(24/7)</w:t>
      </w:r>
      <w:r w:rsidR="00D72537" w:rsidRPr="00B02C5B">
        <w:rPr>
          <w:b/>
          <w:bCs/>
        </w:rPr>
        <w:t xml:space="preserve">, and </w:t>
      </w:r>
      <w:r w:rsidR="00A02BA4" w:rsidRPr="00B02C5B">
        <w:rPr>
          <w:b/>
          <w:bCs/>
        </w:rPr>
        <w:t xml:space="preserve">maximum </w:t>
      </w:r>
      <w:r w:rsidR="00D72537" w:rsidRPr="00B02C5B">
        <w:rPr>
          <w:b/>
          <w:bCs/>
        </w:rPr>
        <w:t>convenien</w:t>
      </w:r>
      <w:r w:rsidR="00A02BA4" w:rsidRPr="00B02C5B">
        <w:rPr>
          <w:b/>
          <w:bCs/>
        </w:rPr>
        <w:t xml:space="preserve">ce in </w:t>
      </w:r>
      <w:r w:rsidR="00D72537" w:rsidRPr="00B02C5B">
        <w:rPr>
          <w:b/>
          <w:bCs/>
        </w:rPr>
        <w:t>obtaining banking services.</w:t>
      </w:r>
    </w:p>
    <w:p w14:paraId="00DE7569" w14:textId="77777777" w:rsidR="00D72537" w:rsidRDefault="00D72537" w:rsidP="00105E9B">
      <w:pPr>
        <w:pStyle w:val="PS"/>
        <w:spacing w:line="276" w:lineRule="auto"/>
        <w:ind w:firstLine="0"/>
        <w:jc w:val="both"/>
      </w:pPr>
    </w:p>
    <w:p w14:paraId="714AFEEE" w14:textId="77777777" w:rsidR="00590E95" w:rsidRDefault="00590E95" w:rsidP="00B02C5B">
      <w:pPr>
        <w:pStyle w:val="PS"/>
        <w:spacing w:line="276" w:lineRule="auto"/>
        <w:ind w:firstLine="0"/>
        <w:jc w:val="both"/>
        <w:rPr>
          <w:b/>
          <w:bCs/>
        </w:rPr>
      </w:pPr>
      <w:r>
        <w:rPr>
          <w:b/>
          <w:bCs/>
        </w:rPr>
        <w:t xml:space="preserve">The cost of a teller-executed transaction and </w:t>
      </w:r>
      <w:r w:rsidR="00442B09">
        <w:rPr>
          <w:b/>
          <w:bCs/>
        </w:rPr>
        <w:t xml:space="preserve">the cost </w:t>
      </w:r>
      <w:r>
        <w:rPr>
          <w:b/>
          <w:bCs/>
        </w:rPr>
        <w:t xml:space="preserve">of a customer-executed transaction in the banking system, as of </w:t>
      </w:r>
      <w:r w:rsidR="00B02C5B">
        <w:rPr>
          <w:b/>
          <w:bCs/>
        </w:rPr>
        <w:t xml:space="preserve">March </w:t>
      </w:r>
      <w:r>
        <w:rPr>
          <w:b/>
          <w:bCs/>
        </w:rPr>
        <w:t>1, 201</w:t>
      </w:r>
      <w:r w:rsidR="00B02C5B">
        <w:rPr>
          <w:b/>
          <w:bCs/>
        </w:rPr>
        <w:t>9</w:t>
      </w:r>
    </w:p>
    <w:p w14:paraId="6522DCBB" w14:textId="77777777" w:rsidR="00590E95" w:rsidRDefault="00590E95" w:rsidP="00105E9B">
      <w:pPr>
        <w:pStyle w:val="PS"/>
        <w:spacing w:line="276" w:lineRule="auto"/>
        <w:ind w:firstLine="0"/>
        <w:jc w:val="both"/>
      </w:pPr>
    </w:p>
    <w:p w14:paraId="057AE973" w14:textId="4774F000" w:rsidR="00590E95" w:rsidRDefault="00CC152B" w:rsidP="00105E9B">
      <w:pPr>
        <w:pStyle w:val="PS"/>
        <w:spacing w:line="276" w:lineRule="auto"/>
        <w:ind w:firstLine="0"/>
        <w:jc w:val="both"/>
      </w:pPr>
      <w:r w:rsidRPr="00CC152B">
        <w:rPr>
          <w:noProof/>
          <w:lang w:bidi="he-IL"/>
        </w:rPr>
        <w:drawing>
          <wp:inline distT="0" distB="0" distL="0" distR="0" wp14:anchorId="063A98D9" wp14:editId="48880496">
            <wp:extent cx="5274310" cy="287987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879878"/>
                    </a:xfrm>
                    <a:prstGeom prst="rect">
                      <a:avLst/>
                    </a:prstGeom>
                    <a:noFill/>
                    <a:ln>
                      <a:noFill/>
                    </a:ln>
                  </pic:spPr>
                </pic:pic>
              </a:graphicData>
            </a:graphic>
          </wp:inline>
        </w:drawing>
      </w:r>
    </w:p>
    <w:p w14:paraId="575A8963" w14:textId="77777777" w:rsidR="00590E95" w:rsidRDefault="00590E95" w:rsidP="00105E9B">
      <w:pPr>
        <w:pStyle w:val="PS"/>
        <w:spacing w:line="276" w:lineRule="auto"/>
        <w:ind w:firstLine="0"/>
        <w:jc w:val="both"/>
      </w:pPr>
    </w:p>
    <w:p w14:paraId="4755860A" w14:textId="77777777" w:rsidR="00D72537" w:rsidRDefault="00D72537" w:rsidP="000278D8">
      <w:pPr>
        <w:pStyle w:val="PS"/>
        <w:spacing w:line="276" w:lineRule="auto"/>
        <w:ind w:firstLine="0"/>
        <w:jc w:val="both"/>
      </w:pPr>
      <w:r>
        <w:t xml:space="preserve">A </w:t>
      </w:r>
      <w:r w:rsidRPr="00D72537">
        <w:rPr>
          <w:b/>
          <w:bCs/>
        </w:rPr>
        <w:t>“teller-executed transaction”</w:t>
      </w:r>
      <w:r>
        <w:t xml:space="preserve"> includes </w:t>
      </w:r>
      <w:r>
        <w:rPr>
          <w:u w:val="single"/>
        </w:rPr>
        <w:t>each</w:t>
      </w:r>
      <w:r>
        <w:t xml:space="preserve"> of the following: depositing cash, withdrawing cash, </w:t>
      </w:r>
      <w:r w:rsidR="00AA6619">
        <w:t xml:space="preserve">generating </w:t>
      </w:r>
      <w:r>
        <w:t>and providing printouts at the customer’s request, transfer</w:t>
      </w:r>
      <w:r w:rsidR="00AA6619">
        <w:t>ring</w:t>
      </w:r>
      <w:r>
        <w:t xml:space="preserve"> or deposit</w:t>
      </w:r>
      <w:r w:rsidR="00AA6619">
        <w:t>ing</w:t>
      </w:r>
      <w:r>
        <w:t xml:space="preserve"> to another account, </w:t>
      </w:r>
      <w:r w:rsidR="000278D8">
        <w:t xml:space="preserve">cashing </w:t>
      </w:r>
      <w:r>
        <w:t>a check, depositing a check (for every batch of up to 20 checks), pay</w:t>
      </w:r>
      <w:r w:rsidR="00AA6619">
        <w:t xml:space="preserve">ing </w:t>
      </w:r>
      <w:r>
        <w:t>a voucher, obtaining change.</w:t>
      </w:r>
    </w:p>
    <w:p w14:paraId="3703F6C4" w14:textId="77777777" w:rsidR="00D72537" w:rsidRDefault="00D72537" w:rsidP="00105E9B">
      <w:pPr>
        <w:pStyle w:val="PS"/>
        <w:spacing w:line="276" w:lineRule="auto"/>
        <w:ind w:firstLine="0"/>
        <w:jc w:val="both"/>
      </w:pPr>
    </w:p>
    <w:p w14:paraId="2E1E7B78" w14:textId="77777777" w:rsidR="00D72537" w:rsidRDefault="00D72537" w:rsidP="00105E9B">
      <w:pPr>
        <w:pStyle w:val="PS"/>
        <w:spacing w:line="276" w:lineRule="auto"/>
        <w:ind w:firstLine="0"/>
        <w:jc w:val="both"/>
      </w:pPr>
      <w:r>
        <w:lastRenderedPageBreak/>
        <w:t xml:space="preserve">This fee is collected where these transactions are made </w:t>
      </w:r>
      <w:r w:rsidR="001D6453">
        <w:t xml:space="preserve">via </w:t>
      </w:r>
      <w:r>
        <w:t>a bank teller, including through a manned call center.</w:t>
      </w:r>
    </w:p>
    <w:p w14:paraId="62738242" w14:textId="77777777" w:rsidR="00D72537" w:rsidRDefault="00D72537" w:rsidP="00105E9B">
      <w:pPr>
        <w:pStyle w:val="PS"/>
        <w:spacing w:line="276" w:lineRule="auto"/>
        <w:ind w:firstLine="0"/>
        <w:jc w:val="both"/>
      </w:pPr>
    </w:p>
    <w:p w14:paraId="04590BC0" w14:textId="4EAF2C25" w:rsidR="00D72537" w:rsidRDefault="00D72537" w:rsidP="004C09A8">
      <w:pPr>
        <w:pStyle w:val="PS"/>
        <w:spacing w:line="276" w:lineRule="auto"/>
        <w:ind w:firstLine="0"/>
        <w:jc w:val="both"/>
      </w:pPr>
      <w:r>
        <w:t xml:space="preserve">A </w:t>
      </w:r>
      <w:r>
        <w:rPr>
          <w:b/>
          <w:bCs/>
        </w:rPr>
        <w:t>“customer-executed transaction”</w:t>
      </w:r>
      <w:r>
        <w:t xml:space="preserve"> includes </w:t>
      </w:r>
      <w:r>
        <w:rPr>
          <w:u w:val="single"/>
        </w:rPr>
        <w:t>each</w:t>
      </w:r>
      <w:r>
        <w:t xml:space="preserve"> of the following: Crediting an account through a </w:t>
      </w:r>
      <w:r w:rsidR="001D6453">
        <w:t>clearing house</w:t>
      </w:r>
      <w:r>
        <w:t xml:space="preserve">, charging </w:t>
      </w:r>
      <w:r w:rsidR="00FF08F8">
        <w:t xml:space="preserve">via </w:t>
      </w:r>
      <w:r>
        <w:t>a credit card, depositing cash through an AT</w:t>
      </w:r>
      <w:r w:rsidRPr="00440663">
        <w:t xml:space="preserve">M, </w:t>
      </w:r>
      <w:r w:rsidRPr="002D4EAF">
        <w:t>transfer</w:t>
      </w:r>
      <w:r w:rsidR="00FF08F8" w:rsidRPr="002D4EAF">
        <w:t>ring</w:t>
      </w:r>
      <w:r w:rsidR="00440663" w:rsidRPr="002D4EAF">
        <w:t xml:space="preserve"> or depositing</w:t>
      </w:r>
      <w:r w:rsidR="00FF08F8" w:rsidRPr="002D4EAF">
        <w:t xml:space="preserve"> </w:t>
      </w:r>
      <w:r w:rsidRPr="002D4EAF">
        <w:t>to another account</w:t>
      </w:r>
      <w:r w:rsidRPr="00440663">
        <w:t>,</w:t>
      </w:r>
      <w:r>
        <w:t xml:space="preserve"> pay</w:t>
      </w:r>
      <w:r w:rsidR="00FF08F8">
        <w:t xml:space="preserve">ing </w:t>
      </w:r>
      <w:r>
        <w:t>a voucher, information query on any matter (from the seventh query per month</w:t>
      </w:r>
      <w:r w:rsidRPr="002D43C9">
        <w:t xml:space="preserve">), </w:t>
      </w:r>
      <w:r w:rsidR="00AC4F3E" w:rsidRPr="002D43C9">
        <w:t xml:space="preserve">withdrawing </w:t>
      </w:r>
      <w:r w:rsidRPr="002D43C9">
        <w:t>a check</w:t>
      </w:r>
      <w:r>
        <w:t>, depositing a check (for every batch of up to 20 checks) including through a service box, charging an account through a</w:t>
      </w:r>
      <w:r w:rsidR="00877BE1">
        <w:t xml:space="preserve">n authorized </w:t>
      </w:r>
      <w:r>
        <w:t>debit or standing bank order.</w:t>
      </w:r>
    </w:p>
    <w:p w14:paraId="67247C32" w14:textId="77777777" w:rsidR="00D72537" w:rsidRDefault="00D72537" w:rsidP="00105E9B">
      <w:pPr>
        <w:pStyle w:val="PS"/>
        <w:spacing w:line="276" w:lineRule="auto"/>
        <w:ind w:firstLine="0"/>
        <w:jc w:val="both"/>
      </w:pPr>
    </w:p>
    <w:p w14:paraId="7DBD73E2" w14:textId="77777777" w:rsidR="00D72537" w:rsidRDefault="00D72537" w:rsidP="00FF08F8">
      <w:pPr>
        <w:pStyle w:val="PS"/>
        <w:spacing w:line="276" w:lineRule="auto"/>
        <w:ind w:firstLine="0"/>
        <w:jc w:val="both"/>
      </w:pPr>
      <w:r>
        <w:t xml:space="preserve">This fee is collected where these transactions are made through a </w:t>
      </w:r>
      <w:r w:rsidR="005A7EAF">
        <w:t>clearing house</w:t>
      </w:r>
      <w:r>
        <w:t xml:space="preserve">, ATM, the bank’s website, or </w:t>
      </w:r>
      <w:r w:rsidR="00FF08F8">
        <w:t xml:space="preserve">mobile </w:t>
      </w:r>
      <w:r>
        <w:t>phone application.</w:t>
      </w:r>
    </w:p>
    <w:p w14:paraId="6813B09E" w14:textId="77777777" w:rsidR="00327BD6" w:rsidRDefault="00327BD6" w:rsidP="00105E9B">
      <w:pPr>
        <w:pStyle w:val="PS"/>
        <w:spacing w:line="276" w:lineRule="auto"/>
        <w:ind w:firstLine="0"/>
        <w:jc w:val="both"/>
      </w:pPr>
    </w:p>
    <w:p w14:paraId="566B7FA1" w14:textId="422ABAEB" w:rsidR="00403605" w:rsidRDefault="00224A1C" w:rsidP="004A2311">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Pr>
          <w:b/>
          <w:bCs/>
        </w:rPr>
        <w:t xml:space="preserve">The trend of </w:t>
      </w:r>
      <w:r w:rsidR="00403605">
        <w:rPr>
          <w:b/>
          <w:bCs/>
        </w:rPr>
        <w:t>shift</w:t>
      </w:r>
      <w:r>
        <w:rPr>
          <w:b/>
          <w:bCs/>
        </w:rPr>
        <w:t>ing</w:t>
      </w:r>
      <w:r w:rsidR="00403605">
        <w:rPr>
          <w:b/>
          <w:bCs/>
        </w:rPr>
        <w:t xml:space="preserve"> to carrying out banking transactions via direct channels</w:t>
      </w:r>
      <w:r>
        <w:rPr>
          <w:b/>
          <w:bCs/>
        </w:rPr>
        <w:t xml:space="preserve"> continues</w:t>
      </w:r>
    </w:p>
    <w:p w14:paraId="750C2258" w14:textId="77777777" w:rsidR="00327BD6" w:rsidRDefault="00327BD6" w:rsidP="00105E9B">
      <w:pPr>
        <w:pStyle w:val="PS"/>
        <w:spacing w:line="276" w:lineRule="auto"/>
        <w:ind w:firstLine="0"/>
        <w:jc w:val="both"/>
      </w:pPr>
    </w:p>
    <w:p w14:paraId="6D8E8885" w14:textId="77777777" w:rsidR="00327BD6" w:rsidRPr="00403605" w:rsidRDefault="00403605" w:rsidP="00403605">
      <w:pPr>
        <w:pStyle w:val="PS"/>
        <w:spacing w:line="276" w:lineRule="auto"/>
        <w:ind w:firstLine="0"/>
      </w:pPr>
      <w:r w:rsidRPr="00403605">
        <w:t>Following are examples of common activities carried out through those channels:</w:t>
      </w:r>
    </w:p>
    <w:p w14:paraId="10184E94" w14:textId="77777777" w:rsidR="00334F60" w:rsidRDefault="00334F60" w:rsidP="00105E9B">
      <w:pPr>
        <w:pStyle w:val="PC"/>
        <w:spacing w:line="276" w:lineRule="auto"/>
        <w:jc w:val="both"/>
      </w:pPr>
    </w:p>
    <w:p w14:paraId="0F8B4BC6" w14:textId="514EB31B" w:rsidR="00FF08F8" w:rsidRDefault="0042605D">
      <w:pPr>
        <w:pStyle w:val="PS"/>
        <w:ind w:firstLine="0"/>
        <w:rPr>
          <w:b/>
          <w:bCs/>
        </w:rPr>
      </w:pPr>
      <w:r>
        <w:rPr>
          <w:b/>
          <w:bCs/>
        </w:rPr>
        <w:t>P</w:t>
      </w:r>
      <w:r w:rsidR="00403605">
        <w:rPr>
          <w:b/>
          <w:bCs/>
        </w:rPr>
        <w:t xml:space="preserve">ercentage </w:t>
      </w:r>
      <w:r w:rsidR="00FF08F8" w:rsidRPr="007C39C0">
        <w:rPr>
          <w:b/>
          <w:bCs/>
        </w:rPr>
        <w:t>of customer-</w:t>
      </w:r>
      <w:r w:rsidR="00FF08F8" w:rsidRPr="006B4C84">
        <w:rPr>
          <w:b/>
          <w:bCs/>
        </w:rPr>
        <w:t xml:space="preserve">executed </w:t>
      </w:r>
      <w:proofErr w:type="spellStart"/>
      <w:r w:rsidR="00FF08F8" w:rsidRPr="00DA6521">
        <w:rPr>
          <w:b/>
          <w:bCs/>
        </w:rPr>
        <w:t>transactions</w:t>
      </w:r>
      <w:r w:rsidR="00D74D4B" w:rsidRPr="008E5CCA">
        <w:rPr>
          <w:b/>
          <w:bCs/>
          <w:vertAlign w:val="superscript"/>
        </w:rPr>
        <w:t>a</w:t>
      </w:r>
      <w:proofErr w:type="spellEnd"/>
      <w:r w:rsidR="00D74D4B" w:rsidRPr="006B4C84">
        <w:rPr>
          <w:b/>
          <w:bCs/>
        </w:rPr>
        <w:t xml:space="preserve"> </w:t>
      </w:r>
      <w:r w:rsidR="00FF08F8" w:rsidRPr="006B4C84">
        <w:rPr>
          <w:b/>
          <w:bCs/>
        </w:rPr>
        <w:t>out</w:t>
      </w:r>
      <w:r w:rsidR="00FF08F8" w:rsidRPr="007C39C0">
        <w:rPr>
          <w:b/>
          <w:bCs/>
        </w:rPr>
        <w:t xml:space="preserve"> of total common current-account transactions, </w:t>
      </w:r>
      <w:r w:rsidR="00403605">
        <w:rPr>
          <w:b/>
          <w:bCs/>
        </w:rPr>
        <w:t>by type of activity</w:t>
      </w:r>
    </w:p>
    <w:p w14:paraId="6476CDAC" w14:textId="447E25FB" w:rsidR="00D74D4B" w:rsidRDefault="00D74D4B" w:rsidP="00403605">
      <w:pPr>
        <w:pStyle w:val="PS"/>
        <w:ind w:firstLine="0"/>
        <w:rPr>
          <w:b/>
          <w:bCs/>
        </w:rPr>
      </w:pPr>
      <w:r>
        <w:rPr>
          <w:b/>
          <w:bCs/>
        </w:rPr>
        <w:t>2018 compared with 2017 and 2016</w:t>
      </w:r>
    </w:p>
    <w:p w14:paraId="3683E7E0" w14:textId="77777777" w:rsidR="004677D6" w:rsidRDefault="004677D6" w:rsidP="00403605">
      <w:pPr>
        <w:pStyle w:val="PS"/>
        <w:ind w:firstLine="0"/>
        <w:rPr>
          <w:b/>
          <w:bCs/>
        </w:rPr>
      </w:pPr>
    </w:p>
    <w:p w14:paraId="7E6F568F" w14:textId="5339FDBB" w:rsidR="00D74D4B" w:rsidRDefault="00D74D4B" w:rsidP="00403605">
      <w:pPr>
        <w:pStyle w:val="PS"/>
        <w:ind w:firstLine="0"/>
        <w:rPr>
          <w:b/>
          <w:bCs/>
        </w:rPr>
      </w:pPr>
    </w:p>
    <w:p w14:paraId="0D2B99B1" w14:textId="335D724B" w:rsidR="00D74D4B" w:rsidRPr="007C39C0" w:rsidRDefault="004677D6" w:rsidP="00403605">
      <w:pPr>
        <w:pStyle w:val="PS"/>
        <w:ind w:firstLine="0"/>
        <w:rPr>
          <w:b/>
          <w:bCs/>
        </w:rPr>
      </w:pPr>
      <w:r>
        <w:rPr>
          <w:noProof/>
          <w:snapToGrid/>
          <w:lang w:bidi="he-IL"/>
        </w:rPr>
        <w:lastRenderedPageBreak/>
        <w:drawing>
          <wp:inline distT="0" distB="0" distL="0" distR="0" wp14:anchorId="22F67087" wp14:editId="3BA07D73">
            <wp:extent cx="5805805" cy="4061638"/>
            <wp:effectExtent l="0" t="0" r="4445" b="1524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E6B3C2" w14:textId="77777777" w:rsidR="00FF08F8" w:rsidRDefault="00FF08F8" w:rsidP="00FF08F8">
      <w:pPr>
        <w:pStyle w:val="PS"/>
      </w:pPr>
    </w:p>
    <w:p w14:paraId="468B0898" w14:textId="4C9431AE" w:rsidR="003E50D6" w:rsidRPr="00FF08F8" w:rsidRDefault="003E50D6" w:rsidP="00FF08F8">
      <w:pPr>
        <w:pStyle w:val="PS"/>
      </w:pPr>
    </w:p>
    <w:p w14:paraId="5ED59771" w14:textId="77777777" w:rsidR="00403605" w:rsidRPr="00687E00" w:rsidRDefault="00403605" w:rsidP="00403605">
      <w:pPr>
        <w:pStyle w:val="PS"/>
        <w:spacing w:line="276" w:lineRule="auto"/>
        <w:ind w:left="720" w:firstLine="0"/>
        <w:jc w:val="both"/>
        <w:rPr>
          <w:highlight w:val="yellow"/>
        </w:rPr>
      </w:pPr>
    </w:p>
    <w:p w14:paraId="431FBD4A" w14:textId="77777777" w:rsidR="00FB5C39" w:rsidRDefault="00FB5C39">
      <w:pPr>
        <w:rPr>
          <w:sz w:val="24"/>
          <w:szCs w:val="24"/>
        </w:rPr>
      </w:pPr>
      <w:r>
        <w:br w:type="page"/>
      </w:r>
    </w:p>
    <w:p w14:paraId="33ADA7A9" w14:textId="77777777" w:rsidR="005A7EAF" w:rsidRDefault="005A7EAF" w:rsidP="00105E9B">
      <w:pPr>
        <w:pStyle w:val="PS"/>
        <w:spacing w:line="276" w:lineRule="auto"/>
        <w:ind w:firstLine="0"/>
        <w:jc w:val="both"/>
        <w:rPr>
          <w:b/>
          <w:bCs/>
          <w:color w:val="0070C0"/>
        </w:rPr>
      </w:pPr>
      <w:r>
        <w:rPr>
          <w:b/>
          <w:bCs/>
          <w:color w:val="0070C0"/>
        </w:rPr>
        <w:lastRenderedPageBreak/>
        <w:t>2.</w:t>
      </w:r>
      <w:r w:rsidR="008E7466">
        <w:rPr>
          <w:b/>
          <w:bCs/>
          <w:color w:val="0070C0"/>
        </w:rPr>
        <w:t>2</w:t>
      </w:r>
      <w:r>
        <w:rPr>
          <w:b/>
          <w:bCs/>
          <w:color w:val="0070C0"/>
        </w:rPr>
        <w:t xml:space="preserve"> The fee tracks service</w:t>
      </w:r>
    </w:p>
    <w:p w14:paraId="2805C7D3" w14:textId="77777777" w:rsidR="00A30C2C" w:rsidRDefault="00A30C2C" w:rsidP="00105E9B">
      <w:pPr>
        <w:pStyle w:val="PS"/>
        <w:spacing w:line="276" w:lineRule="auto"/>
        <w:ind w:firstLine="0"/>
        <w:jc w:val="both"/>
        <w:rPr>
          <w:b/>
          <w:bCs/>
          <w:color w:val="0070C0"/>
        </w:rPr>
      </w:pPr>
    </w:p>
    <w:p w14:paraId="00CFC3CC" w14:textId="77777777" w:rsidR="005A7EAF" w:rsidRDefault="005A7EAF" w:rsidP="00C36E60">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sidRPr="00896205">
        <w:rPr>
          <w:b/>
          <w:bCs/>
        </w:rPr>
        <w:t>The fee tracks service</w:t>
      </w:r>
      <w:r w:rsidR="005403B7">
        <w:rPr>
          <w:b/>
          <w:bCs/>
        </w:rPr>
        <w:t>—a uniform and supervised basket of services</w:t>
      </w:r>
      <w:r w:rsidRPr="00896205">
        <w:rPr>
          <w:b/>
          <w:bCs/>
        </w:rPr>
        <w:t xml:space="preserve"> </w:t>
      </w:r>
      <w:r w:rsidR="005403B7">
        <w:rPr>
          <w:b/>
          <w:bCs/>
        </w:rPr>
        <w:t>for managing a current account</w:t>
      </w:r>
    </w:p>
    <w:p w14:paraId="3D9709EE" w14:textId="77777777" w:rsidR="00C36E60" w:rsidRDefault="00C36E60" w:rsidP="00C36E60">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p>
    <w:p w14:paraId="6664B85E" w14:textId="0759DFC1" w:rsidR="00A63E77" w:rsidRDefault="00A63E77" w:rsidP="00C36E60">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Pr>
          <w:b/>
          <w:bCs/>
        </w:rPr>
        <w:t>Banking Supervision Department data indicate that 6</w:t>
      </w:r>
      <w:r w:rsidR="007C6158">
        <w:rPr>
          <w:b/>
          <w:bCs/>
        </w:rPr>
        <w:t>4</w:t>
      </w:r>
      <w:r>
        <w:rPr>
          <w:b/>
          <w:bCs/>
        </w:rPr>
        <w:t xml:space="preserve"> percent of total accounts pay less than NIS 10 per month</w:t>
      </w:r>
      <w:r w:rsidR="00DD708B">
        <w:rPr>
          <w:b/>
          <w:bCs/>
        </w:rPr>
        <w:t xml:space="preserve"> on average</w:t>
      </w:r>
      <w:r>
        <w:rPr>
          <w:b/>
          <w:bCs/>
        </w:rPr>
        <w:t xml:space="preserve">. An additional </w:t>
      </w:r>
      <w:r w:rsidR="007C6158">
        <w:rPr>
          <w:b/>
          <w:bCs/>
        </w:rPr>
        <w:t>9</w:t>
      </w:r>
      <w:r>
        <w:rPr>
          <w:b/>
          <w:bCs/>
        </w:rPr>
        <w:t xml:space="preserve"> percent already joined the tracks service. For the remaining </w:t>
      </w:r>
      <w:r w:rsidR="007C6158">
        <w:rPr>
          <w:b/>
          <w:bCs/>
        </w:rPr>
        <w:t xml:space="preserve">27 </w:t>
      </w:r>
      <w:r>
        <w:rPr>
          <w:b/>
          <w:bCs/>
        </w:rPr>
        <w:t>percent, it is recommended to consider joining the service.</w:t>
      </w:r>
    </w:p>
    <w:p w14:paraId="4101C956" w14:textId="77777777" w:rsidR="00A30C2C" w:rsidRPr="00896205" w:rsidRDefault="00A30C2C" w:rsidP="00105E9B">
      <w:pPr>
        <w:pStyle w:val="PS"/>
        <w:spacing w:line="276" w:lineRule="auto"/>
        <w:ind w:firstLine="0"/>
        <w:jc w:val="both"/>
        <w:rPr>
          <w:b/>
          <w:bCs/>
        </w:rPr>
      </w:pPr>
    </w:p>
    <w:p w14:paraId="7C95C440" w14:textId="77777777" w:rsidR="005A7EAF" w:rsidRDefault="005A7EAF" w:rsidP="00B57946">
      <w:pPr>
        <w:pStyle w:val="PS"/>
        <w:spacing w:line="276" w:lineRule="auto"/>
        <w:ind w:firstLine="0"/>
        <w:jc w:val="both"/>
      </w:pPr>
      <w:r>
        <w:t>Beginning on April 1, 2014, banks are required to offer their customers the fee tracks service (basic and expanded) in a current account, meaning a fixed monthly payment for carrying out several predefined activities (teller-executed</w:t>
      </w:r>
      <w:r w:rsidR="00B57946">
        <w:t xml:space="preserve"> and customer executed</w:t>
      </w:r>
      <w:r>
        <w:t xml:space="preserve">). A bank that chooses, </w:t>
      </w:r>
      <w:r w:rsidRPr="00E7578B">
        <w:t xml:space="preserve">may also offer an expanded-plus </w:t>
      </w:r>
      <w:r w:rsidR="00454BB5" w:rsidRPr="00E7578B">
        <w:t>track.</w:t>
      </w:r>
    </w:p>
    <w:p w14:paraId="1896CD8E" w14:textId="77777777" w:rsidR="001D5E17" w:rsidRDefault="001D5E17" w:rsidP="00B57946">
      <w:pPr>
        <w:pStyle w:val="PS"/>
        <w:spacing w:line="276" w:lineRule="auto"/>
        <w:ind w:firstLine="0"/>
        <w:jc w:val="both"/>
      </w:pPr>
      <w:r>
        <w:t>Over the years and as a direct result of the Banking Supervision Department’s activities, the percentage of customers who were offered to join the tracks service has declined gradually, from 30 percent in 2016 to 27 percent in the first half of 2018, indicating that more customers are paying lower amounts of fees in their current account.</w:t>
      </w:r>
    </w:p>
    <w:p w14:paraId="3F074E99" w14:textId="048963B8" w:rsidR="00056309" w:rsidRPr="00A63E77" w:rsidRDefault="00454BB5" w:rsidP="00105E9B">
      <w:pPr>
        <w:pStyle w:val="PS"/>
        <w:spacing w:line="276" w:lineRule="auto"/>
        <w:ind w:firstLine="0"/>
        <w:jc w:val="both"/>
        <w:rPr>
          <w:b/>
          <w:bCs/>
        </w:rPr>
      </w:pPr>
      <w:r w:rsidRPr="00A63E77">
        <w:rPr>
          <w:b/>
          <w:bCs/>
        </w:rPr>
        <w:t>Joining the tracks service is easy and straightforward, and can be done via a clerk at the branch or via direct means.</w:t>
      </w:r>
    </w:p>
    <w:p w14:paraId="17B163C4" w14:textId="77777777" w:rsidR="00A63E77" w:rsidRDefault="00A63E77" w:rsidP="00DD708B">
      <w:pPr>
        <w:pStyle w:val="PS"/>
        <w:spacing w:line="276" w:lineRule="auto"/>
        <w:ind w:firstLine="0"/>
        <w:jc w:val="both"/>
        <w:rPr>
          <w:b/>
          <w:bCs/>
        </w:rPr>
      </w:pPr>
    </w:p>
    <w:p w14:paraId="0B4D0496" w14:textId="4F9E12BE" w:rsidR="00A63E77" w:rsidRPr="00B772C2" w:rsidRDefault="00B57946" w:rsidP="00965353">
      <w:pPr>
        <w:pStyle w:val="PS"/>
        <w:spacing w:line="276" w:lineRule="auto"/>
        <w:ind w:firstLine="0"/>
        <w:jc w:val="center"/>
        <w:rPr>
          <w:b/>
          <w:bCs/>
        </w:rPr>
      </w:pPr>
      <w:r>
        <w:rPr>
          <w:b/>
          <w:bCs/>
        </w:rPr>
        <w:t xml:space="preserve">Segmentation </w:t>
      </w:r>
      <w:r w:rsidR="00A63E77" w:rsidRPr="00B772C2">
        <w:rPr>
          <w:b/>
          <w:bCs/>
        </w:rPr>
        <w:t>of accounts (thousands)</w:t>
      </w:r>
      <w:r w:rsidR="0083447E">
        <w:rPr>
          <w:b/>
          <w:bCs/>
        </w:rPr>
        <w:t xml:space="preserve">—enrollment in </w:t>
      </w:r>
      <w:r w:rsidR="00A63E77" w:rsidRPr="00B772C2">
        <w:rPr>
          <w:b/>
          <w:bCs/>
        </w:rPr>
        <w:t>fees track, June 30, 201</w:t>
      </w:r>
      <w:r w:rsidR="0068252A">
        <w:rPr>
          <w:b/>
          <w:bCs/>
        </w:rPr>
        <w:t>8</w:t>
      </w:r>
      <w:r w:rsidR="00DD708B">
        <w:rPr>
          <w:rStyle w:val="af2"/>
          <w:b/>
          <w:bCs/>
        </w:rPr>
        <w:footnoteReference w:id="2"/>
      </w:r>
    </w:p>
    <w:p w14:paraId="24B5B2AE" w14:textId="5BAF14D1" w:rsidR="0083447E" w:rsidRDefault="00396DE2" w:rsidP="00A30C2C">
      <w:pPr>
        <w:pStyle w:val="PS"/>
        <w:spacing w:line="276" w:lineRule="auto"/>
        <w:ind w:firstLine="0"/>
        <w:jc w:val="both"/>
      </w:pPr>
      <w:r>
        <w:rPr>
          <w:noProof/>
          <w:snapToGrid/>
          <w:lang w:bidi="he-IL"/>
        </w:rPr>
        <mc:AlternateContent>
          <mc:Choice Requires="wps">
            <w:drawing>
              <wp:anchor distT="0" distB="0" distL="114300" distR="114300" simplePos="0" relativeHeight="251659264" behindDoc="0" locked="0" layoutInCell="1" allowOverlap="1" wp14:anchorId="3529F6D3" wp14:editId="6FA3269A">
                <wp:simplePos x="0" y="0"/>
                <wp:positionH relativeFrom="column">
                  <wp:posOffset>645161</wp:posOffset>
                </wp:positionH>
                <wp:positionV relativeFrom="paragraph">
                  <wp:posOffset>484505</wp:posOffset>
                </wp:positionV>
                <wp:extent cx="220980" cy="896296"/>
                <wp:effectExtent l="133350" t="0" r="255270" b="0"/>
                <wp:wrapNone/>
                <wp:docPr id="6" name="סוגר מסולסל שמאלי 2"/>
                <wp:cNvGraphicFramePr/>
                <a:graphic xmlns:a="http://schemas.openxmlformats.org/drawingml/2006/main">
                  <a:graphicData uri="http://schemas.microsoft.com/office/word/2010/wordprocessingShape">
                    <wps:wsp>
                      <wps:cNvSpPr/>
                      <wps:spPr>
                        <a:xfrm rot="2219274">
                          <a:off x="0" y="0"/>
                          <a:ext cx="220980" cy="896296"/>
                        </a:xfrm>
                        <a:prstGeom prst="leftBrace">
                          <a:avLst>
                            <a:gd name="adj1" fmla="val 111638"/>
                            <a:gd name="adj2" fmla="val 26724"/>
                          </a:avLst>
                        </a:prstGeom>
                      </wps:spPr>
                      <wps:style>
                        <a:lnRef idx="1">
                          <a:schemeClr val="accent1"/>
                        </a:lnRef>
                        <a:fillRef idx="0">
                          <a:schemeClr val="accent1"/>
                        </a:fillRef>
                        <a:effectRef idx="0">
                          <a:schemeClr val="accent1"/>
                        </a:effectRef>
                        <a:fontRef idx="minor">
                          <a:schemeClr val="tx1"/>
                        </a:fontRef>
                      </wps:style>
                      <wps:bodyPr vertOverflow="clip" horzOverflow="clip" wrap="square" rtlCol="1" anchor="t">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753C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margin-left:50.8pt;margin-top:38.15pt;width:17.4pt;height:70.55pt;rotation:2424039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" adj="5945,5772" strokecolor="#4579b8 [3044]"/>
            </w:pict>
          </mc:Fallback>
        </mc:AlternateContent>
      </w:r>
      <w:r w:rsidR="00F02080" w:rsidRPr="00F02080">
        <w:rPr>
          <w:noProof/>
          <w:lang w:bidi="he-IL"/>
        </w:rPr>
        <w:drawing>
          <wp:inline distT="0" distB="0" distL="0" distR="0" wp14:anchorId="0B03F861" wp14:editId="6D91E0A1">
            <wp:extent cx="4324350" cy="30912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9793" cy="3095093"/>
                    </a:xfrm>
                    <a:prstGeom prst="rect">
                      <a:avLst/>
                    </a:prstGeom>
                    <a:noFill/>
                    <a:ln>
                      <a:noFill/>
                    </a:ln>
                  </pic:spPr>
                </pic:pic>
              </a:graphicData>
            </a:graphic>
          </wp:inline>
        </w:drawing>
      </w:r>
    </w:p>
    <w:p w14:paraId="3998C50B" w14:textId="77777777" w:rsidR="00F02080" w:rsidRDefault="00F02080" w:rsidP="00A30C2C">
      <w:pPr>
        <w:pStyle w:val="PS"/>
        <w:spacing w:line="276" w:lineRule="auto"/>
        <w:ind w:firstLine="0"/>
        <w:jc w:val="both"/>
      </w:pPr>
    </w:p>
    <w:p w14:paraId="5C195E1F" w14:textId="77777777" w:rsidR="002B2333" w:rsidRPr="00896205" w:rsidRDefault="002B2333" w:rsidP="00EB39EB">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sidRPr="00896205">
        <w:rPr>
          <w:b/>
          <w:bCs/>
        </w:rPr>
        <w:t>The basic service track for households</w:t>
      </w:r>
    </w:p>
    <w:p w14:paraId="543CA327" w14:textId="77777777" w:rsidR="005A7EAF" w:rsidRDefault="005A7EAF" w:rsidP="00105E9B">
      <w:pPr>
        <w:pStyle w:val="PS"/>
        <w:spacing w:line="276" w:lineRule="auto"/>
        <w:ind w:firstLine="0"/>
        <w:jc w:val="both"/>
      </w:pPr>
    </w:p>
    <w:p w14:paraId="354BEB7B" w14:textId="77777777" w:rsidR="00B772C2" w:rsidRPr="00B772C2" w:rsidRDefault="00B772C2" w:rsidP="00B772C2">
      <w:pPr>
        <w:pStyle w:val="PS"/>
        <w:spacing w:line="276" w:lineRule="auto"/>
        <w:ind w:firstLine="0"/>
        <w:jc w:val="both"/>
        <w:rPr>
          <w:b/>
          <w:bCs/>
        </w:rPr>
      </w:pPr>
      <w:r w:rsidRPr="00B772C2">
        <w:rPr>
          <w:b/>
          <w:bCs/>
        </w:rPr>
        <w:t>Cost comparison by: Teller-executed and customer-executed</w:t>
      </w:r>
      <w:r w:rsidR="00A87F42">
        <w:rPr>
          <w:b/>
          <w:bCs/>
        </w:rPr>
        <w:t>*</w:t>
      </w:r>
      <w:r w:rsidRPr="00B772C2">
        <w:rPr>
          <w:b/>
          <w:bCs/>
        </w:rPr>
        <w:t xml:space="preserve"> fee </w:t>
      </w:r>
      <w:r w:rsidRPr="007A6623">
        <w:rPr>
          <w:b/>
          <w:bCs/>
        </w:rPr>
        <w:t>schedules,</w:t>
      </w:r>
      <w:r w:rsidRPr="00B772C2">
        <w:rPr>
          <w:b/>
          <w:bCs/>
        </w:rPr>
        <w:t xml:space="preserve"> actual cost without a fee track</w:t>
      </w:r>
      <w:r w:rsidR="00A87F42">
        <w:rPr>
          <w:b/>
          <w:bCs/>
        </w:rPr>
        <w:t>**</w:t>
      </w:r>
      <w:r w:rsidRPr="00B772C2">
        <w:rPr>
          <w:b/>
          <w:bCs/>
        </w:rPr>
        <w:t>, and basic service track</w:t>
      </w:r>
      <w:r w:rsidR="00886AD7">
        <w:rPr>
          <w:b/>
          <w:bCs/>
        </w:rPr>
        <w:t xml:space="preserve"> cost</w:t>
      </w:r>
      <w:r w:rsidR="00A87F42">
        <w:rPr>
          <w:b/>
          <w:bCs/>
        </w:rPr>
        <w:t>***</w:t>
      </w:r>
      <w:r w:rsidR="00770708">
        <w:rPr>
          <w:b/>
          <w:bCs/>
        </w:rPr>
        <w:t>, January–June 2018</w:t>
      </w:r>
    </w:p>
    <w:p w14:paraId="3C959F22" w14:textId="77777777" w:rsidR="00D14FF8" w:rsidRDefault="00D14FF8" w:rsidP="00105E9B">
      <w:pPr>
        <w:pStyle w:val="PS"/>
        <w:spacing w:line="276" w:lineRule="auto"/>
        <w:ind w:firstLine="0"/>
        <w:jc w:val="both"/>
      </w:pPr>
    </w:p>
    <w:p w14:paraId="53069FD6" w14:textId="1274B729" w:rsidR="007037F0" w:rsidRDefault="00992622" w:rsidP="00105E9B">
      <w:pPr>
        <w:pStyle w:val="PS"/>
        <w:spacing w:line="276" w:lineRule="auto"/>
        <w:ind w:firstLine="0"/>
        <w:jc w:val="both"/>
      </w:pPr>
      <w:r w:rsidRPr="00992622">
        <w:rPr>
          <w:noProof/>
          <w:lang w:bidi="he-IL"/>
        </w:rPr>
        <w:drawing>
          <wp:inline distT="0" distB="0" distL="0" distR="0" wp14:anchorId="2A80DE26" wp14:editId="238CBE55">
            <wp:extent cx="5274310" cy="32487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248793"/>
                    </a:xfrm>
                    <a:prstGeom prst="rect">
                      <a:avLst/>
                    </a:prstGeom>
                    <a:noFill/>
                    <a:ln>
                      <a:noFill/>
                    </a:ln>
                  </pic:spPr>
                </pic:pic>
              </a:graphicData>
            </a:graphic>
          </wp:inline>
        </w:drawing>
      </w:r>
    </w:p>
    <w:p w14:paraId="402EAF55" w14:textId="77777777" w:rsidR="00D14FF8" w:rsidRPr="00D14FF8" w:rsidRDefault="00D14FF8" w:rsidP="009B4B7C">
      <w:pPr>
        <w:pStyle w:val="PS"/>
        <w:spacing w:line="276" w:lineRule="auto"/>
        <w:jc w:val="both"/>
        <w:rPr>
          <w:rFonts w:asciiTheme="minorBidi" w:hAnsiTheme="minorBidi" w:cstheme="minorBidi"/>
          <w:sz w:val="18"/>
          <w:szCs w:val="18"/>
        </w:rPr>
      </w:pPr>
      <w:r w:rsidRPr="00D14FF8">
        <w:rPr>
          <w:rFonts w:asciiTheme="minorBidi" w:hAnsiTheme="minorBidi" w:cstheme="minorBidi"/>
          <w:sz w:val="18"/>
          <w:szCs w:val="18"/>
        </w:rPr>
        <w:t xml:space="preserve">* </w:t>
      </w:r>
      <w:r w:rsidR="009B4B7C" w:rsidRPr="009B4B7C">
        <w:rPr>
          <w:rFonts w:asciiTheme="minorBidi" w:hAnsiTheme="minorBidi" w:cstheme="minorBidi"/>
          <w:b/>
          <w:bCs/>
          <w:sz w:val="18"/>
          <w:szCs w:val="18"/>
        </w:rPr>
        <w:t>Teller-executed and customer-executed fee rates:</w:t>
      </w:r>
      <w:r w:rsidR="009B4B7C">
        <w:rPr>
          <w:rFonts w:asciiTheme="minorBidi" w:hAnsiTheme="minorBidi" w:cstheme="minorBidi"/>
          <w:sz w:val="18"/>
          <w:szCs w:val="18"/>
        </w:rPr>
        <w:t xml:space="preserve"> </w:t>
      </w:r>
      <w:r w:rsidRPr="00D14FF8">
        <w:rPr>
          <w:rFonts w:asciiTheme="minorBidi" w:hAnsiTheme="minorBidi" w:cstheme="minorBidi"/>
          <w:sz w:val="18"/>
          <w:szCs w:val="18"/>
        </w:rPr>
        <w:t>Cost of 1 teller-executed transaction &amp; 10 customer-executed transactions, per the price in the bank's fee schedule for such activities.</w:t>
      </w:r>
    </w:p>
    <w:p w14:paraId="5A091A82" w14:textId="7B994769" w:rsidR="00D14FF8" w:rsidRPr="00D14FF8" w:rsidRDefault="00D14FF8" w:rsidP="00D14FF8">
      <w:pPr>
        <w:pStyle w:val="PS"/>
        <w:spacing w:line="276" w:lineRule="auto"/>
        <w:jc w:val="both"/>
        <w:rPr>
          <w:rFonts w:asciiTheme="minorBidi" w:hAnsiTheme="minorBidi" w:cstheme="minorBidi"/>
          <w:sz w:val="18"/>
          <w:szCs w:val="18"/>
        </w:rPr>
      </w:pPr>
      <w:r w:rsidRPr="00D14FF8">
        <w:rPr>
          <w:rFonts w:asciiTheme="minorBidi" w:hAnsiTheme="minorBidi" w:cstheme="minorBidi"/>
          <w:sz w:val="18"/>
          <w:szCs w:val="18"/>
        </w:rPr>
        <w:t xml:space="preserve">** </w:t>
      </w:r>
      <w:r w:rsidR="009B4B7C" w:rsidRPr="009B4B7C">
        <w:rPr>
          <w:rFonts w:asciiTheme="minorBidi" w:hAnsiTheme="minorBidi" w:cstheme="minorBidi"/>
          <w:b/>
          <w:bCs/>
          <w:sz w:val="18"/>
          <w:szCs w:val="18"/>
        </w:rPr>
        <w:t>Actual cost without a fee track:</w:t>
      </w:r>
      <w:r w:rsidR="009B4B7C">
        <w:rPr>
          <w:rFonts w:asciiTheme="minorBidi" w:hAnsiTheme="minorBidi" w:cstheme="minorBidi"/>
          <w:sz w:val="18"/>
          <w:szCs w:val="18"/>
        </w:rPr>
        <w:t xml:space="preserve"> </w:t>
      </w:r>
      <w:r w:rsidRPr="00D14FF8">
        <w:rPr>
          <w:rFonts w:asciiTheme="minorBidi" w:hAnsiTheme="minorBidi" w:cstheme="minorBidi"/>
          <w:sz w:val="18"/>
          <w:szCs w:val="18"/>
        </w:rPr>
        <w:t xml:space="preserve">Cost of 1 teller-executed transaction &amp; 10 customer-executed transactions, per the price </w:t>
      </w:r>
      <w:r w:rsidR="001639C5">
        <w:rPr>
          <w:rFonts w:asciiTheme="minorBidi" w:hAnsiTheme="minorBidi" w:cstheme="minorBidi"/>
          <w:sz w:val="18"/>
          <w:szCs w:val="18"/>
        </w:rPr>
        <w:t xml:space="preserve">that is </w:t>
      </w:r>
      <w:r w:rsidRPr="00D14FF8">
        <w:rPr>
          <w:rFonts w:asciiTheme="minorBidi" w:hAnsiTheme="minorBidi" w:cstheme="minorBidi"/>
          <w:sz w:val="18"/>
          <w:szCs w:val="18"/>
        </w:rPr>
        <w:t>actually charged for such activities</w:t>
      </w:r>
      <w:r w:rsidR="001639C5">
        <w:rPr>
          <w:rFonts w:asciiTheme="minorBidi" w:hAnsiTheme="minorBidi" w:cstheme="minorBidi"/>
          <w:sz w:val="18"/>
          <w:szCs w:val="18"/>
        </w:rPr>
        <w:t>,</w:t>
      </w:r>
      <w:r w:rsidRPr="00D14FF8">
        <w:rPr>
          <w:rFonts w:asciiTheme="minorBidi" w:hAnsiTheme="minorBidi" w:cstheme="minorBidi"/>
          <w:sz w:val="18"/>
          <w:szCs w:val="18"/>
        </w:rPr>
        <w:t xml:space="preserve"> in accounts that haven't joined the fee tracks service, </w:t>
      </w:r>
      <w:r w:rsidR="007C0E2D">
        <w:rPr>
          <w:rFonts w:asciiTheme="minorBidi" w:hAnsiTheme="minorBidi" w:cstheme="minorBidi"/>
          <w:sz w:val="18"/>
          <w:szCs w:val="18"/>
        </w:rPr>
        <w:t>(</w:t>
      </w:r>
      <w:r w:rsidRPr="00D14FF8">
        <w:rPr>
          <w:rFonts w:asciiTheme="minorBidi" w:hAnsiTheme="minorBidi" w:cstheme="minorBidi"/>
          <w:sz w:val="18"/>
          <w:szCs w:val="18"/>
        </w:rPr>
        <w:t>calculated based on revenue data reported by banks to the Banking Supervision Department</w:t>
      </w:r>
      <w:r w:rsidR="007C0E2D">
        <w:rPr>
          <w:rFonts w:asciiTheme="minorBidi" w:hAnsiTheme="minorBidi" w:cstheme="minorBidi"/>
          <w:sz w:val="18"/>
          <w:szCs w:val="18"/>
        </w:rPr>
        <w:t xml:space="preserve"> for the first half of 2017)</w:t>
      </w:r>
      <w:r w:rsidRPr="00D14FF8">
        <w:rPr>
          <w:rFonts w:asciiTheme="minorBidi" w:hAnsiTheme="minorBidi" w:cstheme="minorBidi"/>
          <w:sz w:val="18"/>
          <w:szCs w:val="18"/>
        </w:rPr>
        <w:t>.</w:t>
      </w:r>
    </w:p>
    <w:p w14:paraId="2A4AC3C5" w14:textId="77777777" w:rsidR="00D14FF8" w:rsidRPr="00D14FF8" w:rsidRDefault="00D14FF8" w:rsidP="00D14FF8">
      <w:pPr>
        <w:pStyle w:val="PS"/>
        <w:spacing w:line="276" w:lineRule="auto"/>
        <w:jc w:val="both"/>
        <w:rPr>
          <w:rFonts w:asciiTheme="minorBidi" w:hAnsiTheme="minorBidi" w:cstheme="minorBidi"/>
          <w:sz w:val="18"/>
          <w:szCs w:val="18"/>
        </w:rPr>
      </w:pPr>
      <w:r w:rsidRPr="00D14FF8">
        <w:rPr>
          <w:rFonts w:asciiTheme="minorBidi" w:hAnsiTheme="minorBidi" w:cstheme="minorBidi"/>
          <w:sz w:val="18"/>
          <w:szCs w:val="18"/>
        </w:rPr>
        <w:t xml:space="preserve">*** </w:t>
      </w:r>
      <w:r w:rsidRPr="009B4B7C">
        <w:rPr>
          <w:rFonts w:asciiTheme="minorBidi" w:hAnsiTheme="minorBidi" w:cstheme="minorBidi"/>
          <w:b/>
          <w:bCs/>
          <w:sz w:val="18"/>
          <w:szCs w:val="18"/>
        </w:rPr>
        <w:t>Cost of basic track</w:t>
      </w:r>
      <w:r w:rsidRPr="00D14FF8">
        <w:rPr>
          <w:rFonts w:asciiTheme="minorBidi" w:hAnsiTheme="minorBidi" w:cstheme="minorBidi"/>
          <w:sz w:val="18"/>
          <w:szCs w:val="18"/>
        </w:rPr>
        <w:t>.</w:t>
      </w:r>
    </w:p>
    <w:p w14:paraId="11452E8B" w14:textId="77777777" w:rsidR="00744350" w:rsidRDefault="00744350" w:rsidP="00D14FF8">
      <w:pPr>
        <w:pStyle w:val="PS"/>
        <w:spacing w:line="276" w:lineRule="auto"/>
        <w:ind w:firstLine="0"/>
        <w:jc w:val="both"/>
      </w:pPr>
    </w:p>
    <w:p w14:paraId="26173309" w14:textId="77777777" w:rsidR="00334F60" w:rsidRDefault="00334F60" w:rsidP="00105E9B">
      <w:pPr>
        <w:pStyle w:val="PC"/>
        <w:spacing w:line="276" w:lineRule="auto"/>
        <w:jc w:val="both"/>
      </w:pPr>
      <w:r w:rsidRPr="002B2333">
        <w:t xml:space="preserve">The </w:t>
      </w:r>
      <w:r w:rsidRPr="002B2333">
        <w:rPr>
          <w:b/>
          <w:bCs/>
        </w:rPr>
        <w:t>basic service track</w:t>
      </w:r>
      <w:r w:rsidRPr="002B2333">
        <w:t xml:space="preserve"> includes up to 10 customer-executed transactions and up to one teller-executed transaction</w:t>
      </w:r>
      <w:r w:rsidR="00B433BD">
        <w:t xml:space="preserve"> per month</w:t>
      </w:r>
      <w:r w:rsidRPr="002B2333">
        <w:t>. Its price is supervised and cannot exceed NIS 10.</w:t>
      </w:r>
    </w:p>
    <w:p w14:paraId="630D9E02" w14:textId="77777777" w:rsidR="006C640F" w:rsidRPr="004C07CF" w:rsidRDefault="006C640F" w:rsidP="00F64483">
      <w:pPr>
        <w:pStyle w:val="PC"/>
        <w:numPr>
          <w:ilvl w:val="0"/>
          <w:numId w:val="4"/>
        </w:numPr>
        <w:spacing w:line="276" w:lineRule="auto"/>
        <w:ind w:left="0" w:firstLine="0"/>
        <w:jc w:val="both"/>
      </w:pPr>
      <w:r w:rsidRPr="004C07CF">
        <w:t>The cost of the basic track incorporates a discount compared with the fee schedule rate</w:t>
      </w:r>
      <w:r w:rsidR="007A548A">
        <w:t>s</w:t>
      </w:r>
      <w:r w:rsidRPr="004C07CF">
        <w:t xml:space="preserve"> for </w:t>
      </w:r>
      <w:r w:rsidR="00F64483" w:rsidRPr="004C07CF">
        <w:t xml:space="preserve">teller-executed transactions </w:t>
      </w:r>
      <w:r w:rsidR="00F64483">
        <w:t xml:space="preserve">and </w:t>
      </w:r>
      <w:r w:rsidRPr="004C07CF">
        <w:t>customer-executed</w:t>
      </w:r>
      <w:r w:rsidR="008A29E5">
        <w:t xml:space="preserve"> </w:t>
      </w:r>
      <w:r w:rsidR="008A29E5" w:rsidRPr="004C07CF">
        <w:t>transactions</w:t>
      </w:r>
      <w:r>
        <w:t>.</w:t>
      </w:r>
    </w:p>
    <w:p w14:paraId="1C73A658" w14:textId="5CFE2A3F" w:rsidR="006C640F" w:rsidRDefault="001639C5" w:rsidP="00A909B3">
      <w:pPr>
        <w:pStyle w:val="PC"/>
        <w:numPr>
          <w:ilvl w:val="0"/>
          <w:numId w:val="4"/>
        </w:numPr>
        <w:spacing w:line="276" w:lineRule="auto"/>
        <w:ind w:left="0" w:firstLine="0"/>
        <w:jc w:val="both"/>
      </w:pPr>
      <w:r>
        <w:t>For households, i</w:t>
      </w:r>
      <w:r w:rsidR="006C640F">
        <w:t xml:space="preserve">t is worth joining the </w:t>
      </w:r>
      <w:r w:rsidR="006C640F" w:rsidRPr="007A548A">
        <w:rPr>
          <w:b/>
          <w:bCs/>
        </w:rPr>
        <w:t>basic</w:t>
      </w:r>
      <w:r w:rsidR="006C640F">
        <w:t xml:space="preserve"> fee track rather than paying for each transaction </w:t>
      </w:r>
      <w:r w:rsidR="00F64483">
        <w:t xml:space="preserve">separately </w:t>
      </w:r>
      <w:r w:rsidR="00B433BD">
        <w:t>at most banks</w:t>
      </w:r>
      <w:r w:rsidR="006C640F">
        <w:t xml:space="preserve">, </w:t>
      </w:r>
      <w:r w:rsidR="006C640F" w:rsidRPr="0054588C">
        <w:t xml:space="preserve">except at </w:t>
      </w:r>
      <w:r w:rsidR="006C640F" w:rsidRPr="002D43C9">
        <w:t xml:space="preserve">Bank </w:t>
      </w:r>
      <w:proofErr w:type="spellStart"/>
      <w:r w:rsidR="006C640F" w:rsidRPr="002D43C9">
        <w:t>Yahav</w:t>
      </w:r>
      <w:proofErr w:type="spellEnd"/>
      <w:r w:rsidR="00B433BD">
        <w:t xml:space="preserve">, </w:t>
      </w:r>
      <w:r w:rsidR="002D43C9" w:rsidRPr="002D43C9">
        <w:t xml:space="preserve">Bank </w:t>
      </w:r>
      <w:proofErr w:type="spellStart"/>
      <w:r w:rsidR="006C640F" w:rsidRPr="002D43C9">
        <w:t>Massad</w:t>
      </w:r>
      <w:proofErr w:type="spellEnd"/>
      <w:r w:rsidR="00B433BD">
        <w:t xml:space="preserve"> and </w:t>
      </w:r>
      <w:r w:rsidR="00F64483">
        <w:t xml:space="preserve">Bank </w:t>
      </w:r>
      <w:proofErr w:type="spellStart"/>
      <w:r w:rsidR="00F64483">
        <w:t>Otsar</w:t>
      </w:r>
      <w:proofErr w:type="spellEnd"/>
      <w:r w:rsidR="00F64483">
        <w:t xml:space="preserve"> Ha-</w:t>
      </w:r>
      <w:proofErr w:type="spellStart"/>
      <w:r w:rsidR="00F64483">
        <w:t>Hayal</w:t>
      </w:r>
      <w:proofErr w:type="spellEnd"/>
      <w:r w:rsidR="006C640F" w:rsidRPr="002D43C9">
        <w:t>.</w:t>
      </w:r>
      <w:r w:rsidR="00DD3F23">
        <w:rPr>
          <w:rStyle w:val="af2"/>
        </w:rPr>
        <w:footnoteReference w:id="3"/>
      </w:r>
      <w:r w:rsidR="00CC4CF7" w:rsidRPr="002D43C9">
        <w:t xml:space="preserve"> At</w:t>
      </w:r>
      <w:r w:rsidR="00CC4CF7">
        <w:t xml:space="preserve"> the Bank of Jerusalem, </w:t>
      </w:r>
      <w:r w:rsidR="00B433BD">
        <w:t xml:space="preserve">in the period reported, </w:t>
      </w:r>
      <w:r w:rsidR="00055C63">
        <w:t xml:space="preserve">a </w:t>
      </w:r>
      <w:r w:rsidR="007D55DE">
        <w:t xml:space="preserve">monthly </w:t>
      </w:r>
      <w:r w:rsidR="00CC4CF7">
        <w:lastRenderedPageBreak/>
        <w:t>fee</w:t>
      </w:r>
      <w:r w:rsidR="00055C63">
        <w:t xml:space="preserve"> of NIS 6.5 was </w:t>
      </w:r>
      <w:r w:rsidR="00CC4CF7">
        <w:t xml:space="preserve">charged </w:t>
      </w:r>
      <w:r w:rsidR="007D55DE">
        <w:t xml:space="preserve">with no limit on the number of </w:t>
      </w:r>
      <w:r w:rsidR="00CC4CF7">
        <w:t>transactions</w:t>
      </w:r>
      <w:r w:rsidR="007D55DE">
        <w:t xml:space="preserve"> in the </w:t>
      </w:r>
      <w:r>
        <w:t xml:space="preserve">current </w:t>
      </w:r>
      <w:r w:rsidR="007D55DE">
        <w:t>account</w:t>
      </w:r>
      <w:r w:rsidR="007C5006">
        <w:t>.</w:t>
      </w:r>
    </w:p>
    <w:p w14:paraId="1BC13BDD" w14:textId="77777777" w:rsidR="00A14A42" w:rsidRDefault="00A14A42">
      <w:pPr>
        <w:rPr>
          <w:sz w:val="24"/>
          <w:szCs w:val="24"/>
        </w:rPr>
      </w:pPr>
    </w:p>
    <w:p w14:paraId="5F22421C" w14:textId="77777777" w:rsidR="006C640F" w:rsidRDefault="00CC4CF7" w:rsidP="00A81126">
      <w:pPr>
        <w:pStyle w:val="PC"/>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rPr>
      </w:pPr>
      <w:r w:rsidRPr="00744350">
        <w:rPr>
          <w:b/>
          <w:bCs/>
        </w:rPr>
        <w:t xml:space="preserve">The expanded service track </w:t>
      </w:r>
      <w:r w:rsidR="00F246B7">
        <w:rPr>
          <w:b/>
          <w:bCs/>
        </w:rPr>
        <w:t xml:space="preserve">provides </w:t>
      </w:r>
      <w:r w:rsidRPr="00744350">
        <w:rPr>
          <w:b/>
          <w:bCs/>
        </w:rPr>
        <w:t xml:space="preserve">savings for households and small </w:t>
      </w:r>
      <w:r w:rsidR="00744350" w:rsidRPr="00744350">
        <w:rPr>
          <w:b/>
          <w:bCs/>
        </w:rPr>
        <w:t>b</w:t>
      </w:r>
      <w:r w:rsidRPr="00744350">
        <w:rPr>
          <w:b/>
          <w:bCs/>
        </w:rPr>
        <w:t>usinesses</w:t>
      </w:r>
      <w:r w:rsidR="00C16DCB">
        <w:rPr>
          <w:b/>
          <w:bCs/>
        </w:rPr>
        <w:t xml:space="preserve"> that carry out a relatively large number of activities</w:t>
      </w:r>
    </w:p>
    <w:p w14:paraId="404F082F" w14:textId="77777777" w:rsidR="00F246B7" w:rsidRDefault="00F246B7" w:rsidP="00F246B7">
      <w:pPr>
        <w:pStyle w:val="PS"/>
        <w:ind w:firstLine="0"/>
      </w:pPr>
    </w:p>
    <w:p w14:paraId="32F9CF03" w14:textId="77777777" w:rsidR="00F246B7" w:rsidRPr="00B772C2" w:rsidRDefault="00F246B7" w:rsidP="00886AD7">
      <w:pPr>
        <w:pStyle w:val="PS"/>
        <w:spacing w:line="276" w:lineRule="auto"/>
        <w:ind w:firstLine="0"/>
        <w:jc w:val="both"/>
        <w:rPr>
          <w:b/>
          <w:bCs/>
        </w:rPr>
      </w:pPr>
      <w:r w:rsidRPr="00B772C2">
        <w:rPr>
          <w:b/>
          <w:bCs/>
        </w:rPr>
        <w:t>Cost comparison by: Teller-executed and customer-executed fee schedules</w:t>
      </w:r>
      <w:r w:rsidR="00226822">
        <w:rPr>
          <w:b/>
          <w:bCs/>
        </w:rPr>
        <w:t>*</w:t>
      </w:r>
      <w:r w:rsidRPr="00B772C2">
        <w:rPr>
          <w:b/>
          <w:bCs/>
        </w:rPr>
        <w:t>, actual cost without a fee track</w:t>
      </w:r>
      <w:r w:rsidR="00226822">
        <w:rPr>
          <w:b/>
          <w:bCs/>
        </w:rPr>
        <w:t>**</w:t>
      </w:r>
      <w:r w:rsidRPr="00B772C2">
        <w:rPr>
          <w:b/>
          <w:bCs/>
        </w:rPr>
        <w:t xml:space="preserve">, and </w:t>
      </w:r>
      <w:r w:rsidR="00886AD7">
        <w:rPr>
          <w:b/>
          <w:bCs/>
        </w:rPr>
        <w:t xml:space="preserve">expanded </w:t>
      </w:r>
      <w:r w:rsidRPr="00B772C2">
        <w:rPr>
          <w:b/>
          <w:bCs/>
        </w:rPr>
        <w:t>service track</w:t>
      </w:r>
      <w:r w:rsidR="00886AD7">
        <w:rPr>
          <w:b/>
          <w:bCs/>
        </w:rPr>
        <w:t xml:space="preserve"> cost</w:t>
      </w:r>
      <w:r w:rsidR="00226822">
        <w:rPr>
          <w:b/>
          <w:bCs/>
        </w:rPr>
        <w:t>***, January–June 2018</w:t>
      </w:r>
    </w:p>
    <w:p w14:paraId="4C88C78A" w14:textId="733E452C" w:rsidR="002B3C7D" w:rsidRDefault="00D6386D" w:rsidP="00105E9B">
      <w:pPr>
        <w:pStyle w:val="PS"/>
        <w:spacing w:line="276" w:lineRule="auto"/>
        <w:ind w:firstLine="0"/>
        <w:jc w:val="both"/>
      </w:pPr>
      <w:r w:rsidRPr="00D6386D">
        <w:rPr>
          <w:noProof/>
          <w:lang w:bidi="he-IL"/>
        </w:rPr>
        <w:drawing>
          <wp:inline distT="0" distB="0" distL="0" distR="0" wp14:anchorId="19312F88" wp14:editId="5D1C45D1">
            <wp:extent cx="5274310" cy="31571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157120"/>
                    </a:xfrm>
                    <a:prstGeom prst="rect">
                      <a:avLst/>
                    </a:prstGeom>
                    <a:noFill/>
                    <a:ln>
                      <a:noFill/>
                    </a:ln>
                  </pic:spPr>
                </pic:pic>
              </a:graphicData>
            </a:graphic>
          </wp:inline>
        </w:drawing>
      </w:r>
    </w:p>
    <w:p w14:paraId="365BD1D9" w14:textId="5FAF634C" w:rsidR="00231552" w:rsidRPr="00231552" w:rsidRDefault="00231552" w:rsidP="00231552">
      <w:pPr>
        <w:pStyle w:val="PS"/>
        <w:spacing w:line="276" w:lineRule="auto"/>
        <w:jc w:val="both"/>
        <w:rPr>
          <w:rFonts w:asciiTheme="minorBidi" w:hAnsiTheme="minorBidi" w:cstheme="minorBidi"/>
          <w:sz w:val="18"/>
          <w:szCs w:val="18"/>
        </w:rPr>
      </w:pPr>
      <w:r w:rsidRPr="00231552">
        <w:rPr>
          <w:rFonts w:asciiTheme="minorBidi" w:hAnsiTheme="minorBidi" w:cstheme="minorBidi"/>
          <w:sz w:val="18"/>
          <w:szCs w:val="18"/>
        </w:rPr>
        <w:t xml:space="preserve">* </w:t>
      </w:r>
      <w:r w:rsidR="008F30BB" w:rsidRPr="009B4B7C">
        <w:rPr>
          <w:rFonts w:asciiTheme="minorBidi" w:hAnsiTheme="minorBidi" w:cstheme="minorBidi"/>
          <w:b/>
          <w:bCs/>
          <w:sz w:val="18"/>
          <w:szCs w:val="18"/>
        </w:rPr>
        <w:t>Teller-executed and customer-executed</w:t>
      </w:r>
      <w:r w:rsidR="00EF077F">
        <w:rPr>
          <w:rFonts w:asciiTheme="minorBidi" w:hAnsiTheme="minorBidi" w:cstheme="minorBidi"/>
          <w:b/>
          <w:bCs/>
          <w:sz w:val="18"/>
          <w:szCs w:val="18"/>
        </w:rPr>
        <w:t>,</w:t>
      </w:r>
      <w:r w:rsidR="008F30BB" w:rsidRPr="009B4B7C">
        <w:rPr>
          <w:rFonts w:asciiTheme="minorBidi" w:hAnsiTheme="minorBidi" w:cstheme="minorBidi"/>
          <w:b/>
          <w:bCs/>
          <w:sz w:val="18"/>
          <w:szCs w:val="18"/>
        </w:rPr>
        <w:t xml:space="preserve"> fee rates:</w:t>
      </w:r>
      <w:r w:rsidR="008F30BB">
        <w:rPr>
          <w:rFonts w:asciiTheme="minorBidi" w:hAnsiTheme="minorBidi" w:cstheme="minorBidi"/>
          <w:sz w:val="18"/>
          <w:szCs w:val="18"/>
        </w:rPr>
        <w:t xml:space="preserve"> </w:t>
      </w:r>
      <w:r w:rsidRPr="00231552">
        <w:rPr>
          <w:rFonts w:asciiTheme="minorBidi" w:hAnsiTheme="minorBidi" w:cstheme="minorBidi"/>
          <w:sz w:val="18"/>
          <w:szCs w:val="18"/>
        </w:rPr>
        <w:t>Cost of 10 teller-executed &amp; 50 customer-executed transactions, per the price in the bank's fee schedule for such activities.</w:t>
      </w:r>
    </w:p>
    <w:p w14:paraId="7B8E4E11" w14:textId="77777777" w:rsidR="00231552" w:rsidRPr="00231552" w:rsidRDefault="00231552" w:rsidP="00231552">
      <w:pPr>
        <w:pStyle w:val="PS"/>
        <w:spacing w:line="276" w:lineRule="auto"/>
        <w:jc w:val="both"/>
        <w:rPr>
          <w:rFonts w:asciiTheme="minorBidi" w:hAnsiTheme="minorBidi" w:cstheme="minorBidi"/>
          <w:sz w:val="18"/>
          <w:szCs w:val="18"/>
        </w:rPr>
      </w:pPr>
      <w:r w:rsidRPr="00231552">
        <w:rPr>
          <w:rFonts w:asciiTheme="minorBidi" w:hAnsiTheme="minorBidi" w:cstheme="minorBidi"/>
          <w:sz w:val="18"/>
          <w:szCs w:val="18"/>
        </w:rPr>
        <w:t xml:space="preserve">** </w:t>
      </w:r>
      <w:r w:rsidR="008F30BB" w:rsidRPr="009B4B7C">
        <w:rPr>
          <w:rFonts w:asciiTheme="minorBidi" w:hAnsiTheme="minorBidi" w:cstheme="minorBidi"/>
          <w:b/>
          <w:bCs/>
          <w:sz w:val="18"/>
          <w:szCs w:val="18"/>
        </w:rPr>
        <w:t>Actual cost without a fee track</w:t>
      </w:r>
      <w:r w:rsidR="008F30BB" w:rsidRPr="00231552">
        <w:rPr>
          <w:rFonts w:asciiTheme="minorBidi" w:hAnsiTheme="minorBidi" w:cstheme="minorBidi"/>
          <w:sz w:val="18"/>
          <w:szCs w:val="18"/>
        </w:rPr>
        <w:t xml:space="preserve"> </w:t>
      </w:r>
      <w:r w:rsidRPr="00231552">
        <w:rPr>
          <w:rFonts w:asciiTheme="minorBidi" w:hAnsiTheme="minorBidi" w:cstheme="minorBidi"/>
          <w:sz w:val="18"/>
          <w:szCs w:val="18"/>
        </w:rPr>
        <w:t>Cost of 10 teller-executed &amp; 50 customer-executed transactions, per the price actually charged for such activities in accounts that haven't joined the fee tracks service, calculated based on revenue data reported by banks to the Banking Supervision Department</w:t>
      </w:r>
      <w:r w:rsidR="00BA36B6">
        <w:rPr>
          <w:rFonts w:asciiTheme="minorBidi" w:hAnsiTheme="minorBidi" w:cstheme="minorBidi"/>
          <w:sz w:val="18"/>
          <w:szCs w:val="18"/>
        </w:rPr>
        <w:t xml:space="preserve"> for the first half of 2017</w:t>
      </w:r>
      <w:r w:rsidRPr="00231552">
        <w:rPr>
          <w:rFonts w:asciiTheme="minorBidi" w:hAnsiTheme="minorBidi" w:cstheme="minorBidi"/>
          <w:sz w:val="18"/>
          <w:szCs w:val="18"/>
        </w:rPr>
        <w:t>.</w:t>
      </w:r>
    </w:p>
    <w:p w14:paraId="1D55D305" w14:textId="77777777" w:rsidR="00231552" w:rsidRPr="00231552" w:rsidRDefault="00231552" w:rsidP="00231552">
      <w:pPr>
        <w:pStyle w:val="PS"/>
        <w:spacing w:line="276" w:lineRule="auto"/>
        <w:jc w:val="both"/>
        <w:rPr>
          <w:rFonts w:asciiTheme="minorBidi" w:hAnsiTheme="minorBidi" w:cstheme="minorBidi"/>
          <w:sz w:val="18"/>
          <w:szCs w:val="18"/>
        </w:rPr>
      </w:pPr>
      <w:r w:rsidRPr="00231552">
        <w:rPr>
          <w:rFonts w:asciiTheme="minorBidi" w:hAnsiTheme="minorBidi" w:cstheme="minorBidi"/>
          <w:sz w:val="18"/>
          <w:szCs w:val="18"/>
        </w:rPr>
        <w:t xml:space="preserve">*** </w:t>
      </w:r>
      <w:r w:rsidRPr="008F30BB">
        <w:rPr>
          <w:rFonts w:asciiTheme="minorBidi" w:hAnsiTheme="minorBidi" w:cstheme="minorBidi"/>
          <w:b/>
          <w:bCs/>
          <w:sz w:val="18"/>
          <w:szCs w:val="18"/>
        </w:rPr>
        <w:t>Cost of expanded track.</w:t>
      </w:r>
    </w:p>
    <w:p w14:paraId="008D2F93" w14:textId="77777777" w:rsidR="006C640F" w:rsidRDefault="006C640F" w:rsidP="00105E9B">
      <w:pPr>
        <w:pStyle w:val="PS"/>
        <w:spacing w:line="276" w:lineRule="auto"/>
        <w:ind w:firstLine="0"/>
        <w:jc w:val="both"/>
      </w:pPr>
    </w:p>
    <w:p w14:paraId="4366DC31" w14:textId="712191E7" w:rsidR="00334F60" w:rsidRDefault="00334F60" w:rsidP="00105E9B">
      <w:pPr>
        <w:pStyle w:val="PC"/>
        <w:spacing w:line="276" w:lineRule="auto"/>
        <w:jc w:val="both"/>
      </w:pPr>
      <w:r w:rsidRPr="002B2333">
        <w:t xml:space="preserve">The </w:t>
      </w:r>
      <w:r w:rsidRPr="002B2333">
        <w:rPr>
          <w:b/>
          <w:bCs/>
        </w:rPr>
        <w:t>expanded service track</w:t>
      </w:r>
      <w:r w:rsidRPr="002B2333">
        <w:t xml:space="preserve"> includes up to 50 customer-executed transactions and up to</w:t>
      </w:r>
      <w:r w:rsidRPr="004C07CF">
        <w:t xml:space="preserve"> </w:t>
      </w:r>
      <w:r w:rsidR="00984375">
        <w:t xml:space="preserve">10 teller-executed transactions, and ranges between NIS 20 and NIS 30 at the various banks. This track </w:t>
      </w:r>
      <w:r w:rsidR="00EF077F">
        <w:t>may</w:t>
      </w:r>
      <w:r w:rsidR="00984375">
        <w:t xml:space="preserve"> be appropriate for small businesses and for households that execute a relatively large number of transactions.</w:t>
      </w:r>
    </w:p>
    <w:p w14:paraId="5C1A09B5" w14:textId="77777777" w:rsidR="00984375" w:rsidRPr="00984375" w:rsidRDefault="00984375" w:rsidP="00105E9B">
      <w:pPr>
        <w:pStyle w:val="PS"/>
        <w:spacing w:line="276" w:lineRule="auto"/>
        <w:ind w:firstLine="0"/>
        <w:jc w:val="both"/>
      </w:pPr>
    </w:p>
    <w:p w14:paraId="6DF35C1D" w14:textId="247413DA" w:rsidR="008E7466" w:rsidRDefault="00984375" w:rsidP="003C6E44">
      <w:pPr>
        <w:pStyle w:val="PC"/>
        <w:numPr>
          <w:ilvl w:val="0"/>
          <w:numId w:val="5"/>
        </w:numPr>
        <w:spacing w:line="276" w:lineRule="auto"/>
        <w:ind w:left="0" w:firstLine="0"/>
        <w:jc w:val="both"/>
      </w:pPr>
      <w:r w:rsidRPr="004C07CF">
        <w:t xml:space="preserve">On the expanded track, the savings to the customer can reach </w:t>
      </w:r>
      <w:r w:rsidR="00EF077F">
        <w:t>from</w:t>
      </w:r>
      <w:r w:rsidRPr="004C07CF">
        <w:t xml:space="preserve"> tens of shekels per month</w:t>
      </w:r>
      <w:r w:rsidR="00025F25">
        <w:t xml:space="preserve"> up to hundreds of shekels per year</w:t>
      </w:r>
      <w:r w:rsidRPr="004C07CF">
        <w:t>.</w:t>
      </w:r>
    </w:p>
    <w:p w14:paraId="2C21ABF0" w14:textId="13759E82" w:rsidR="00ED54AB" w:rsidRDefault="008E7466" w:rsidP="001F2A5B">
      <w:pPr>
        <w:pStyle w:val="PC"/>
        <w:numPr>
          <w:ilvl w:val="0"/>
          <w:numId w:val="4"/>
        </w:numPr>
        <w:spacing w:line="276" w:lineRule="auto"/>
        <w:ind w:left="0" w:firstLine="0"/>
        <w:jc w:val="both"/>
      </w:pPr>
      <w:r>
        <w:t xml:space="preserve">It is worth joining the </w:t>
      </w:r>
      <w:r w:rsidRPr="008E7466">
        <w:rPr>
          <w:b/>
          <w:bCs/>
        </w:rPr>
        <w:t>expanded</w:t>
      </w:r>
      <w:r>
        <w:t xml:space="preserve"> service track rather than paying for each transaction</w:t>
      </w:r>
      <w:r w:rsidR="007C64DC">
        <w:t xml:space="preserve"> separately</w:t>
      </w:r>
      <w:r>
        <w:t xml:space="preserve">, </w:t>
      </w:r>
      <w:r w:rsidRPr="00AC2D08">
        <w:t xml:space="preserve">except at Bank </w:t>
      </w:r>
      <w:proofErr w:type="spellStart"/>
      <w:r w:rsidRPr="00AC2D08">
        <w:t>Yahav</w:t>
      </w:r>
      <w:proofErr w:type="spellEnd"/>
      <w:r w:rsidRPr="00AC2D08">
        <w:t xml:space="preserve"> (</w:t>
      </w:r>
      <w:r w:rsidR="001F2A5B">
        <w:t>A</w:t>
      </w:r>
      <w:r w:rsidRPr="00AC2D08">
        <w:t>t</w:t>
      </w:r>
      <w:r>
        <w:t xml:space="preserve"> Bank </w:t>
      </w:r>
      <w:proofErr w:type="spellStart"/>
      <w:r w:rsidR="00ED54AB">
        <w:t>Massad</w:t>
      </w:r>
      <w:proofErr w:type="spellEnd"/>
      <w:r w:rsidR="00ED54AB">
        <w:t xml:space="preserve"> the payment was the same)</w:t>
      </w:r>
      <w:r w:rsidR="007C64DC">
        <w:t>.</w:t>
      </w:r>
    </w:p>
    <w:p w14:paraId="22CDE324" w14:textId="4D66D430" w:rsidR="008E7466" w:rsidRPr="008E7466" w:rsidRDefault="008E7466" w:rsidP="002A1865">
      <w:pPr>
        <w:pStyle w:val="PC"/>
        <w:numPr>
          <w:ilvl w:val="0"/>
          <w:numId w:val="4"/>
        </w:numPr>
        <w:spacing w:line="276" w:lineRule="auto"/>
        <w:ind w:left="0" w:firstLine="0"/>
        <w:jc w:val="both"/>
      </w:pPr>
      <w:r>
        <w:lastRenderedPageBreak/>
        <w:t xml:space="preserve">In the </w:t>
      </w:r>
      <w:r w:rsidR="002A1865">
        <w:t xml:space="preserve">overall </w:t>
      </w:r>
      <w:r>
        <w:t>banking system</w:t>
      </w:r>
      <w:r w:rsidRPr="006C4607">
        <w:t xml:space="preserve"> the expenditure in respect of fees for </w:t>
      </w:r>
      <w:r w:rsidR="006E3BED" w:rsidRPr="006C4607">
        <w:t xml:space="preserve">the </w:t>
      </w:r>
      <w:r w:rsidRPr="006C4607">
        <w:t xml:space="preserve">total transactions included in the </w:t>
      </w:r>
      <w:r w:rsidRPr="006C4607">
        <w:rPr>
          <w:b/>
          <w:bCs/>
        </w:rPr>
        <w:t>b</w:t>
      </w:r>
      <w:r w:rsidRPr="008E7466">
        <w:rPr>
          <w:b/>
          <w:bCs/>
        </w:rPr>
        <w:t>asic</w:t>
      </w:r>
      <w:r>
        <w:t xml:space="preserve"> service track </w:t>
      </w:r>
      <w:r w:rsidR="002A1865">
        <w:t xml:space="preserve">as well as </w:t>
      </w:r>
      <w:r>
        <w:t xml:space="preserve">in the </w:t>
      </w:r>
      <w:r w:rsidRPr="008E7466">
        <w:rPr>
          <w:b/>
          <w:bCs/>
        </w:rPr>
        <w:t>expanded</w:t>
      </w:r>
      <w:r>
        <w:t xml:space="preserve"> service track is </w:t>
      </w:r>
      <w:r w:rsidRPr="002A1865">
        <w:t xml:space="preserve">lowest at Bank </w:t>
      </w:r>
      <w:proofErr w:type="spellStart"/>
      <w:r w:rsidR="00F612E7" w:rsidRPr="002A1865">
        <w:t>Yahav</w:t>
      </w:r>
      <w:proofErr w:type="spellEnd"/>
      <w:r w:rsidRPr="002A1865">
        <w:t xml:space="preserve">, </w:t>
      </w:r>
      <w:r w:rsidR="002A1865">
        <w:t xml:space="preserve">excluding </w:t>
      </w:r>
      <w:r w:rsidR="00F612E7" w:rsidRPr="002A1865">
        <w:t>the Bank of Jerusalem</w:t>
      </w:r>
      <w:r w:rsidR="00F612E7">
        <w:t xml:space="preserve"> which charges a fee of NIS 6.5 for an unlimited number </w:t>
      </w:r>
      <w:r w:rsidR="00714D6C">
        <w:t>of transactions</w:t>
      </w:r>
      <w:r w:rsidR="00656119">
        <w:t>.</w:t>
      </w:r>
      <w:r w:rsidR="00714D6C">
        <w:t xml:space="preserve"> </w:t>
      </w:r>
      <w:r>
        <w:t>Mercantile Bank</w:t>
      </w:r>
      <w:r w:rsidR="00656119">
        <w:t xml:space="preserve"> charge</w:t>
      </w:r>
      <w:r w:rsidR="002A1865">
        <w:t>s</w:t>
      </w:r>
      <w:r w:rsidR="00656119">
        <w:t xml:space="preserve"> the highest </w:t>
      </w:r>
      <w:r w:rsidR="002A1865">
        <w:t xml:space="preserve">total </w:t>
      </w:r>
      <w:r w:rsidR="00656119">
        <w:t>fee</w:t>
      </w:r>
      <w:r w:rsidR="002A1865">
        <w:t>.</w:t>
      </w:r>
      <w:r>
        <w:t xml:space="preserve"> (Among the five large banks</w:t>
      </w:r>
      <w:r w:rsidR="00656119">
        <w:t>:</w:t>
      </w:r>
      <w:r>
        <w:t xml:space="preserve"> the expenditure is lowest at Discount Bank </w:t>
      </w:r>
      <w:r w:rsidR="00656119">
        <w:t>while Mizrahi Bank</w:t>
      </w:r>
      <w:r>
        <w:t xml:space="preserve"> </w:t>
      </w:r>
      <w:r w:rsidR="00656119">
        <w:t>charge</w:t>
      </w:r>
      <w:r w:rsidR="002A1865">
        <w:t>s</w:t>
      </w:r>
      <w:r w:rsidR="00656119">
        <w:t xml:space="preserve"> the</w:t>
      </w:r>
      <w:r>
        <w:t xml:space="preserve"> highest.)</w:t>
      </w:r>
    </w:p>
    <w:p w14:paraId="4F8FA475" w14:textId="77777777" w:rsidR="00A1343B" w:rsidRDefault="00A1343B" w:rsidP="00105E9B">
      <w:pPr>
        <w:pStyle w:val="PS"/>
        <w:spacing w:line="276" w:lineRule="auto"/>
        <w:ind w:firstLine="0"/>
        <w:jc w:val="both"/>
      </w:pPr>
    </w:p>
    <w:p w14:paraId="54A5082D" w14:textId="77777777" w:rsidR="00A1343B" w:rsidRDefault="00A1343B" w:rsidP="00105E9B">
      <w:pPr>
        <w:pStyle w:val="PS"/>
        <w:spacing w:line="276" w:lineRule="auto"/>
        <w:ind w:firstLine="0"/>
        <w:jc w:val="both"/>
        <w:rPr>
          <w:b/>
          <w:bCs/>
          <w:color w:val="0070C0"/>
        </w:rPr>
      </w:pPr>
      <w:r>
        <w:rPr>
          <w:b/>
          <w:bCs/>
          <w:color w:val="0070C0"/>
        </w:rPr>
        <w:t xml:space="preserve">2.3 The cost of </w:t>
      </w:r>
      <w:r w:rsidR="00EC2E29">
        <w:rPr>
          <w:b/>
          <w:bCs/>
          <w:color w:val="0070C0"/>
        </w:rPr>
        <w:t xml:space="preserve">managing a current account and holding a credit card for </w:t>
      </w:r>
      <w:r w:rsidR="006561A6">
        <w:rPr>
          <w:b/>
          <w:bCs/>
          <w:color w:val="0070C0"/>
        </w:rPr>
        <w:t xml:space="preserve">a </w:t>
      </w:r>
      <w:r w:rsidR="00EC2E29">
        <w:rPr>
          <w:b/>
          <w:bCs/>
          <w:color w:val="0070C0"/>
        </w:rPr>
        <w:t>current account—households and private banking</w:t>
      </w:r>
    </w:p>
    <w:p w14:paraId="5A3780DC" w14:textId="77777777" w:rsidR="00A1343B" w:rsidRDefault="00A1343B" w:rsidP="00105E9B">
      <w:pPr>
        <w:pStyle w:val="PS"/>
        <w:spacing w:line="276" w:lineRule="auto"/>
        <w:ind w:firstLine="0"/>
        <w:jc w:val="both"/>
      </w:pPr>
    </w:p>
    <w:p w14:paraId="1E5761F3" w14:textId="063276F2" w:rsidR="00C516FB" w:rsidRPr="00024411" w:rsidRDefault="00C516FB" w:rsidP="006A76C7">
      <w:pPr>
        <w:pStyle w:val="PC"/>
        <w:spacing w:line="276" w:lineRule="auto"/>
        <w:jc w:val="both"/>
      </w:pPr>
      <w:r w:rsidRPr="00512102">
        <w:rPr>
          <w:b/>
          <w:bCs/>
        </w:rPr>
        <w:t xml:space="preserve">The </w:t>
      </w:r>
      <w:r>
        <w:rPr>
          <w:b/>
          <w:bCs/>
        </w:rPr>
        <w:t xml:space="preserve">average </w:t>
      </w:r>
      <w:r w:rsidRPr="00512102">
        <w:rPr>
          <w:b/>
          <w:bCs/>
        </w:rPr>
        <w:t xml:space="preserve">monthly cost of </w:t>
      </w:r>
      <w:r w:rsidRPr="00C516FB">
        <w:rPr>
          <w:b/>
          <w:bCs/>
        </w:rPr>
        <w:t>a current account for households and private banking</w:t>
      </w:r>
      <w:r w:rsidRPr="00C516FB">
        <w:t xml:space="preserve"> </w:t>
      </w:r>
      <w:r>
        <w:t xml:space="preserve">is calculated as the total revenue from fees charged directly by the banking </w:t>
      </w:r>
      <w:r w:rsidRPr="00024411">
        <w:t xml:space="preserve">corporations </w:t>
      </w:r>
      <w:r w:rsidR="001D71C0">
        <w:t xml:space="preserve">for </w:t>
      </w:r>
      <w:r w:rsidRPr="00024411">
        <w:t xml:space="preserve">households and private </w:t>
      </w:r>
      <w:r w:rsidRPr="006A76C7">
        <w:t>banking</w:t>
      </w:r>
      <w:r w:rsidR="001D71C0">
        <w:t xml:space="preserve"> consumers</w:t>
      </w:r>
      <w:r w:rsidR="006A76C7" w:rsidRPr="006A76C7">
        <w:rPr>
          <w:rStyle w:val="af2"/>
        </w:rPr>
        <w:footnoteReference w:id="4"/>
      </w:r>
      <w:r w:rsidRPr="006A76C7">
        <w:t>, relative</w:t>
      </w:r>
      <w:r w:rsidRPr="00024411">
        <w:t xml:space="preserve"> to the number of household and private banking current accounts, for </w:t>
      </w:r>
      <w:r w:rsidR="001D71C0">
        <w:t xml:space="preserve">a </w:t>
      </w:r>
      <w:r w:rsidRPr="00024411">
        <w:t xml:space="preserve">month, divided among bank activity segments. </w:t>
      </w:r>
    </w:p>
    <w:p w14:paraId="19555B94" w14:textId="77777777" w:rsidR="00C516FB" w:rsidRDefault="00C516FB" w:rsidP="00105E9B">
      <w:pPr>
        <w:pStyle w:val="PC"/>
        <w:spacing w:line="276" w:lineRule="auto"/>
        <w:jc w:val="both"/>
      </w:pPr>
    </w:p>
    <w:p w14:paraId="75DED834" w14:textId="224EAC3B" w:rsidR="00024411" w:rsidRDefault="00C516FB" w:rsidP="00793CBD">
      <w:pPr>
        <w:pStyle w:val="PC"/>
        <w:spacing w:line="276" w:lineRule="auto"/>
        <w:jc w:val="both"/>
      </w:pPr>
      <w:r w:rsidRPr="00B0503A">
        <w:rPr>
          <w:b/>
          <w:bCs/>
        </w:rPr>
        <w:t xml:space="preserve">Development of </w:t>
      </w:r>
      <w:r>
        <w:rPr>
          <w:b/>
          <w:bCs/>
        </w:rPr>
        <w:t xml:space="preserve">the average monthly cost for managing a current account and </w:t>
      </w:r>
      <w:r w:rsidRPr="0058117F">
        <w:rPr>
          <w:b/>
          <w:bCs/>
        </w:rPr>
        <w:t xml:space="preserve">holding a </w:t>
      </w:r>
      <w:r w:rsidR="00BE1881">
        <w:rPr>
          <w:b/>
          <w:bCs/>
        </w:rPr>
        <w:t>credit</w:t>
      </w:r>
      <w:r w:rsidR="0058117F" w:rsidRPr="0058117F">
        <w:rPr>
          <w:b/>
          <w:bCs/>
        </w:rPr>
        <w:t xml:space="preserve"> </w:t>
      </w:r>
      <w:r w:rsidRPr="0058117F">
        <w:rPr>
          <w:b/>
          <w:bCs/>
        </w:rPr>
        <w:t>card for households and private banking in the banking</w:t>
      </w:r>
      <w:r>
        <w:rPr>
          <w:b/>
          <w:bCs/>
        </w:rPr>
        <w:t xml:space="preserve"> system, in NIS, </w:t>
      </w:r>
      <w:r w:rsidR="00E561BD" w:rsidRPr="00E561BD">
        <w:rPr>
          <w:b/>
          <w:bCs/>
        </w:rPr>
        <w:t>(2011–</w:t>
      </w:r>
      <w:r w:rsidR="001D71C0">
        <w:rPr>
          <w:b/>
          <w:bCs/>
        </w:rPr>
        <w:t xml:space="preserve"> </w:t>
      </w:r>
      <w:r w:rsidR="00E561BD" w:rsidRPr="00E561BD">
        <w:rPr>
          <w:b/>
          <w:bCs/>
        </w:rPr>
        <w:t>June 201</w:t>
      </w:r>
      <w:r w:rsidR="0008258E">
        <w:rPr>
          <w:b/>
          <w:bCs/>
        </w:rPr>
        <w:t>8</w:t>
      </w:r>
      <w:r w:rsidR="00E561BD" w:rsidRPr="00E561BD">
        <w:rPr>
          <w:b/>
          <w:bCs/>
        </w:rPr>
        <w:t>)</w:t>
      </w:r>
      <w:r w:rsidR="001D71C0">
        <w:rPr>
          <w:b/>
          <w:bCs/>
        </w:rPr>
        <w:t>:</w:t>
      </w:r>
    </w:p>
    <w:p w14:paraId="01193B9B" w14:textId="3F322674" w:rsidR="00C516FB" w:rsidRDefault="001320BD" w:rsidP="00105E9B">
      <w:pPr>
        <w:pStyle w:val="PS"/>
        <w:spacing w:line="276" w:lineRule="auto"/>
        <w:ind w:firstLine="0"/>
        <w:jc w:val="both"/>
      </w:pPr>
      <w:r w:rsidRPr="001320BD">
        <w:rPr>
          <w:noProof/>
          <w:lang w:bidi="he-IL"/>
        </w:rPr>
        <w:drawing>
          <wp:inline distT="0" distB="0" distL="0" distR="0" wp14:anchorId="240F8F90" wp14:editId="5080D0D4">
            <wp:extent cx="5274310" cy="249341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493417"/>
                    </a:xfrm>
                    <a:prstGeom prst="rect">
                      <a:avLst/>
                    </a:prstGeom>
                    <a:noFill/>
                    <a:ln>
                      <a:noFill/>
                    </a:ln>
                  </pic:spPr>
                </pic:pic>
              </a:graphicData>
            </a:graphic>
          </wp:inline>
        </w:drawing>
      </w:r>
    </w:p>
    <w:p w14:paraId="40104E66" w14:textId="01B87570" w:rsidR="00C516FB" w:rsidRDefault="00C516FB" w:rsidP="00503BA2">
      <w:pPr>
        <w:pStyle w:val="PS"/>
        <w:numPr>
          <w:ilvl w:val="0"/>
          <w:numId w:val="5"/>
        </w:numPr>
        <w:spacing w:line="276" w:lineRule="auto"/>
        <w:ind w:left="0" w:firstLine="0"/>
        <w:jc w:val="both"/>
      </w:pPr>
      <w:r>
        <w:t xml:space="preserve">The average monthly cost in the first </w:t>
      </w:r>
      <w:r w:rsidRPr="005D7BB3">
        <w:t xml:space="preserve">half </w:t>
      </w:r>
      <w:r w:rsidRPr="00965477">
        <w:t>of 201</w:t>
      </w:r>
      <w:r w:rsidR="00503BA2" w:rsidRPr="00965477">
        <w:t>8</w:t>
      </w:r>
      <w:r w:rsidRPr="00965477">
        <w:t xml:space="preserve"> totaled</w:t>
      </w:r>
      <w:r w:rsidRPr="005D7BB3">
        <w:t xml:space="preserve"> about</w:t>
      </w:r>
      <w:r w:rsidRPr="004C07CF">
        <w:t xml:space="preserve"> </w:t>
      </w:r>
      <w:r w:rsidRPr="00A82C44">
        <w:rPr>
          <w:b/>
          <w:bCs/>
        </w:rPr>
        <w:t xml:space="preserve">NIS </w:t>
      </w:r>
      <w:r w:rsidR="00503BA2">
        <w:rPr>
          <w:b/>
          <w:bCs/>
        </w:rPr>
        <w:t>24.8</w:t>
      </w:r>
      <w:r w:rsidR="003A5DA9">
        <w:rPr>
          <w:b/>
          <w:bCs/>
        </w:rPr>
        <w:t xml:space="preserve"> </w:t>
      </w:r>
      <w:r>
        <w:t>per household and private banking account.</w:t>
      </w:r>
    </w:p>
    <w:p w14:paraId="4C9C7586" w14:textId="213AAEB7" w:rsidR="00C516FB" w:rsidRDefault="00C516FB" w:rsidP="00965477">
      <w:pPr>
        <w:pStyle w:val="PS"/>
        <w:numPr>
          <w:ilvl w:val="0"/>
          <w:numId w:val="5"/>
        </w:numPr>
        <w:spacing w:line="276" w:lineRule="auto"/>
        <w:ind w:left="0" w:firstLine="0"/>
        <w:jc w:val="both"/>
      </w:pPr>
      <w:r>
        <w:t xml:space="preserve">In the past </w:t>
      </w:r>
      <w:r w:rsidR="00503BA2">
        <w:t xml:space="preserve">seven </w:t>
      </w:r>
      <w:r>
        <w:t>and a half years (2011–</w:t>
      </w:r>
      <w:r w:rsidR="007C6808">
        <w:t>June 201</w:t>
      </w:r>
      <w:r w:rsidR="00503BA2">
        <w:t>8</w:t>
      </w:r>
      <w:r>
        <w:t xml:space="preserve">) there was a </w:t>
      </w:r>
      <w:r w:rsidRPr="00A82C44">
        <w:rPr>
          <w:b/>
          <w:bCs/>
        </w:rPr>
        <w:t>decline</w:t>
      </w:r>
      <w:r>
        <w:t xml:space="preserve"> of about </w:t>
      </w:r>
      <w:r w:rsidR="00390959" w:rsidRPr="00390959">
        <w:rPr>
          <w:b/>
          <w:bCs/>
        </w:rPr>
        <w:t>1</w:t>
      </w:r>
      <w:r w:rsidR="00503BA2">
        <w:rPr>
          <w:b/>
          <w:bCs/>
        </w:rPr>
        <w:t>5</w:t>
      </w:r>
      <w:r w:rsidR="00390959" w:rsidRPr="00390959">
        <w:rPr>
          <w:b/>
          <w:bCs/>
        </w:rPr>
        <w:t xml:space="preserve">.6 </w:t>
      </w:r>
      <w:r w:rsidRPr="00390959">
        <w:rPr>
          <w:b/>
          <w:bCs/>
        </w:rPr>
        <w:t>percent</w:t>
      </w:r>
      <w:r>
        <w:t xml:space="preserve"> </w:t>
      </w:r>
      <w:r w:rsidRPr="00503BA2">
        <w:t>in th</w:t>
      </w:r>
      <w:r w:rsidR="00503BA2" w:rsidRPr="00503BA2">
        <w:t>e average cost</w:t>
      </w:r>
      <w:r w:rsidR="00965477">
        <w:t>,</w:t>
      </w:r>
      <w:r w:rsidR="00503BA2" w:rsidRPr="00503BA2">
        <w:t xml:space="preserve"> </w:t>
      </w:r>
      <w:r w:rsidR="00965477">
        <w:t xml:space="preserve">per account, </w:t>
      </w:r>
      <w:r w:rsidR="00503BA2" w:rsidRPr="00503BA2">
        <w:t>for managing a current account and holding a credit card</w:t>
      </w:r>
      <w:r w:rsidRPr="00503BA2">
        <w:t>.</w:t>
      </w:r>
    </w:p>
    <w:p w14:paraId="29556C26" w14:textId="7F6AADB3" w:rsidR="00C516FB" w:rsidRPr="007724EA" w:rsidRDefault="00C516FB" w:rsidP="00E24AD2">
      <w:pPr>
        <w:pStyle w:val="PS"/>
        <w:numPr>
          <w:ilvl w:val="0"/>
          <w:numId w:val="5"/>
        </w:numPr>
        <w:spacing w:line="276" w:lineRule="auto"/>
        <w:ind w:left="0" w:firstLine="0"/>
        <w:jc w:val="both"/>
      </w:pPr>
      <w:r w:rsidRPr="007724EA">
        <w:rPr>
          <w:b/>
          <w:bCs/>
        </w:rPr>
        <w:t xml:space="preserve">The </w:t>
      </w:r>
      <w:r w:rsidR="001D71C0">
        <w:rPr>
          <w:b/>
          <w:bCs/>
        </w:rPr>
        <w:t xml:space="preserve">average monthly </w:t>
      </w:r>
      <w:r w:rsidRPr="007724EA">
        <w:rPr>
          <w:b/>
          <w:bCs/>
        </w:rPr>
        <w:t>c</w:t>
      </w:r>
      <w:r w:rsidR="009E555F" w:rsidRPr="007724EA">
        <w:rPr>
          <w:b/>
          <w:bCs/>
        </w:rPr>
        <w:t>o</w:t>
      </w:r>
      <w:r w:rsidRPr="007724EA">
        <w:rPr>
          <w:b/>
          <w:bCs/>
        </w:rPr>
        <w:t xml:space="preserve">st of managing </w:t>
      </w:r>
      <w:r w:rsidR="009E555F" w:rsidRPr="007724EA">
        <w:rPr>
          <w:b/>
          <w:bCs/>
        </w:rPr>
        <w:t xml:space="preserve">a </w:t>
      </w:r>
      <w:r w:rsidRPr="007724EA">
        <w:rPr>
          <w:b/>
          <w:bCs/>
        </w:rPr>
        <w:t xml:space="preserve">current account and receiving </w:t>
      </w:r>
      <w:r w:rsidRPr="00E24AD2">
        <w:rPr>
          <w:b/>
          <w:bCs/>
        </w:rPr>
        <w:t>information totale</w:t>
      </w:r>
      <w:r w:rsidR="009E555F" w:rsidRPr="00E24AD2">
        <w:rPr>
          <w:b/>
          <w:bCs/>
        </w:rPr>
        <w:t>d</w:t>
      </w:r>
      <w:r w:rsidRPr="00E24AD2">
        <w:rPr>
          <w:b/>
          <w:bCs/>
        </w:rPr>
        <w:t xml:space="preserve"> </w:t>
      </w:r>
      <w:r w:rsidR="00430E8F" w:rsidRPr="00965477">
        <w:rPr>
          <w:b/>
          <w:bCs/>
        </w:rPr>
        <w:t xml:space="preserve">approximately </w:t>
      </w:r>
      <w:r w:rsidRPr="00965477">
        <w:rPr>
          <w:b/>
          <w:bCs/>
        </w:rPr>
        <w:t>NIS 13.</w:t>
      </w:r>
      <w:r w:rsidR="00C87143" w:rsidRPr="00965477">
        <w:rPr>
          <w:b/>
          <w:bCs/>
        </w:rPr>
        <w:t>1</w:t>
      </w:r>
      <w:r w:rsidR="00430E8F" w:rsidRPr="007724EA">
        <w:t>,</w:t>
      </w:r>
      <w:r w:rsidR="009E555F" w:rsidRPr="007724EA">
        <w:t xml:space="preserve"> in the first half of 201</w:t>
      </w:r>
      <w:r w:rsidR="00C87143" w:rsidRPr="007724EA">
        <w:t>8</w:t>
      </w:r>
      <w:r w:rsidR="009E555F" w:rsidRPr="007724EA">
        <w:t xml:space="preserve">, for a </w:t>
      </w:r>
      <w:r w:rsidR="009E555F" w:rsidRPr="007724EA">
        <w:lastRenderedPageBreak/>
        <w:t>household</w:t>
      </w:r>
      <w:r w:rsidR="001D71C0">
        <w:t xml:space="preserve"> account</w:t>
      </w:r>
      <w:r w:rsidR="009E555F" w:rsidRPr="007724EA">
        <w:t xml:space="preserve"> </w:t>
      </w:r>
      <w:r w:rsidR="00965477">
        <w:t>and</w:t>
      </w:r>
      <w:r w:rsidR="009E555F" w:rsidRPr="007724EA">
        <w:t xml:space="preserve"> private banking</w:t>
      </w:r>
      <w:r w:rsidR="009564FC">
        <w:t xml:space="preserve"> account</w:t>
      </w:r>
      <w:r w:rsidR="009E555F" w:rsidRPr="007724EA">
        <w:t>. This cost has declined by a cumulative 3</w:t>
      </w:r>
      <w:r w:rsidR="00D94D40" w:rsidRPr="007724EA">
        <w:t>6</w:t>
      </w:r>
      <w:r w:rsidR="009E555F" w:rsidRPr="007724EA">
        <w:t xml:space="preserve"> percent</w:t>
      </w:r>
      <w:r w:rsidR="0048658E" w:rsidRPr="007724EA">
        <w:t xml:space="preserve"> </w:t>
      </w:r>
      <w:r w:rsidR="00A94D59" w:rsidRPr="007724EA">
        <w:t xml:space="preserve">during the </w:t>
      </w:r>
      <w:r w:rsidR="00D94D40" w:rsidRPr="007724EA">
        <w:t xml:space="preserve">past seven </w:t>
      </w:r>
      <w:r w:rsidR="00A94D59" w:rsidRPr="007724EA">
        <w:t>and half years</w:t>
      </w:r>
      <w:r w:rsidR="0048658E" w:rsidRPr="007724EA">
        <w:t xml:space="preserve">. </w:t>
      </w:r>
      <w:r w:rsidR="00E24AD2">
        <w:t>T</w:t>
      </w:r>
      <w:r w:rsidR="00A94D59" w:rsidRPr="007724EA">
        <w:t>he first half of 201</w:t>
      </w:r>
      <w:r w:rsidR="00D94D40" w:rsidRPr="007724EA">
        <w:t>8</w:t>
      </w:r>
      <w:r w:rsidR="00A94D59" w:rsidRPr="007724EA">
        <w:t xml:space="preserve"> </w:t>
      </w:r>
      <w:r w:rsidR="00E24AD2">
        <w:t>has b</w:t>
      </w:r>
      <w:r w:rsidR="000B250E">
        <w:t>e</w:t>
      </w:r>
      <w:r w:rsidR="00E24AD2">
        <w:t xml:space="preserve">en stable </w:t>
      </w:r>
      <w:r w:rsidR="00D94D40" w:rsidRPr="006B4C84">
        <w:t>co</w:t>
      </w:r>
      <w:r w:rsidR="00D94D40" w:rsidRPr="007724EA">
        <w:t>mpared with 2017</w:t>
      </w:r>
      <w:r w:rsidR="00A94D59" w:rsidRPr="007724EA">
        <w:t xml:space="preserve">. </w:t>
      </w:r>
      <w:r w:rsidR="0048658E" w:rsidRPr="007724EA">
        <w:t xml:space="preserve">This cost includes </w:t>
      </w:r>
      <w:r w:rsidRPr="007724EA">
        <w:t xml:space="preserve">the </w:t>
      </w:r>
      <w:r w:rsidR="00A94D59" w:rsidRPr="007724EA">
        <w:t xml:space="preserve">following services: basic banking activities </w:t>
      </w:r>
      <w:r w:rsidR="005B2983" w:rsidRPr="007724EA">
        <w:t xml:space="preserve">(such as cash deposit/withdrawal, bank transfers, etc.) carried out by a teller or via direct channels, </w:t>
      </w:r>
      <w:r w:rsidR="00430E8F" w:rsidRPr="007724EA">
        <w:t xml:space="preserve">fee </w:t>
      </w:r>
      <w:r w:rsidRPr="007724EA">
        <w:t xml:space="preserve">tracks service, check transactions, issuing </w:t>
      </w:r>
      <w:r w:rsidR="005B2983" w:rsidRPr="007724EA">
        <w:t xml:space="preserve">standard </w:t>
      </w:r>
      <w:r w:rsidRPr="007724EA">
        <w:t>reports, receiving information by means of communication</w:t>
      </w:r>
      <w:r w:rsidR="005B2983" w:rsidRPr="007724EA">
        <w:t xml:space="preserve"> at the customer’s request (phone, mobile device, email) and </w:t>
      </w:r>
      <w:r w:rsidRPr="007724EA">
        <w:t>locating documents.</w:t>
      </w:r>
    </w:p>
    <w:p w14:paraId="4D22B8CF" w14:textId="021041F2" w:rsidR="00F765FE" w:rsidRDefault="00C516FB" w:rsidP="005E42E1">
      <w:pPr>
        <w:pStyle w:val="PC"/>
        <w:numPr>
          <w:ilvl w:val="0"/>
          <w:numId w:val="5"/>
        </w:numPr>
        <w:spacing w:line="276" w:lineRule="auto"/>
        <w:ind w:left="0" w:firstLine="0"/>
        <w:jc w:val="both"/>
      </w:pPr>
      <w:r w:rsidRPr="00F765FE">
        <w:rPr>
          <w:b/>
          <w:bCs/>
        </w:rPr>
        <w:t xml:space="preserve">The cost of holding and using a </w:t>
      </w:r>
      <w:r w:rsidR="0033253D" w:rsidRPr="00F765FE">
        <w:rPr>
          <w:b/>
          <w:bCs/>
        </w:rPr>
        <w:t xml:space="preserve">credit </w:t>
      </w:r>
      <w:r w:rsidRPr="00F765FE">
        <w:rPr>
          <w:b/>
          <w:bCs/>
        </w:rPr>
        <w:t xml:space="preserve">card totaled </w:t>
      </w:r>
      <w:r w:rsidR="00F65235" w:rsidRPr="00F765FE">
        <w:rPr>
          <w:b/>
          <w:bCs/>
        </w:rPr>
        <w:t xml:space="preserve">approximately </w:t>
      </w:r>
      <w:r w:rsidRPr="00F765FE">
        <w:rPr>
          <w:b/>
          <w:bCs/>
        </w:rPr>
        <w:t xml:space="preserve">NIS </w:t>
      </w:r>
      <w:r w:rsidR="00B33056" w:rsidRPr="00F765FE">
        <w:rPr>
          <w:b/>
          <w:bCs/>
        </w:rPr>
        <w:t>11</w:t>
      </w:r>
      <w:r w:rsidR="0021032F" w:rsidRPr="00F765FE">
        <w:rPr>
          <w:b/>
          <w:bCs/>
        </w:rPr>
        <w:t>.8</w:t>
      </w:r>
      <w:r w:rsidR="003B2174" w:rsidRPr="00F765FE">
        <w:rPr>
          <w:b/>
          <w:bCs/>
        </w:rPr>
        <w:t xml:space="preserve"> per month</w:t>
      </w:r>
      <w:r w:rsidR="00B33056" w:rsidRPr="00F765FE">
        <w:rPr>
          <w:b/>
          <w:bCs/>
        </w:rPr>
        <w:t xml:space="preserve">, </w:t>
      </w:r>
      <w:r w:rsidRPr="00F765FE">
        <w:rPr>
          <w:b/>
          <w:bCs/>
        </w:rPr>
        <w:t>on average.</w:t>
      </w:r>
      <w:r>
        <w:t xml:space="preserve"> </w:t>
      </w:r>
      <w:r w:rsidR="00F65235">
        <w:t xml:space="preserve">In the past </w:t>
      </w:r>
      <w:r w:rsidR="0021032F">
        <w:t xml:space="preserve">seven </w:t>
      </w:r>
      <w:r w:rsidR="00F65235">
        <w:t xml:space="preserve">and a half years, </w:t>
      </w:r>
      <w:r w:rsidR="00FA2A2A">
        <w:t>t</w:t>
      </w:r>
      <w:r w:rsidR="00B33056">
        <w:t>here was an increase in this expenditure of about</w:t>
      </w:r>
      <w:r w:rsidR="00FA2A2A">
        <w:t xml:space="preserve"> </w:t>
      </w:r>
      <w:r w:rsidR="00797046">
        <w:t xml:space="preserve">31 </w:t>
      </w:r>
      <w:r w:rsidR="00B33056">
        <w:t>percent</w:t>
      </w:r>
      <w:r w:rsidR="00FA2A2A">
        <w:t>, cumulative. Th</w:t>
      </w:r>
      <w:r w:rsidR="00F765FE">
        <w:t xml:space="preserve">is </w:t>
      </w:r>
      <w:r w:rsidR="00FA2A2A">
        <w:t xml:space="preserve">increase </w:t>
      </w:r>
      <w:r w:rsidR="00E87CBB">
        <w:t xml:space="preserve">derives from a trend of </w:t>
      </w:r>
      <w:r w:rsidR="00B33056">
        <w:t xml:space="preserve">increase in the number of cards held </w:t>
      </w:r>
      <w:r w:rsidR="00E87CBB">
        <w:t xml:space="preserve">by customers in an individual </w:t>
      </w:r>
      <w:r w:rsidR="00B33056">
        <w:t>account</w:t>
      </w:r>
      <w:r w:rsidR="00E87CBB">
        <w:t>.</w:t>
      </w:r>
      <w:r w:rsidR="00F765FE">
        <w:t xml:space="preserve"> During the course of the period, the ratio of number of cards per account increased by about 31 percent as well, from 1.1 to 1.44.</w:t>
      </w:r>
    </w:p>
    <w:p w14:paraId="4818B038" w14:textId="5AF4E742" w:rsidR="00C516FB" w:rsidRPr="00677FF0" w:rsidRDefault="003D4C5A" w:rsidP="00677FF0">
      <w:pPr>
        <w:pStyle w:val="PC"/>
        <w:spacing w:line="276" w:lineRule="auto"/>
        <w:jc w:val="both"/>
        <w:rPr>
          <w:highlight w:val="yellow"/>
        </w:rPr>
      </w:pPr>
      <w:r>
        <w:t xml:space="preserve">In the first half of 2018 there was a slight increase of about NIS 0.40 compared with </w:t>
      </w:r>
      <w:r w:rsidRPr="00677FF0">
        <w:t xml:space="preserve">2017. This increase is explained by, as noted, the continued trend of increase in the number of cards held in an account. </w:t>
      </w:r>
      <w:r w:rsidR="00C516FB" w:rsidRPr="00677FF0">
        <w:t xml:space="preserve">This </w:t>
      </w:r>
      <w:r w:rsidR="00067280" w:rsidRPr="00677FF0">
        <w:t>increase</w:t>
      </w:r>
      <w:r w:rsidR="00624747" w:rsidRPr="00677FF0">
        <w:t xml:space="preserve">d cost </w:t>
      </w:r>
      <w:r w:rsidR="00C516FB" w:rsidRPr="00677FF0">
        <w:t xml:space="preserve">includes </w:t>
      </w:r>
      <w:r w:rsidR="00E87CBB" w:rsidRPr="00677FF0">
        <w:t xml:space="preserve">mainly: </w:t>
      </w:r>
      <w:r w:rsidR="00C516FB" w:rsidRPr="00677FF0">
        <w:t>card fee</w:t>
      </w:r>
      <w:r w:rsidR="00E87CBB" w:rsidRPr="00677FF0">
        <w:t xml:space="preserve"> </w:t>
      </w:r>
      <w:r w:rsidR="00624747" w:rsidRPr="00677FF0">
        <w:t>(</w:t>
      </w:r>
      <w:r w:rsidR="00677FF0">
        <w:t xml:space="preserve">the </w:t>
      </w:r>
      <w:r w:rsidR="00624747" w:rsidRPr="00677FF0">
        <w:t xml:space="preserve">average monthly card fee, weighted by </w:t>
      </w:r>
      <w:r w:rsidR="00677FF0">
        <w:t xml:space="preserve">the </w:t>
      </w:r>
      <w:r w:rsidR="00624747" w:rsidRPr="00677FF0">
        <w:t>number of cards in the account</w:t>
      </w:r>
      <w:r w:rsidR="00677FF0">
        <w:t>,</w:t>
      </w:r>
      <w:r w:rsidR="00624747" w:rsidRPr="00677FF0">
        <w:t xml:space="preserve"> is 9.1 NIS)</w:t>
      </w:r>
      <w:r w:rsidR="00E87CBB" w:rsidRPr="00677FF0">
        <w:t xml:space="preserve"> and additional costs in respect of </w:t>
      </w:r>
      <w:r w:rsidR="00C516FB" w:rsidRPr="00677FF0">
        <w:t>withdrawing foreign currency abroad, transactions abroad, etc.</w:t>
      </w:r>
      <w:r w:rsidR="00B31147" w:rsidRPr="00677FF0">
        <w:rPr>
          <w:rStyle w:val="af2"/>
        </w:rPr>
        <w:footnoteReference w:id="5"/>
      </w:r>
    </w:p>
    <w:p w14:paraId="762D3812" w14:textId="77777777" w:rsidR="00B33056" w:rsidRDefault="00B33056" w:rsidP="00105E9B">
      <w:pPr>
        <w:pStyle w:val="PS"/>
        <w:spacing w:line="276" w:lineRule="auto"/>
        <w:ind w:firstLine="0"/>
        <w:jc w:val="both"/>
      </w:pPr>
    </w:p>
    <w:p w14:paraId="3FCD01AD" w14:textId="77777777" w:rsidR="00904122" w:rsidRDefault="00904122">
      <w:pPr>
        <w:rPr>
          <w:sz w:val="24"/>
          <w:szCs w:val="24"/>
        </w:rPr>
      </w:pPr>
      <w:r>
        <w:br w:type="page"/>
      </w:r>
    </w:p>
    <w:p w14:paraId="36C61C7F" w14:textId="3AA470CC" w:rsidR="007656BC" w:rsidRPr="002F1D63" w:rsidRDefault="002F1D63" w:rsidP="00AC30A1">
      <w:pPr>
        <w:pStyle w:val="PS"/>
        <w:numPr>
          <w:ilvl w:val="0"/>
          <w:numId w:val="9"/>
        </w:numPr>
        <w:spacing w:line="276" w:lineRule="auto"/>
        <w:ind w:left="0" w:firstLine="0"/>
        <w:jc w:val="both"/>
      </w:pPr>
      <w:r w:rsidRPr="002F1D63">
        <w:rPr>
          <w:b/>
          <w:bCs/>
          <w:color w:val="0070C0"/>
        </w:rPr>
        <w:lastRenderedPageBreak/>
        <w:t xml:space="preserve">Fee </w:t>
      </w:r>
      <w:r w:rsidR="000C5034">
        <w:rPr>
          <w:b/>
          <w:bCs/>
          <w:color w:val="0070C0"/>
        </w:rPr>
        <w:t xml:space="preserve">tariffs </w:t>
      </w:r>
      <w:r w:rsidRPr="002F1D63">
        <w:rPr>
          <w:b/>
          <w:bCs/>
          <w:color w:val="0070C0"/>
        </w:rPr>
        <w:t xml:space="preserve">in respect of foreign currency transactions and withdrawals via </w:t>
      </w:r>
      <w:r w:rsidR="00907B91">
        <w:rPr>
          <w:b/>
          <w:bCs/>
          <w:color w:val="0070C0"/>
        </w:rPr>
        <w:t xml:space="preserve">payment </w:t>
      </w:r>
      <w:r w:rsidRPr="002F1D63">
        <w:rPr>
          <w:b/>
          <w:bCs/>
          <w:color w:val="0070C0"/>
        </w:rPr>
        <w:t>card</w:t>
      </w:r>
    </w:p>
    <w:p w14:paraId="693FF506" w14:textId="77777777" w:rsidR="007656BC" w:rsidRDefault="007656BC" w:rsidP="00105E9B">
      <w:pPr>
        <w:pStyle w:val="PS"/>
        <w:spacing w:line="276" w:lineRule="auto"/>
        <w:ind w:firstLine="0"/>
        <w:jc w:val="both"/>
        <w:rPr>
          <w:b/>
          <w:bCs/>
        </w:rPr>
      </w:pPr>
    </w:p>
    <w:p w14:paraId="55A7CC8F" w14:textId="77777777" w:rsidR="002F1D63" w:rsidRPr="00716EAD" w:rsidRDefault="002F1D63" w:rsidP="00907B91">
      <w:pPr>
        <w:pStyle w:val="PS"/>
        <w:spacing w:line="276" w:lineRule="auto"/>
        <w:ind w:firstLine="0"/>
        <w:jc w:val="both"/>
        <w:rPr>
          <w:b/>
          <w:bCs/>
        </w:rPr>
      </w:pPr>
      <w:r w:rsidRPr="00716EAD">
        <w:rPr>
          <w:b/>
          <w:bCs/>
        </w:rPr>
        <w:t>Compar</w:t>
      </w:r>
      <w:r w:rsidR="007656BC">
        <w:rPr>
          <w:b/>
          <w:bCs/>
        </w:rPr>
        <w:t xml:space="preserve">ison of </w:t>
      </w:r>
      <w:r w:rsidRPr="00716EAD">
        <w:rPr>
          <w:b/>
          <w:bCs/>
        </w:rPr>
        <w:t xml:space="preserve">fee </w:t>
      </w:r>
      <w:r w:rsidR="007656BC">
        <w:rPr>
          <w:b/>
          <w:bCs/>
        </w:rPr>
        <w:t xml:space="preserve">schedules </w:t>
      </w:r>
      <w:r w:rsidRPr="00716EAD">
        <w:rPr>
          <w:b/>
          <w:bCs/>
        </w:rPr>
        <w:t>in respect</w:t>
      </w:r>
      <w:r w:rsidR="005F3F61" w:rsidRPr="00716EAD">
        <w:rPr>
          <w:b/>
          <w:bCs/>
        </w:rPr>
        <w:t xml:space="preserve"> </w:t>
      </w:r>
      <w:r w:rsidRPr="00716EAD">
        <w:rPr>
          <w:b/>
          <w:bCs/>
        </w:rPr>
        <w:t xml:space="preserve">of foreign currency transactions and withdrawals via </w:t>
      </w:r>
      <w:r w:rsidR="00907B91">
        <w:rPr>
          <w:b/>
          <w:bCs/>
        </w:rPr>
        <w:t xml:space="preserve">payment </w:t>
      </w:r>
      <w:r w:rsidRPr="00716EAD">
        <w:rPr>
          <w:b/>
          <w:bCs/>
        </w:rPr>
        <w:t>cards</w:t>
      </w:r>
    </w:p>
    <w:p w14:paraId="215F5A93" w14:textId="77777777" w:rsidR="002F1D63" w:rsidRDefault="002F1D63" w:rsidP="00105E9B">
      <w:pPr>
        <w:pStyle w:val="PS"/>
        <w:spacing w:line="276" w:lineRule="auto"/>
        <w:ind w:firstLine="0"/>
        <w:jc w:val="both"/>
        <w:rPr>
          <w:b/>
          <w:bCs/>
          <w:color w:val="0070C0"/>
        </w:rPr>
      </w:pPr>
    </w:p>
    <w:tbl>
      <w:tblPr>
        <w:tblStyle w:val="af9"/>
        <w:tblW w:w="5005" w:type="pct"/>
        <w:tblLook w:val="04A0" w:firstRow="1" w:lastRow="0" w:firstColumn="1" w:lastColumn="0" w:noHBand="0" w:noVBand="1"/>
      </w:tblPr>
      <w:tblGrid>
        <w:gridCol w:w="2852"/>
        <w:gridCol w:w="2595"/>
        <w:gridCol w:w="1751"/>
        <w:gridCol w:w="1333"/>
      </w:tblGrid>
      <w:tr w:rsidR="00E50B5F" w:rsidRPr="00E50B5F" w14:paraId="241D8986" w14:textId="77777777" w:rsidTr="00AC30A1">
        <w:trPr>
          <w:trHeight w:val="1208"/>
        </w:trPr>
        <w:tc>
          <w:tcPr>
            <w:tcW w:w="1672" w:type="pct"/>
          </w:tcPr>
          <w:p w14:paraId="62227DF6" w14:textId="04DABD61" w:rsidR="00E50B5F" w:rsidRPr="00AC30A1" w:rsidRDefault="002B2B40" w:rsidP="00AC30A1">
            <w:pPr>
              <w:pStyle w:val="PS"/>
              <w:spacing w:line="276" w:lineRule="auto"/>
              <w:ind w:firstLine="0"/>
              <w:jc w:val="both"/>
              <w:rPr>
                <w:b/>
                <w:bCs/>
                <w:sz w:val="22"/>
                <w:szCs w:val="22"/>
              </w:rPr>
            </w:pPr>
            <w:r w:rsidRPr="00AC30A1">
              <w:rPr>
                <w:b/>
                <w:bCs/>
              </w:rPr>
              <w:t xml:space="preserve">Fee </w:t>
            </w:r>
            <w:r w:rsidR="00AC30A1">
              <w:rPr>
                <w:b/>
                <w:bCs/>
              </w:rPr>
              <w:t xml:space="preserve">for </w:t>
            </w:r>
            <w:r w:rsidRPr="00AC30A1">
              <w:rPr>
                <w:b/>
                <w:bCs/>
              </w:rPr>
              <w:t>foreign currency activity</w:t>
            </w:r>
          </w:p>
        </w:tc>
        <w:tc>
          <w:tcPr>
            <w:tcW w:w="1521" w:type="pct"/>
          </w:tcPr>
          <w:p w14:paraId="604727EC" w14:textId="77777777" w:rsidR="00E50B5F" w:rsidRPr="00AC30A1" w:rsidRDefault="00945A83" w:rsidP="00AC30A1">
            <w:pPr>
              <w:pStyle w:val="PS"/>
              <w:spacing w:line="276" w:lineRule="auto"/>
              <w:ind w:firstLine="0"/>
              <w:rPr>
                <w:b/>
                <w:bCs/>
                <w:sz w:val="22"/>
                <w:szCs w:val="22"/>
              </w:rPr>
            </w:pPr>
            <w:r w:rsidRPr="00AC30A1">
              <w:rPr>
                <w:b/>
                <w:bCs/>
                <w:sz w:val="22"/>
                <w:szCs w:val="22"/>
              </w:rPr>
              <w:t xml:space="preserve">Visa </w:t>
            </w:r>
            <w:r w:rsidR="00E50B5F" w:rsidRPr="00AC30A1">
              <w:rPr>
                <w:b/>
                <w:bCs/>
                <w:sz w:val="22"/>
                <w:szCs w:val="22"/>
              </w:rPr>
              <w:t>Cal–</w:t>
            </w:r>
            <w:proofErr w:type="spellStart"/>
            <w:r w:rsidR="00E50B5F" w:rsidRPr="00AC30A1">
              <w:rPr>
                <w:b/>
                <w:bCs/>
                <w:sz w:val="22"/>
                <w:szCs w:val="22"/>
              </w:rPr>
              <w:t>Cartise</w:t>
            </w:r>
            <w:r w:rsidR="00C9285A" w:rsidRPr="00AC30A1">
              <w:rPr>
                <w:b/>
                <w:bCs/>
                <w:sz w:val="22"/>
                <w:szCs w:val="22"/>
              </w:rPr>
              <w:t>i</w:t>
            </w:r>
            <w:proofErr w:type="spellEnd"/>
            <w:r w:rsidR="00E50B5F" w:rsidRPr="00AC30A1">
              <w:rPr>
                <w:b/>
                <w:bCs/>
                <w:sz w:val="22"/>
                <w:szCs w:val="22"/>
              </w:rPr>
              <w:t xml:space="preserve"> </w:t>
            </w:r>
            <w:proofErr w:type="spellStart"/>
            <w:r w:rsidR="00E50B5F" w:rsidRPr="00AC30A1">
              <w:rPr>
                <w:b/>
                <w:bCs/>
                <w:sz w:val="22"/>
                <w:szCs w:val="22"/>
              </w:rPr>
              <w:t>Ashrai</w:t>
            </w:r>
            <w:proofErr w:type="spellEnd"/>
            <w:r w:rsidR="00E50B5F" w:rsidRPr="00AC30A1">
              <w:rPr>
                <w:b/>
                <w:bCs/>
                <w:sz w:val="22"/>
                <w:szCs w:val="22"/>
              </w:rPr>
              <w:t xml:space="preserve"> </w:t>
            </w:r>
            <w:proofErr w:type="spellStart"/>
            <w:r w:rsidR="00E50B5F" w:rsidRPr="00AC30A1">
              <w:rPr>
                <w:b/>
                <w:bCs/>
                <w:sz w:val="22"/>
                <w:szCs w:val="22"/>
              </w:rPr>
              <w:t>Leisrael</w:t>
            </w:r>
            <w:proofErr w:type="spellEnd"/>
            <w:r w:rsidR="00E50B5F" w:rsidRPr="00AC30A1">
              <w:rPr>
                <w:b/>
                <w:bCs/>
                <w:sz w:val="22"/>
                <w:szCs w:val="22"/>
              </w:rPr>
              <w:t xml:space="preserve"> (Israel Credit Cards)</w:t>
            </w:r>
          </w:p>
        </w:tc>
        <w:tc>
          <w:tcPr>
            <w:tcW w:w="1026" w:type="pct"/>
          </w:tcPr>
          <w:p w14:paraId="24D3759B" w14:textId="77777777" w:rsidR="00E50B5F" w:rsidRPr="00AC30A1" w:rsidRDefault="00E50B5F" w:rsidP="00105E9B">
            <w:pPr>
              <w:pStyle w:val="PS"/>
              <w:spacing w:line="276" w:lineRule="auto"/>
              <w:ind w:firstLine="0"/>
              <w:jc w:val="both"/>
              <w:rPr>
                <w:b/>
                <w:bCs/>
                <w:sz w:val="22"/>
                <w:szCs w:val="22"/>
              </w:rPr>
            </w:pPr>
            <w:proofErr w:type="spellStart"/>
            <w:r w:rsidRPr="00AC30A1">
              <w:rPr>
                <w:b/>
                <w:bCs/>
                <w:sz w:val="22"/>
                <w:szCs w:val="22"/>
              </w:rPr>
              <w:t>Leumi</w:t>
            </w:r>
            <w:proofErr w:type="spellEnd"/>
            <w:r w:rsidRPr="00AC30A1">
              <w:rPr>
                <w:b/>
                <w:bCs/>
                <w:sz w:val="22"/>
                <w:szCs w:val="22"/>
              </w:rPr>
              <w:t xml:space="preserve"> Card</w:t>
            </w:r>
          </w:p>
        </w:tc>
        <w:tc>
          <w:tcPr>
            <w:tcW w:w="781" w:type="pct"/>
          </w:tcPr>
          <w:p w14:paraId="5F539239" w14:textId="77777777" w:rsidR="00E50B5F" w:rsidRPr="00AC30A1" w:rsidRDefault="00E50B5F" w:rsidP="00105E9B">
            <w:pPr>
              <w:pStyle w:val="PS"/>
              <w:spacing w:line="276" w:lineRule="auto"/>
              <w:ind w:firstLine="0"/>
              <w:jc w:val="both"/>
              <w:rPr>
                <w:b/>
                <w:bCs/>
                <w:sz w:val="22"/>
                <w:szCs w:val="22"/>
              </w:rPr>
            </w:pPr>
            <w:proofErr w:type="spellStart"/>
            <w:r w:rsidRPr="00AC30A1">
              <w:rPr>
                <w:b/>
                <w:bCs/>
                <w:sz w:val="22"/>
                <w:szCs w:val="22"/>
              </w:rPr>
              <w:t>Isracard</w:t>
            </w:r>
            <w:proofErr w:type="spellEnd"/>
          </w:p>
        </w:tc>
      </w:tr>
      <w:tr w:rsidR="00E50B5F" w:rsidRPr="00E50B5F" w14:paraId="68C032EE" w14:textId="77777777" w:rsidTr="00AC30A1">
        <w:trPr>
          <w:trHeight w:val="794"/>
        </w:trPr>
        <w:tc>
          <w:tcPr>
            <w:tcW w:w="1672" w:type="pct"/>
          </w:tcPr>
          <w:p w14:paraId="1C3193FA" w14:textId="4E87574D" w:rsidR="00E50B5F" w:rsidRPr="00AC30A1" w:rsidRDefault="00E50B5F" w:rsidP="00AC30A1">
            <w:pPr>
              <w:pStyle w:val="PS"/>
              <w:spacing w:line="276" w:lineRule="auto"/>
              <w:ind w:firstLine="0"/>
              <w:jc w:val="both"/>
              <w:rPr>
                <w:b/>
                <w:bCs/>
                <w:sz w:val="22"/>
                <w:szCs w:val="22"/>
              </w:rPr>
            </w:pPr>
            <w:r w:rsidRPr="00AC30A1">
              <w:rPr>
                <w:b/>
                <w:bCs/>
                <w:sz w:val="22"/>
                <w:szCs w:val="22"/>
              </w:rPr>
              <w:t xml:space="preserve">Fee </w:t>
            </w:r>
            <w:r w:rsidR="00AC30A1">
              <w:rPr>
                <w:b/>
                <w:bCs/>
                <w:sz w:val="22"/>
                <w:szCs w:val="22"/>
              </w:rPr>
              <w:t xml:space="preserve">for </w:t>
            </w:r>
            <w:r w:rsidRPr="00AC30A1">
              <w:rPr>
                <w:b/>
                <w:bCs/>
                <w:sz w:val="22"/>
                <w:szCs w:val="22"/>
              </w:rPr>
              <w:t>foreign currency transactions</w:t>
            </w:r>
          </w:p>
        </w:tc>
        <w:tc>
          <w:tcPr>
            <w:tcW w:w="1521" w:type="pct"/>
            <w:vAlign w:val="center"/>
          </w:tcPr>
          <w:p w14:paraId="35069D6F" w14:textId="77777777" w:rsidR="00E50B5F" w:rsidRPr="00AC30A1" w:rsidRDefault="00C172EF" w:rsidP="00945A83">
            <w:pPr>
              <w:pStyle w:val="PS"/>
              <w:spacing w:line="276" w:lineRule="auto"/>
              <w:ind w:firstLine="0"/>
              <w:jc w:val="center"/>
              <w:rPr>
                <w:sz w:val="22"/>
                <w:szCs w:val="22"/>
              </w:rPr>
            </w:pPr>
            <w:r w:rsidRPr="00AC30A1">
              <w:rPr>
                <w:sz w:val="22"/>
                <w:szCs w:val="22"/>
              </w:rPr>
              <w:t>2.</w:t>
            </w:r>
            <w:r w:rsidR="00945A83" w:rsidRPr="00AC30A1">
              <w:rPr>
                <w:sz w:val="22"/>
                <w:szCs w:val="22"/>
              </w:rPr>
              <w:t>8</w:t>
            </w:r>
            <w:r w:rsidRPr="00AC30A1">
              <w:rPr>
                <w:sz w:val="22"/>
                <w:szCs w:val="22"/>
              </w:rPr>
              <w:t>%</w:t>
            </w:r>
          </w:p>
        </w:tc>
        <w:tc>
          <w:tcPr>
            <w:tcW w:w="1026" w:type="pct"/>
            <w:vAlign w:val="center"/>
          </w:tcPr>
          <w:p w14:paraId="59D28D54" w14:textId="77777777" w:rsidR="00E50B5F" w:rsidRPr="00AC30A1" w:rsidRDefault="00C172EF" w:rsidP="00C172EF">
            <w:pPr>
              <w:pStyle w:val="PS"/>
              <w:spacing w:line="276" w:lineRule="auto"/>
              <w:ind w:firstLine="0"/>
              <w:jc w:val="center"/>
              <w:rPr>
                <w:sz w:val="22"/>
                <w:szCs w:val="22"/>
              </w:rPr>
            </w:pPr>
            <w:r w:rsidRPr="00AC30A1">
              <w:rPr>
                <w:sz w:val="22"/>
                <w:szCs w:val="22"/>
              </w:rPr>
              <w:t>3.0%</w:t>
            </w:r>
          </w:p>
        </w:tc>
        <w:tc>
          <w:tcPr>
            <w:tcW w:w="781" w:type="pct"/>
            <w:vAlign w:val="center"/>
          </w:tcPr>
          <w:p w14:paraId="7D84BFD4" w14:textId="77777777" w:rsidR="00E50B5F" w:rsidRPr="00AC30A1" w:rsidRDefault="00C172EF" w:rsidP="00C172EF">
            <w:pPr>
              <w:pStyle w:val="PS"/>
              <w:spacing w:line="276" w:lineRule="auto"/>
              <w:ind w:firstLine="0"/>
              <w:jc w:val="center"/>
              <w:rPr>
                <w:b/>
                <w:bCs/>
                <w:sz w:val="22"/>
                <w:szCs w:val="22"/>
              </w:rPr>
            </w:pPr>
            <w:r w:rsidRPr="00AC30A1">
              <w:rPr>
                <w:b/>
                <w:bCs/>
                <w:color w:val="4F81BD" w:themeColor="accent1"/>
                <w:sz w:val="22"/>
                <w:szCs w:val="22"/>
              </w:rPr>
              <w:t>2.3%</w:t>
            </w:r>
          </w:p>
        </w:tc>
      </w:tr>
      <w:tr w:rsidR="00C172EF" w:rsidRPr="00E50B5F" w14:paraId="013B5F36" w14:textId="77777777" w:rsidTr="00AC30A1">
        <w:trPr>
          <w:trHeight w:val="794"/>
        </w:trPr>
        <w:tc>
          <w:tcPr>
            <w:tcW w:w="1672" w:type="pct"/>
          </w:tcPr>
          <w:p w14:paraId="306ECBAC" w14:textId="77777777" w:rsidR="00E50B5F" w:rsidRPr="00AC30A1" w:rsidRDefault="00E50B5F" w:rsidP="00E50B5F">
            <w:pPr>
              <w:pStyle w:val="PS"/>
              <w:spacing w:line="276" w:lineRule="auto"/>
              <w:ind w:firstLine="0"/>
              <w:jc w:val="both"/>
              <w:rPr>
                <w:b/>
                <w:bCs/>
                <w:sz w:val="22"/>
                <w:szCs w:val="22"/>
              </w:rPr>
            </w:pPr>
            <w:r w:rsidRPr="00AC30A1">
              <w:rPr>
                <w:b/>
                <w:bCs/>
                <w:sz w:val="22"/>
                <w:szCs w:val="22"/>
              </w:rPr>
              <w:t>Fee for foreign currency withdrawals</w:t>
            </w:r>
          </w:p>
        </w:tc>
        <w:tc>
          <w:tcPr>
            <w:tcW w:w="1521" w:type="pct"/>
            <w:vAlign w:val="center"/>
          </w:tcPr>
          <w:p w14:paraId="25885EF3" w14:textId="77777777" w:rsidR="00E50B5F" w:rsidRPr="00AC30A1" w:rsidRDefault="00C172EF" w:rsidP="00945A83">
            <w:pPr>
              <w:pStyle w:val="PS"/>
              <w:spacing w:line="276" w:lineRule="auto"/>
              <w:ind w:firstLine="0"/>
              <w:jc w:val="center"/>
              <w:rPr>
                <w:sz w:val="22"/>
                <w:szCs w:val="22"/>
              </w:rPr>
            </w:pPr>
            <w:r w:rsidRPr="00AC30A1">
              <w:rPr>
                <w:sz w:val="22"/>
                <w:szCs w:val="22"/>
              </w:rPr>
              <w:t>3.5%</w:t>
            </w:r>
          </w:p>
        </w:tc>
        <w:tc>
          <w:tcPr>
            <w:tcW w:w="1026" w:type="pct"/>
            <w:vAlign w:val="center"/>
          </w:tcPr>
          <w:p w14:paraId="7BAF6578" w14:textId="77777777" w:rsidR="00E50B5F" w:rsidRPr="00AC30A1" w:rsidRDefault="00C172EF" w:rsidP="00C172EF">
            <w:pPr>
              <w:pStyle w:val="PS"/>
              <w:spacing w:line="276" w:lineRule="auto"/>
              <w:ind w:firstLine="0"/>
              <w:jc w:val="center"/>
              <w:rPr>
                <w:b/>
                <w:bCs/>
                <w:sz w:val="22"/>
                <w:szCs w:val="22"/>
              </w:rPr>
            </w:pPr>
            <w:r w:rsidRPr="00AC30A1">
              <w:rPr>
                <w:b/>
                <w:bCs/>
                <w:color w:val="4F81BD" w:themeColor="accent1"/>
                <w:sz w:val="22"/>
                <w:szCs w:val="22"/>
              </w:rPr>
              <w:t>3.0%</w:t>
            </w:r>
          </w:p>
        </w:tc>
        <w:tc>
          <w:tcPr>
            <w:tcW w:w="781" w:type="pct"/>
            <w:vAlign w:val="center"/>
          </w:tcPr>
          <w:p w14:paraId="12D49A97" w14:textId="77777777" w:rsidR="00E50B5F" w:rsidRPr="00AC30A1" w:rsidRDefault="00C172EF" w:rsidP="00C172EF">
            <w:pPr>
              <w:pStyle w:val="PS"/>
              <w:spacing w:line="276" w:lineRule="auto"/>
              <w:ind w:firstLine="0"/>
              <w:jc w:val="center"/>
              <w:rPr>
                <w:sz w:val="22"/>
                <w:szCs w:val="22"/>
              </w:rPr>
            </w:pPr>
            <w:r w:rsidRPr="00AC30A1">
              <w:rPr>
                <w:sz w:val="22"/>
                <w:szCs w:val="22"/>
              </w:rPr>
              <w:t>3.9%</w:t>
            </w:r>
          </w:p>
        </w:tc>
      </w:tr>
    </w:tbl>
    <w:p w14:paraId="5DC0519D" w14:textId="77777777" w:rsidR="00716EAD" w:rsidRDefault="00716EAD" w:rsidP="00105E9B">
      <w:pPr>
        <w:pStyle w:val="PS"/>
        <w:spacing w:line="276" w:lineRule="auto"/>
        <w:ind w:firstLine="0"/>
        <w:jc w:val="both"/>
        <w:rPr>
          <w:b/>
          <w:bCs/>
          <w:color w:val="0070C0"/>
        </w:rPr>
      </w:pPr>
    </w:p>
    <w:p w14:paraId="3607DA50" w14:textId="77777777" w:rsidR="00716EAD" w:rsidRDefault="00716EAD" w:rsidP="00105E9B">
      <w:pPr>
        <w:pStyle w:val="PS"/>
        <w:spacing w:line="276" w:lineRule="auto"/>
        <w:ind w:firstLine="0"/>
        <w:jc w:val="both"/>
        <w:rPr>
          <w:b/>
          <w:bCs/>
          <w:color w:val="0070C0"/>
        </w:rPr>
      </w:pPr>
    </w:p>
    <w:p w14:paraId="664F120A" w14:textId="77777777" w:rsidR="002F1D63" w:rsidRPr="00EA7624" w:rsidRDefault="002F1D63" w:rsidP="00F46953">
      <w:pPr>
        <w:pStyle w:val="PS"/>
        <w:spacing w:line="276" w:lineRule="auto"/>
        <w:ind w:firstLine="0"/>
        <w:jc w:val="both"/>
      </w:pPr>
      <w:r w:rsidRPr="00EA7624">
        <w:rPr>
          <w:b/>
          <w:bCs/>
        </w:rPr>
        <w:t>Fee in respect of foreign currency transactions and withdrawals</w:t>
      </w:r>
      <w:r w:rsidR="005F3F61" w:rsidRPr="00EA7624">
        <w:t xml:space="preserve">—the fee is calculated as the share of total foreign currency transaction value or as the share of the amount withdrawn in foreign currency abroad, according to the representative rate of </w:t>
      </w:r>
      <w:r w:rsidR="005F3F61" w:rsidRPr="0057055E">
        <w:t>the converted</w:t>
      </w:r>
      <w:r w:rsidR="00F46953" w:rsidRPr="0057055E">
        <w:t xml:space="preserve"> amount</w:t>
      </w:r>
      <w:r w:rsidR="005F3F61" w:rsidRPr="0057055E">
        <w:t xml:space="preserve"> in the</w:t>
      </w:r>
      <w:r w:rsidR="005F3F61" w:rsidRPr="00EA7624">
        <w:t xml:space="preserve"> original currency </w:t>
      </w:r>
      <w:r w:rsidR="00EA7624" w:rsidRPr="00EA7624">
        <w:t xml:space="preserve">in </w:t>
      </w:r>
      <w:r w:rsidR="005F3F61" w:rsidRPr="00EA7624">
        <w:t>which the transaction was executed</w:t>
      </w:r>
      <w:r w:rsidR="00EA7624" w:rsidRPr="00EA7624">
        <w:t>. In the absence of a representative exchange rate, the fee will be calculated as the amount of the charge in th</w:t>
      </w:r>
      <w:r w:rsidR="004E1058">
        <w:t>e</w:t>
      </w:r>
      <w:r w:rsidR="00EA7624" w:rsidRPr="00EA7624">
        <w:t xml:space="preserve"> conversion currency of the international acquirer.</w:t>
      </w:r>
    </w:p>
    <w:p w14:paraId="027407D1" w14:textId="77777777" w:rsidR="00EA7624" w:rsidRDefault="00EA7624" w:rsidP="00105E9B">
      <w:pPr>
        <w:pStyle w:val="PS"/>
        <w:spacing w:line="276" w:lineRule="auto"/>
        <w:ind w:firstLine="0"/>
        <w:jc w:val="both"/>
      </w:pPr>
    </w:p>
    <w:p w14:paraId="385C8BE8" w14:textId="77777777" w:rsidR="00EA7624" w:rsidRPr="00EA7624" w:rsidRDefault="00EA7624" w:rsidP="00D76F9C">
      <w:pPr>
        <w:pStyle w:val="PS"/>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0"/>
        <w:jc w:val="center"/>
        <w:rPr>
          <w:b/>
          <w:bCs/>
        </w:rPr>
      </w:pPr>
      <w:r w:rsidRPr="00314203">
        <w:rPr>
          <w:b/>
          <w:bCs/>
        </w:rPr>
        <w:t xml:space="preserve">The Banking Supervision Department urges the public to compare the </w:t>
      </w:r>
      <w:r w:rsidR="00875FC6" w:rsidRPr="00314203">
        <w:rPr>
          <w:b/>
          <w:bCs/>
        </w:rPr>
        <w:t xml:space="preserve">service </w:t>
      </w:r>
      <w:r w:rsidRPr="00314203">
        <w:rPr>
          <w:b/>
          <w:bCs/>
        </w:rPr>
        <w:t xml:space="preserve">fees among the companies, and to execute </w:t>
      </w:r>
      <w:r w:rsidR="0053500F">
        <w:rPr>
          <w:b/>
          <w:bCs/>
        </w:rPr>
        <w:t>their</w:t>
      </w:r>
      <w:r w:rsidR="0053500F" w:rsidRPr="00314203">
        <w:rPr>
          <w:b/>
          <w:bCs/>
        </w:rPr>
        <w:t xml:space="preserve"> </w:t>
      </w:r>
      <w:r w:rsidR="002B2B40" w:rsidRPr="00314203">
        <w:rPr>
          <w:b/>
          <w:bCs/>
        </w:rPr>
        <w:t xml:space="preserve">credit card </w:t>
      </w:r>
      <w:r w:rsidRPr="00314203">
        <w:rPr>
          <w:b/>
          <w:bCs/>
        </w:rPr>
        <w:t>transactions and withdrawals in an informed manner.</w:t>
      </w:r>
    </w:p>
    <w:p w14:paraId="517018DA" w14:textId="77777777" w:rsidR="002F1D63" w:rsidRDefault="002F1D63" w:rsidP="00105E9B">
      <w:pPr>
        <w:pStyle w:val="PS"/>
        <w:spacing w:line="276" w:lineRule="auto"/>
        <w:ind w:firstLine="0"/>
        <w:jc w:val="both"/>
        <w:rPr>
          <w:b/>
          <w:bCs/>
          <w:color w:val="0070C0"/>
        </w:rPr>
      </w:pPr>
    </w:p>
    <w:p w14:paraId="54763E4F" w14:textId="77777777" w:rsidR="00A22D60" w:rsidRPr="00BC5CD6" w:rsidRDefault="00A22D60" w:rsidP="00105E9B">
      <w:pPr>
        <w:pStyle w:val="PS"/>
        <w:spacing w:line="276" w:lineRule="auto"/>
        <w:ind w:firstLine="0"/>
        <w:jc w:val="both"/>
      </w:pPr>
    </w:p>
    <w:p w14:paraId="574131BE" w14:textId="77777777" w:rsidR="007F3C1C" w:rsidRPr="007F05B1" w:rsidRDefault="007F3C1C" w:rsidP="000479CA">
      <w:pPr>
        <w:pStyle w:val="PS"/>
        <w:numPr>
          <w:ilvl w:val="0"/>
          <w:numId w:val="9"/>
        </w:numPr>
        <w:spacing w:line="276" w:lineRule="auto"/>
        <w:ind w:left="0" w:firstLine="0"/>
        <w:jc w:val="both"/>
      </w:pPr>
      <w:r w:rsidRPr="007F05B1">
        <w:rPr>
          <w:b/>
          <w:bCs/>
          <w:color w:val="0070C0"/>
        </w:rPr>
        <w:t>Steps to reduce the public’s costs of banking services—</w:t>
      </w:r>
    </w:p>
    <w:p w14:paraId="7B1E2614" w14:textId="77777777" w:rsidR="000479CA" w:rsidRDefault="000479CA" w:rsidP="000479CA">
      <w:pPr>
        <w:pStyle w:val="PS"/>
        <w:spacing w:line="276" w:lineRule="auto"/>
        <w:ind w:firstLine="0"/>
        <w:jc w:val="both"/>
        <w:rPr>
          <w:b/>
          <w:bCs/>
          <w:color w:val="0070C0"/>
        </w:rPr>
      </w:pPr>
      <w:r w:rsidRPr="007F05B1">
        <w:rPr>
          <w:b/>
          <w:bCs/>
          <w:color w:val="0070C0"/>
        </w:rPr>
        <w:t>Amendments to the Fees Rules that will go into effect during 2019</w:t>
      </w:r>
    </w:p>
    <w:p w14:paraId="4EA7C839" w14:textId="1EAC163E" w:rsidR="00EC4E91" w:rsidRPr="00C53219" w:rsidRDefault="00997A4C" w:rsidP="005624C9">
      <w:pPr>
        <w:pStyle w:val="PS"/>
        <w:numPr>
          <w:ilvl w:val="0"/>
          <w:numId w:val="22"/>
        </w:numPr>
        <w:spacing w:line="276" w:lineRule="auto"/>
        <w:jc w:val="both"/>
      </w:pPr>
      <w:r w:rsidRPr="00C53219">
        <w:t xml:space="preserve">An additional process initiated by the Banking Supervision Department to integrate the fee </w:t>
      </w:r>
      <w:r w:rsidRPr="008A5A35">
        <w:rPr>
          <w:b/>
          <w:bCs/>
        </w:rPr>
        <w:t>tracks service</w:t>
      </w:r>
      <w:r w:rsidRPr="00C53219">
        <w:t xml:space="preserve"> as </w:t>
      </w:r>
      <w:r w:rsidRPr="00A47CBE">
        <w:t xml:space="preserve">an easing for </w:t>
      </w:r>
      <w:r w:rsidRPr="00A47CBE">
        <w:rPr>
          <w:b/>
          <w:bCs/>
        </w:rPr>
        <w:t>small business and</w:t>
      </w:r>
      <w:r w:rsidR="00983914" w:rsidRPr="00A47CBE">
        <w:rPr>
          <w:b/>
          <w:bCs/>
        </w:rPr>
        <w:t xml:space="preserve"> </w:t>
      </w:r>
      <w:r w:rsidR="00A47CBE" w:rsidRPr="00A47CBE">
        <w:rPr>
          <w:b/>
          <w:bCs/>
        </w:rPr>
        <w:t xml:space="preserve">authorized </w:t>
      </w:r>
      <w:r w:rsidR="005624C9">
        <w:rPr>
          <w:b/>
          <w:bCs/>
        </w:rPr>
        <w:t>businesses</w:t>
      </w:r>
      <w:r w:rsidRPr="00A47CBE">
        <w:t xml:space="preserve">, </w:t>
      </w:r>
      <w:r w:rsidR="00C65C17">
        <w:t xml:space="preserve">is intended to allow </w:t>
      </w:r>
      <w:r w:rsidRPr="00A47CBE">
        <w:t>the reduction of fees for managing a current account.</w:t>
      </w:r>
      <w:r w:rsidR="00EC4E91" w:rsidRPr="00A47CBE">
        <w:t xml:space="preserve"> Within the framework of the amendment, the banking corporations will be required to go through all the accounts of their customers that are small businesses (as defined </w:t>
      </w:r>
      <w:r w:rsidR="00983914" w:rsidRPr="00A47CBE">
        <w:t>by law</w:t>
      </w:r>
      <w:r w:rsidR="008A5A35" w:rsidRPr="00A47CBE">
        <w:t xml:space="preserve">) or authorized </w:t>
      </w:r>
      <w:r w:rsidR="005624C9">
        <w:t>businesses</w:t>
      </w:r>
      <w:r w:rsidR="005624C9" w:rsidRPr="00A47CBE">
        <w:t xml:space="preserve"> </w:t>
      </w:r>
      <w:r w:rsidR="00EC4E91" w:rsidRPr="00A47CBE">
        <w:t>(as</w:t>
      </w:r>
      <w:r w:rsidR="00EC4E91" w:rsidRPr="00C53219">
        <w:t xml:space="preserve"> defined in the VAT Law, 5776-1975), to identify those for whom joining the basic or expanded fee track service pays, and to switch them proactively to the fee track that is worthwhile for them, while notifying them in writing </w:t>
      </w:r>
      <w:r w:rsidR="00DF02C9">
        <w:t xml:space="preserve">via </w:t>
      </w:r>
      <w:r w:rsidR="00EC4E91" w:rsidRPr="00C53219">
        <w:t>the method that the banking corporation usually sends notifications to that customer.</w:t>
      </w:r>
    </w:p>
    <w:p w14:paraId="15B90F65" w14:textId="4ADE00CB" w:rsidR="00EC4E91" w:rsidRPr="00C53219" w:rsidRDefault="00E27C63" w:rsidP="005624C9">
      <w:pPr>
        <w:pStyle w:val="PS"/>
        <w:numPr>
          <w:ilvl w:val="0"/>
          <w:numId w:val="22"/>
        </w:numPr>
        <w:spacing w:line="276" w:lineRule="auto"/>
        <w:jc w:val="both"/>
        <w:rPr>
          <w:lang w:bidi="he-IL"/>
        </w:rPr>
      </w:pPr>
      <w:r w:rsidRPr="00C53219">
        <w:lastRenderedPageBreak/>
        <w:t xml:space="preserve">Reviewing closely </w:t>
      </w:r>
      <w:r w:rsidR="00361CC7">
        <w:t xml:space="preserve">the way </w:t>
      </w:r>
      <w:r w:rsidR="00C65C17">
        <w:t xml:space="preserve">in </w:t>
      </w:r>
      <w:r w:rsidR="00361CC7">
        <w:t xml:space="preserve">which the banking </w:t>
      </w:r>
      <w:r w:rsidR="00361CC7" w:rsidRPr="00C53219">
        <w:t>corporations</w:t>
      </w:r>
      <w:r w:rsidR="00656E55" w:rsidRPr="00C53219">
        <w:t xml:space="preserve"> </w:t>
      </w:r>
      <w:r w:rsidR="00361CC7" w:rsidRPr="00C53219">
        <w:t>decid</w:t>
      </w:r>
      <w:r w:rsidR="00361CC7">
        <w:t>e to</w:t>
      </w:r>
      <w:r w:rsidRPr="00496C79">
        <w:rPr>
          <w:b/>
          <w:bCs/>
        </w:rPr>
        <w:t xml:space="preserve"> </w:t>
      </w:r>
      <w:r w:rsidR="00C65C17">
        <w:rPr>
          <w:b/>
          <w:bCs/>
        </w:rPr>
        <w:t xml:space="preserve">enroll </w:t>
      </w:r>
      <w:r w:rsidRPr="00496C79">
        <w:rPr>
          <w:b/>
          <w:bCs/>
        </w:rPr>
        <w:t xml:space="preserve">a senior citizen or person with disabilities </w:t>
      </w:r>
      <w:r w:rsidR="00C65C17">
        <w:rPr>
          <w:b/>
          <w:bCs/>
        </w:rPr>
        <w:t xml:space="preserve">in </w:t>
      </w:r>
      <w:r w:rsidRPr="00496C79">
        <w:rPr>
          <w:b/>
          <w:bCs/>
        </w:rPr>
        <w:t>the basic fee track</w:t>
      </w:r>
      <w:r w:rsidRPr="00C53219">
        <w:t xml:space="preserve">, in accordance with the findings of the </w:t>
      </w:r>
      <w:r w:rsidR="00361CC7" w:rsidRPr="00C53219">
        <w:t>follow-up</w:t>
      </w:r>
      <w:r w:rsidRPr="00C53219">
        <w:t xml:space="preserve"> after the actual implementation of the proactive enrollment of such customers to the basic track, beginning from the application of the directive from September 2016.</w:t>
      </w:r>
      <w:r w:rsidR="00FE181D" w:rsidRPr="00C53219">
        <w:t xml:space="preserve"> The overall decision is in accordance with the same rationale applied to small </w:t>
      </w:r>
      <w:r w:rsidR="00FE181D" w:rsidRPr="00C65C17">
        <w:t xml:space="preserve">businesses and authorized </w:t>
      </w:r>
      <w:r w:rsidR="005624C9" w:rsidRPr="00C65C17">
        <w:t>businesses</w:t>
      </w:r>
      <w:r w:rsidR="00FE181D" w:rsidRPr="00C65C17">
        <w:t>.</w:t>
      </w:r>
    </w:p>
    <w:p w14:paraId="7790639D" w14:textId="2BF73EAB" w:rsidR="00D656A5" w:rsidRPr="00C53219" w:rsidRDefault="00D656A5" w:rsidP="00C65C17">
      <w:pPr>
        <w:pStyle w:val="PS"/>
        <w:numPr>
          <w:ilvl w:val="0"/>
          <w:numId w:val="22"/>
        </w:numPr>
        <w:spacing w:line="276" w:lineRule="auto"/>
        <w:jc w:val="both"/>
        <w:rPr>
          <w:lang w:bidi="he-IL"/>
        </w:rPr>
      </w:pPr>
      <w:r w:rsidRPr="00C53219">
        <w:rPr>
          <w:lang w:bidi="he-IL"/>
        </w:rPr>
        <w:t xml:space="preserve">The requirement that banking corporations present </w:t>
      </w:r>
      <w:r w:rsidR="003E02FB" w:rsidRPr="00C53219">
        <w:rPr>
          <w:lang w:bidi="he-IL"/>
        </w:rPr>
        <w:t xml:space="preserve">the information on the cost of withdrawals </w:t>
      </w:r>
      <w:r w:rsidRPr="00C53219">
        <w:rPr>
          <w:lang w:bidi="he-IL"/>
        </w:rPr>
        <w:t>on the opening screen of automatic devices, in accordance with the types of devices and cards,</w:t>
      </w:r>
      <w:r w:rsidR="003E02FB">
        <w:rPr>
          <w:lang w:bidi="he-IL"/>
        </w:rPr>
        <w:t xml:space="preserve"> </w:t>
      </w:r>
      <w:r w:rsidRPr="00C53219">
        <w:rPr>
          <w:lang w:bidi="he-IL"/>
        </w:rPr>
        <w:t>was expanded</w:t>
      </w:r>
      <w:r w:rsidR="00C65C17">
        <w:rPr>
          <w:lang w:bidi="he-IL"/>
        </w:rPr>
        <w:t>. M</w:t>
      </w:r>
      <w:r w:rsidR="00F412B5" w:rsidRPr="00F412B5">
        <w:rPr>
          <w:lang w:bidi="he-IL"/>
        </w:rPr>
        <w:t>oreover</w:t>
      </w:r>
      <w:r w:rsidR="00C65C17">
        <w:rPr>
          <w:lang w:bidi="he-IL"/>
        </w:rPr>
        <w:t>,</w:t>
      </w:r>
      <w:r w:rsidR="00F412B5">
        <w:rPr>
          <w:lang w:bidi="he-IL"/>
        </w:rPr>
        <w:t xml:space="preserve"> an</w:t>
      </w:r>
      <w:r w:rsidRPr="00C53219">
        <w:rPr>
          <w:lang w:bidi="he-IL"/>
        </w:rPr>
        <w:t xml:space="preserve"> option was established for presenting </w:t>
      </w:r>
      <w:r w:rsidR="00F412B5">
        <w:rPr>
          <w:lang w:bidi="he-IL"/>
        </w:rPr>
        <w:t xml:space="preserve">the </w:t>
      </w:r>
      <w:r w:rsidRPr="00C53219">
        <w:rPr>
          <w:lang w:bidi="he-IL"/>
        </w:rPr>
        <w:t xml:space="preserve">said information via notation on the </w:t>
      </w:r>
      <w:r w:rsidR="00F412B5">
        <w:rPr>
          <w:lang w:bidi="he-IL"/>
        </w:rPr>
        <w:t>actual</w:t>
      </w:r>
      <w:r w:rsidR="00F412B5" w:rsidRPr="00C53219">
        <w:rPr>
          <w:lang w:bidi="he-IL"/>
        </w:rPr>
        <w:t xml:space="preserve"> </w:t>
      </w:r>
      <w:r w:rsidRPr="00C53219">
        <w:rPr>
          <w:lang w:bidi="he-IL"/>
        </w:rPr>
        <w:t>device</w:t>
      </w:r>
      <w:r w:rsidR="00F412B5">
        <w:rPr>
          <w:lang w:bidi="he-IL"/>
        </w:rPr>
        <w:t>.</w:t>
      </w:r>
    </w:p>
    <w:p w14:paraId="794A7AA3" w14:textId="77777777" w:rsidR="00CC6EDF" w:rsidRDefault="00CC6EDF" w:rsidP="0009626C">
      <w:pPr>
        <w:pStyle w:val="PS"/>
        <w:numPr>
          <w:ilvl w:val="0"/>
          <w:numId w:val="22"/>
        </w:numPr>
        <w:spacing w:line="276" w:lineRule="auto"/>
        <w:jc w:val="both"/>
        <w:rPr>
          <w:lang w:bidi="he-IL"/>
        </w:rPr>
      </w:pPr>
      <w:r w:rsidRPr="00C53219">
        <w:rPr>
          <w:lang w:bidi="he-IL"/>
        </w:rPr>
        <w:t xml:space="preserve">The ways to receive fee schedules were expanded, </w:t>
      </w:r>
      <w:r w:rsidR="00A8758C" w:rsidRPr="00C53219">
        <w:rPr>
          <w:lang w:bidi="he-IL"/>
        </w:rPr>
        <w:t xml:space="preserve">so that in addition </w:t>
      </w:r>
      <w:r w:rsidR="00363044" w:rsidRPr="00C53219">
        <w:rPr>
          <w:lang w:bidi="he-IL"/>
        </w:rPr>
        <w:t>to the banking corporation’s branches and the website’s homepage, they will be available via recorded phone call and in the customer’s personal area on the banking corporations’ website.</w:t>
      </w:r>
    </w:p>
    <w:p w14:paraId="394FC21E" w14:textId="2188CA1E" w:rsidR="00725686" w:rsidRDefault="00725686" w:rsidP="00C65C17">
      <w:pPr>
        <w:pStyle w:val="PS"/>
        <w:numPr>
          <w:ilvl w:val="0"/>
          <w:numId w:val="22"/>
        </w:numPr>
        <w:spacing w:line="276" w:lineRule="auto"/>
        <w:jc w:val="both"/>
        <w:rPr>
          <w:lang w:bidi="he-IL"/>
        </w:rPr>
      </w:pPr>
      <w:r>
        <w:rPr>
          <w:lang w:bidi="he-IL"/>
        </w:rPr>
        <w:t xml:space="preserve">The customer’s options to notify the banking corporation of his decision to join the tracks service or to cancel his participation in it were adjusted, </w:t>
      </w:r>
      <w:r w:rsidR="004C230B">
        <w:rPr>
          <w:lang w:bidi="he-IL"/>
        </w:rPr>
        <w:t xml:space="preserve">and it was established that notice shall be given via the </w:t>
      </w:r>
      <w:r w:rsidR="00C65C17">
        <w:rPr>
          <w:lang w:bidi="he-IL"/>
        </w:rPr>
        <w:t xml:space="preserve">customer’s preferred </w:t>
      </w:r>
      <w:r w:rsidR="004C230B">
        <w:rPr>
          <w:lang w:bidi="he-IL"/>
        </w:rPr>
        <w:t>means of communication offered by the banking corporation.</w:t>
      </w:r>
    </w:p>
    <w:p w14:paraId="43D6B8F6" w14:textId="02291AA7" w:rsidR="004C230B" w:rsidRDefault="00ED4475" w:rsidP="008B5827">
      <w:pPr>
        <w:pStyle w:val="PS"/>
        <w:numPr>
          <w:ilvl w:val="0"/>
          <w:numId w:val="22"/>
        </w:numPr>
        <w:spacing w:line="276" w:lineRule="auto"/>
        <w:jc w:val="both"/>
        <w:rPr>
          <w:lang w:bidi="he-IL"/>
        </w:rPr>
      </w:pPr>
      <w:r w:rsidRPr="00322013">
        <w:rPr>
          <w:lang w:bidi="he-IL"/>
        </w:rPr>
        <w:t>The “</w:t>
      </w:r>
      <w:r w:rsidR="000959B1" w:rsidRPr="008B5827">
        <w:rPr>
          <w:lang w:bidi="he-IL"/>
        </w:rPr>
        <w:t>insured</w:t>
      </w:r>
      <w:r w:rsidRPr="00322013">
        <w:rPr>
          <w:lang w:bidi="he-IL"/>
        </w:rPr>
        <w:t xml:space="preserve"> bank </w:t>
      </w:r>
      <w:r w:rsidR="00322013" w:rsidRPr="00322013">
        <w:rPr>
          <w:lang w:bidi="he-IL"/>
        </w:rPr>
        <w:t>collateral</w:t>
      </w:r>
      <w:r w:rsidRPr="00322013">
        <w:rPr>
          <w:lang w:bidi="he-IL"/>
        </w:rPr>
        <w:t xml:space="preserve"> in a specific monetary deposit” service</w:t>
      </w:r>
      <w:r>
        <w:rPr>
          <w:lang w:bidi="he-IL"/>
        </w:rPr>
        <w:t xml:space="preserve"> was defined in the Rules as a service distinct from the “bank </w:t>
      </w:r>
      <w:r w:rsidR="000E5969" w:rsidRPr="000E5969">
        <w:rPr>
          <w:lang w:bidi="he-IL"/>
        </w:rPr>
        <w:t>collateral</w:t>
      </w:r>
      <w:r>
        <w:rPr>
          <w:lang w:bidi="he-IL"/>
        </w:rPr>
        <w:t xml:space="preserve">” service, and the banking corporations will be obligated to establish the minimum fee </w:t>
      </w:r>
      <w:r w:rsidR="000034D9">
        <w:rPr>
          <w:lang w:bidi="he-IL"/>
        </w:rPr>
        <w:t xml:space="preserve">and the fee schedule calculated as a percentage, at a lower level than the parallel fee schedules in respect of the “bank </w:t>
      </w:r>
      <w:r w:rsidR="000E5969" w:rsidRPr="000E5969">
        <w:rPr>
          <w:lang w:bidi="he-IL"/>
        </w:rPr>
        <w:t>collateral</w:t>
      </w:r>
      <w:r w:rsidR="000034D9">
        <w:rPr>
          <w:lang w:bidi="he-IL"/>
        </w:rPr>
        <w:t>” service.</w:t>
      </w:r>
    </w:p>
    <w:p w14:paraId="1F829AD3" w14:textId="7DF2B6AC" w:rsidR="008E1A8C" w:rsidRPr="00C53219" w:rsidRDefault="008E1A8C" w:rsidP="0086797F">
      <w:pPr>
        <w:pStyle w:val="PS"/>
        <w:numPr>
          <w:ilvl w:val="0"/>
          <w:numId w:val="22"/>
        </w:numPr>
        <w:spacing w:line="276" w:lineRule="auto"/>
        <w:jc w:val="both"/>
        <w:rPr>
          <w:lang w:bidi="he-IL"/>
        </w:rPr>
      </w:pPr>
      <w:r>
        <w:rPr>
          <w:lang w:bidi="he-IL"/>
        </w:rPr>
        <w:t>Ahead of the going</w:t>
      </w:r>
      <w:r w:rsidR="000A017F">
        <w:rPr>
          <w:lang w:bidi="he-IL"/>
        </w:rPr>
        <w:t>-</w:t>
      </w:r>
      <w:r>
        <w:rPr>
          <w:lang w:bidi="he-IL"/>
        </w:rPr>
        <w:t>into</w:t>
      </w:r>
      <w:r w:rsidR="000A017F">
        <w:rPr>
          <w:lang w:bidi="he-IL"/>
        </w:rPr>
        <w:t>-</w:t>
      </w:r>
      <w:r>
        <w:rPr>
          <w:lang w:bidi="he-IL"/>
        </w:rPr>
        <w:t>effect, on July 1, 2019, of the provisions in the Reducing the Use of Cash Law, 5778-2018, that impo</w:t>
      </w:r>
      <w:r w:rsidR="00CE731E">
        <w:rPr>
          <w:lang w:bidi="he-IL"/>
        </w:rPr>
        <w:t>se a limit on the use of checks,</w:t>
      </w:r>
      <w:r w:rsidR="006B7B88">
        <w:rPr>
          <w:lang w:bidi="he-IL"/>
        </w:rPr>
        <w:t xml:space="preserve"> the Governor of the Bank of Israel declared, through an Order, </w:t>
      </w:r>
      <w:r w:rsidR="00747708">
        <w:rPr>
          <w:lang w:bidi="he-IL"/>
        </w:rPr>
        <w:t xml:space="preserve">that </w:t>
      </w:r>
      <w:r w:rsidR="006B7B88">
        <w:rPr>
          <w:lang w:bidi="he-IL"/>
        </w:rPr>
        <w:t xml:space="preserve">the service of depositing a post-dated check by individuals and small businesses </w:t>
      </w:r>
      <w:r w:rsidR="00747708">
        <w:rPr>
          <w:lang w:bidi="he-IL"/>
        </w:rPr>
        <w:t xml:space="preserve">is </w:t>
      </w:r>
      <w:r w:rsidR="006B7B88">
        <w:rPr>
          <w:lang w:bidi="he-IL"/>
        </w:rPr>
        <w:t>a supervised service,</w:t>
      </w:r>
      <w:r w:rsidR="008F4BB7">
        <w:rPr>
          <w:lang w:bidi="he-IL"/>
        </w:rPr>
        <w:t xml:space="preserve"> </w:t>
      </w:r>
      <w:r w:rsidR="006B7B88">
        <w:rPr>
          <w:lang w:bidi="he-IL"/>
        </w:rPr>
        <w:t xml:space="preserve">with a maximum price of NIS 2 per deposit. The Order will be in effect for a limited period of </w:t>
      </w:r>
      <w:r w:rsidR="005D7BB3">
        <w:rPr>
          <w:lang w:bidi="he-IL"/>
        </w:rPr>
        <w:t xml:space="preserve">about </w:t>
      </w:r>
      <w:r w:rsidR="006B7B88">
        <w:rPr>
          <w:lang w:bidi="he-IL"/>
        </w:rPr>
        <w:t xml:space="preserve">3 months, beginning from April 15, 2019, </w:t>
      </w:r>
      <w:r w:rsidR="006B7B88" w:rsidRPr="005D7BB3">
        <w:rPr>
          <w:lang w:bidi="he-IL"/>
        </w:rPr>
        <w:t xml:space="preserve">through </w:t>
      </w:r>
      <w:r w:rsidR="006B7B88" w:rsidRPr="0086797F">
        <w:rPr>
          <w:lang w:bidi="he-IL"/>
        </w:rPr>
        <w:t>June 30, 2019,</w:t>
      </w:r>
      <w:r w:rsidR="006B7B88">
        <w:rPr>
          <w:lang w:bidi="he-IL"/>
        </w:rPr>
        <w:t xml:space="preserve"> and will apply to </w:t>
      </w:r>
      <w:proofErr w:type="gramStart"/>
      <w:r w:rsidR="006B7B88" w:rsidRPr="0086797F">
        <w:rPr>
          <w:lang w:bidi="he-IL"/>
        </w:rPr>
        <w:t>endorsed</w:t>
      </w:r>
      <w:proofErr w:type="gramEnd"/>
      <w:r w:rsidR="006B7B88">
        <w:rPr>
          <w:lang w:bidi="he-IL"/>
        </w:rPr>
        <w:t xml:space="preserve"> checks.</w:t>
      </w:r>
      <w:r w:rsidR="005C7673">
        <w:rPr>
          <w:lang w:bidi="he-IL"/>
        </w:rPr>
        <w:t xml:space="preserve"> The implication of the limitations on the use of checks is that after</w:t>
      </w:r>
      <w:r w:rsidR="008F4BB7">
        <w:rPr>
          <w:lang w:bidi="he-IL"/>
        </w:rPr>
        <w:t xml:space="preserve"> </w:t>
      </w:r>
      <w:r w:rsidR="005C7673">
        <w:rPr>
          <w:lang w:bidi="he-IL"/>
        </w:rPr>
        <w:t xml:space="preserve">July 1, 2019, there is a concern that an endorsed check, when deposited into a current account at a bank, will not be honored, and will be returned to the check depositor. In order to prevent such a situation, and to encourage the public to deposit such checks for custody </w:t>
      </w:r>
      <w:r w:rsidR="009E0D7D">
        <w:rPr>
          <w:lang w:bidi="he-IL"/>
        </w:rPr>
        <w:t xml:space="preserve">at </w:t>
      </w:r>
      <w:r w:rsidR="008F4BB7">
        <w:rPr>
          <w:lang w:bidi="he-IL"/>
        </w:rPr>
        <w:t>the</w:t>
      </w:r>
      <w:r w:rsidR="009E0D7D">
        <w:rPr>
          <w:lang w:bidi="he-IL"/>
        </w:rPr>
        <w:t xml:space="preserve"> bank before the law goes into effect, </w:t>
      </w:r>
      <w:r w:rsidR="005C7673">
        <w:rPr>
          <w:lang w:bidi="he-IL"/>
        </w:rPr>
        <w:t xml:space="preserve">the process of reducing the cost of the service </w:t>
      </w:r>
      <w:r w:rsidR="009E0D7D">
        <w:rPr>
          <w:lang w:bidi="he-IL"/>
        </w:rPr>
        <w:t>was instituted, for a limited period</w:t>
      </w:r>
      <w:r w:rsidR="005C7673">
        <w:rPr>
          <w:lang w:bidi="he-IL"/>
        </w:rPr>
        <w:t xml:space="preserve">, </w:t>
      </w:r>
      <w:r w:rsidR="009E0D7D">
        <w:rPr>
          <w:lang w:bidi="he-IL"/>
        </w:rPr>
        <w:t>until the law goes into effect for customers to whom the new law applies.</w:t>
      </w:r>
    </w:p>
    <w:p w14:paraId="4C08AF4C" w14:textId="20296543" w:rsidR="005D7BB3" w:rsidRDefault="005D7BB3" w:rsidP="00D656A5">
      <w:pPr>
        <w:pStyle w:val="PS"/>
        <w:spacing w:line="276" w:lineRule="auto"/>
        <w:ind w:firstLine="0"/>
        <w:jc w:val="both"/>
        <w:rPr>
          <w:lang w:bidi="he-IL"/>
        </w:rPr>
      </w:pPr>
    </w:p>
    <w:p w14:paraId="6F1E7CF9" w14:textId="5CA990DB" w:rsidR="005D7BB3" w:rsidRDefault="005D7BB3" w:rsidP="00D656A5">
      <w:pPr>
        <w:pStyle w:val="PS"/>
        <w:spacing w:line="276" w:lineRule="auto"/>
        <w:ind w:firstLine="0"/>
        <w:jc w:val="both"/>
        <w:rPr>
          <w:lang w:bidi="he-IL"/>
        </w:rPr>
      </w:pPr>
    </w:p>
    <w:p w14:paraId="70270A28" w14:textId="16DB9449" w:rsidR="005D7BB3" w:rsidRDefault="005D7BB3" w:rsidP="00D656A5">
      <w:pPr>
        <w:pStyle w:val="PS"/>
        <w:spacing w:line="276" w:lineRule="auto"/>
        <w:ind w:firstLine="0"/>
        <w:jc w:val="both"/>
        <w:rPr>
          <w:lang w:bidi="he-IL"/>
        </w:rPr>
      </w:pPr>
    </w:p>
    <w:p w14:paraId="00D463BB" w14:textId="77777777" w:rsidR="005D7BB3" w:rsidRPr="00C53219" w:rsidRDefault="005D7BB3" w:rsidP="00D656A5">
      <w:pPr>
        <w:pStyle w:val="PS"/>
        <w:spacing w:line="276" w:lineRule="auto"/>
        <w:ind w:firstLine="0"/>
        <w:jc w:val="both"/>
        <w:rPr>
          <w:lang w:bidi="he-IL"/>
        </w:rPr>
      </w:pPr>
    </w:p>
    <w:p w14:paraId="777EFF10" w14:textId="77777777" w:rsidR="004D083D" w:rsidRDefault="004D083D" w:rsidP="004D083D">
      <w:pPr>
        <w:pStyle w:val="PS"/>
        <w:spacing w:line="276" w:lineRule="auto"/>
        <w:ind w:firstLine="0"/>
        <w:jc w:val="both"/>
        <w:rPr>
          <w:b/>
          <w:bCs/>
        </w:rPr>
      </w:pPr>
    </w:p>
    <w:p w14:paraId="0B55F7B9" w14:textId="77777777" w:rsidR="004D083D" w:rsidRPr="00D76510" w:rsidRDefault="004D083D" w:rsidP="004D083D">
      <w:pPr>
        <w:pStyle w:val="PS"/>
        <w:spacing w:line="276" w:lineRule="auto"/>
        <w:ind w:firstLine="0"/>
        <w:jc w:val="both"/>
        <w:rPr>
          <w:b/>
          <w:bCs/>
        </w:rPr>
      </w:pPr>
      <w:r w:rsidRPr="00D76510">
        <w:rPr>
          <w:b/>
          <w:bCs/>
        </w:rPr>
        <w:lastRenderedPageBreak/>
        <w:t>APPENDIX</w:t>
      </w:r>
    </w:p>
    <w:p w14:paraId="7C0D2C1A" w14:textId="77777777" w:rsidR="004D083D" w:rsidRPr="00D76510" w:rsidRDefault="004D083D" w:rsidP="00551675">
      <w:pPr>
        <w:pStyle w:val="PS"/>
        <w:spacing w:line="276" w:lineRule="auto"/>
        <w:ind w:firstLine="0"/>
        <w:jc w:val="both"/>
        <w:rPr>
          <w:b/>
          <w:bCs/>
        </w:rPr>
      </w:pPr>
      <w:r w:rsidRPr="00D76510">
        <w:rPr>
          <w:b/>
          <w:bCs/>
        </w:rPr>
        <w:t>Summary of measures adopted in the areas of fees in 2013</w:t>
      </w:r>
      <w:r w:rsidRPr="005D7BB3">
        <w:rPr>
          <w:b/>
          <w:bCs/>
        </w:rPr>
        <w:t>–</w:t>
      </w:r>
      <w:r w:rsidR="00551675" w:rsidRPr="00D63B21">
        <w:rPr>
          <w:b/>
          <w:bCs/>
        </w:rPr>
        <w:t>June, 20</w:t>
      </w:r>
      <w:r w:rsidRPr="00D63B21">
        <w:rPr>
          <w:b/>
          <w:bCs/>
        </w:rPr>
        <w:t>1</w:t>
      </w:r>
      <w:r w:rsidR="00551675" w:rsidRPr="00D63B21">
        <w:rPr>
          <w:b/>
          <w:bCs/>
        </w:rPr>
        <w:t>8</w:t>
      </w:r>
    </w:p>
    <w:p w14:paraId="2061CE9E" w14:textId="77777777" w:rsidR="004D083D" w:rsidRDefault="004D083D" w:rsidP="004D083D">
      <w:pPr>
        <w:pStyle w:val="PS"/>
        <w:spacing w:line="276" w:lineRule="auto"/>
        <w:ind w:firstLine="0"/>
        <w:jc w:val="both"/>
      </w:pPr>
    </w:p>
    <w:tbl>
      <w:tblPr>
        <w:tblStyle w:val="af9"/>
        <w:tblW w:w="9466" w:type="dxa"/>
        <w:tblLook w:val="04A0" w:firstRow="1" w:lastRow="0" w:firstColumn="1" w:lastColumn="0" w:noHBand="0" w:noVBand="1"/>
      </w:tblPr>
      <w:tblGrid>
        <w:gridCol w:w="1008"/>
        <w:gridCol w:w="6030"/>
        <w:gridCol w:w="2428"/>
      </w:tblGrid>
      <w:tr w:rsidR="004D083D" w14:paraId="797DF1B2" w14:textId="77777777" w:rsidTr="00EF10A8">
        <w:trPr>
          <w:tblHeader/>
        </w:trPr>
        <w:tc>
          <w:tcPr>
            <w:tcW w:w="1008" w:type="dxa"/>
            <w:shd w:val="clear" w:color="auto" w:fill="002060"/>
          </w:tcPr>
          <w:p w14:paraId="63404FE6" w14:textId="77777777" w:rsidR="004D083D" w:rsidRDefault="004D083D" w:rsidP="004D083D">
            <w:pPr>
              <w:pStyle w:val="PS"/>
              <w:spacing w:line="276" w:lineRule="auto"/>
              <w:ind w:firstLine="0"/>
              <w:jc w:val="both"/>
            </w:pPr>
            <w:r>
              <w:t>Number</w:t>
            </w:r>
          </w:p>
        </w:tc>
        <w:tc>
          <w:tcPr>
            <w:tcW w:w="6030" w:type="dxa"/>
            <w:shd w:val="clear" w:color="auto" w:fill="002060"/>
          </w:tcPr>
          <w:p w14:paraId="354615DA" w14:textId="77777777" w:rsidR="004D083D" w:rsidRDefault="004D083D" w:rsidP="004D083D">
            <w:pPr>
              <w:pStyle w:val="PS"/>
              <w:spacing w:line="276" w:lineRule="auto"/>
              <w:ind w:firstLine="0"/>
              <w:jc w:val="both"/>
            </w:pPr>
            <w:r>
              <w:t>Changes/steps regarding fees</w:t>
            </w:r>
          </w:p>
        </w:tc>
        <w:tc>
          <w:tcPr>
            <w:tcW w:w="2428" w:type="dxa"/>
            <w:shd w:val="clear" w:color="auto" w:fill="002060"/>
          </w:tcPr>
          <w:p w14:paraId="5CC12A3B" w14:textId="77777777" w:rsidR="004D083D" w:rsidRDefault="004D083D" w:rsidP="004D083D">
            <w:pPr>
              <w:pStyle w:val="PS"/>
              <w:spacing w:line="276" w:lineRule="auto"/>
              <w:ind w:firstLine="0"/>
              <w:jc w:val="both"/>
            </w:pPr>
            <w:r>
              <w:t>Valid as of</w:t>
            </w:r>
          </w:p>
        </w:tc>
      </w:tr>
      <w:tr w:rsidR="00F370CD" w14:paraId="7BE0B3DB" w14:textId="77777777" w:rsidTr="007F0B2C">
        <w:tc>
          <w:tcPr>
            <w:tcW w:w="1008" w:type="dxa"/>
          </w:tcPr>
          <w:p w14:paraId="6FAE38D1" w14:textId="77777777" w:rsidR="00F370CD" w:rsidRDefault="00F370CD" w:rsidP="004D083D">
            <w:pPr>
              <w:pStyle w:val="PS"/>
              <w:spacing w:line="276" w:lineRule="auto"/>
              <w:ind w:firstLine="0"/>
              <w:jc w:val="both"/>
            </w:pPr>
            <w:r>
              <w:t>1.</w:t>
            </w:r>
          </w:p>
        </w:tc>
        <w:tc>
          <w:tcPr>
            <w:tcW w:w="6030" w:type="dxa"/>
          </w:tcPr>
          <w:p w14:paraId="09C68D36" w14:textId="5F603739" w:rsidR="00F370CD" w:rsidRDefault="00F370CD" w:rsidP="004D083D">
            <w:pPr>
              <w:pStyle w:val="PS"/>
              <w:spacing w:line="276" w:lineRule="auto"/>
              <w:ind w:firstLine="0"/>
              <w:jc w:val="both"/>
            </w:pPr>
            <w:r>
              <w:t>Publication of draft amendment to the Fees Rules, for public comment</w:t>
            </w:r>
          </w:p>
        </w:tc>
        <w:tc>
          <w:tcPr>
            <w:tcW w:w="2428" w:type="dxa"/>
          </w:tcPr>
          <w:p w14:paraId="2123F7A8" w14:textId="77777777" w:rsidR="00F370CD" w:rsidRDefault="00F370CD" w:rsidP="004D083D">
            <w:pPr>
              <w:pStyle w:val="PS"/>
              <w:spacing w:line="276" w:lineRule="auto"/>
              <w:ind w:firstLine="0"/>
              <w:jc w:val="both"/>
            </w:pPr>
            <w:r>
              <w:t>Oct. 25, 2018</w:t>
            </w:r>
          </w:p>
        </w:tc>
      </w:tr>
      <w:tr w:rsidR="004D083D" w14:paraId="5AFF4697" w14:textId="77777777" w:rsidTr="007F0B2C">
        <w:tc>
          <w:tcPr>
            <w:tcW w:w="1008" w:type="dxa"/>
          </w:tcPr>
          <w:p w14:paraId="7660D1DD" w14:textId="77777777" w:rsidR="004D083D" w:rsidRDefault="00AF3890" w:rsidP="004D083D">
            <w:pPr>
              <w:pStyle w:val="PS"/>
              <w:spacing w:line="276" w:lineRule="auto"/>
              <w:ind w:firstLine="0"/>
              <w:jc w:val="both"/>
            </w:pPr>
            <w:r>
              <w:t>2.</w:t>
            </w:r>
          </w:p>
        </w:tc>
        <w:tc>
          <w:tcPr>
            <w:tcW w:w="6030" w:type="dxa"/>
          </w:tcPr>
          <w:p w14:paraId="7B600E7B" w14:textId="4DF88F9B" w:rsidR="004D083D" w:rsidRDefault="003B02D3" w:rsidP="004D083D">
            <w:pPr>
              <w:pStyle w:val="PS"/>
              <w:spacing w:line="276" w:lineRule="auto"/>
              <w:ind w:firstLine="0"/>
              <w:jc w:val="both"/>
            </w:pPr>
            <w:r>
              <w:t xml:space="preserve">Reduction of capital allocation against </w:t>
            </w:r>
            <w:r w:rsidRPr="008C7DE8">
              <w:rPr>
                <w:b/>
                <w:bCs/>
              </w:rPr>
              <w:t xml:space="preserve">bank </w:t>
            </w:r>
            <w:r w:rsidR="000E5969" w:rsidRPr="000E5969">
              <w:rPr>
                <w:b/>
                <w:bCs/>
              </w:rPr>
              <w:t>collateral</w:t>
            </w:r>
            <w:r w:rsidRPr="008C7DE8">
              <w:rPr>
                <w:b/>
                <w:bCs/>
              </w:rPr>
              <w:t xml:space="preserve"> backed by a financial deposit</w:t>
            </w:r>
          </w:p>
        </w:tc>
        <w:tc>
          <w:tcPr>
            <w:tcW w:w="2428" w:type="dxa"/>
          </w:tcPr>
          <w:p w14:paraId="2F1886FC" w14:textId="77777777" w:rsidR="004D083D" w:rsidRDefault="003B02D3" w:rsidP="004D083D">
            <w:pPr>
              <w:pStyle w:val="PS"/>
              <w:spacing w:line="276" w:lineRule="auto"/>
              <w:ind w:firstLine="0"/>
              <w:jc w:val="both"/>
            </w:pPr>
            <w:r>
              <w:t>Dec. 18, 2017</w:t>
            </w:r>
          </w:p>
        </w:tc>
      </w:tr>
      <w:tr w:rsidR="004D083D" w14:paraId="5FBFD7E8" w14:textId="77777777" w:rsidTr="007F0B2C">
        <w:tc>
          <w:tcPr>
            <w:tcW w:w="1008" w:type="dxa"/>
          </w:tcPr>
          <w:p w14:paraId="0E43EEEB" w14:textId="77777777" w:rsidR="004D083D" w:rsidRDefault="00AF3890" w:rsidP="00AF3890">
            <w:pPr>
              <w:pStyle w:val="PS"/>
              <w:spacing w:line="276" w:lineRule="auto"/>
              <w:ind w:firstLine="0"/>
              <w:jc w:val="both"/>
            </w:pPr>
            <w:r>
              <w:t>3</w:t>
            </w:r>
            <w:r w:rsidR="00D87E37">
              <w:t>.</w:t>
            </w:r>
          </w:p>
        </w:tc>
        <w:tc>
          <w:tcPr>
            <w:tcW w:w="6030" w:type="dxa"/>
          </w:tcPr>
          <w:p w14:paraId="5F315B9A" w14:textId="5D11D363" w:rsidR="004D083D" w:rsidRDefault="003B02D3" w:rsidP="004D083D">
            <w:pPr>
              <w:pStyle w:val="PS"/>
              <w:spacing w:line="276" w:lineRule="auto"/>
              <w:ind w:firstLine="0"/>
              <w:jc w:val="both"/>
            </w:pPr>
            <w:r>
              <w:t>Obligation to set reduced fee schedules for</w:t>
            </w:r>
            <w:r w:rsidR="00815C78">
              <w:t xml:space="preserve"> all</w:t>
            </w:r>
            <w:r>
              <w:t xml:space="preserve"> </w:t>
            </w:r>
            <w:r w:rsidRPr="008C7DE8">
              <w:rPr>
                <w:b/>
                <w:bCs/>
              </w:rPr>
              <w:t>customer-executed transactions</w:t>
            </w:r>
            <w:r>
              <w:t>, publication of comparison between fees on teller-executed transaction and reduced fees on customer-executed transactions</w:t>
            </w:r>
          </w:p>
        </w:tc>
        <w:tc>
          <w:tcPr>
            <w:tcW w:w="2428" w:type="dxa"/>
          </w:tcPr>
          <w:p w14:paraId="0393FF90" w14:textId="77777777" w:rsidR="004D083D" w:rsidRDefault="003B02D3" w:rsidP="004D083D">
            <w:pPr>
              <w:pStyle w:val="PS"/>
              <w:spacing w:line="276" w:lineRule="auto"/>
              <w:ind w:firstLine="0"/>
              <w:jc w:val="both"/>
            </w:pPr>
            <w:r>
              <w:t>Nov. 1, 2017</w:t>
            </w:r>
          </w:p>
        </w:tc>
      </w:tr>
      <w:tr w:rsidR="004D083D" w14:paraId="2B6642A0" w14:textId="77777777" w:rsidTr="007F0B2C">
        <w:tc>
          <w:tcPr>
            <w:tcW w:w="1008" w:type="dxa"/>
          </w:tcPr>
          <w:p w14:paraId="5DCAB9A5" w14:textId="77777777" w:rsidR="004D083D" w:rsidRDefault="00AF3890" w:rsidP="00AF3890">
            <w:pPr>
              <w:pStyle w:val="PS"/>
              <w:spacing w:line="276" w:lineRule="auto"/>
              <w:ind w:firstLine="0"/>
              <w:jc w:val="both"/>
            </w:pPr>
            <w:r>
              <w:t>4.</w:t>
            </w:r>
          </w:p>
        </w:tc>
        <w:tc>
          <w:tcPr>
            <w:tcW w:w="6030" w:type="dxa"/>
          </w:tcPr>
          <w:p w14:paraId="4540CB07" w14:textId="77777777" w:rsidR="004D083D" w:rsidRDefault="003B02D3" w:rsidP="004D083D">
            <w:pPr>
              <w:pStyle w:val="PS"/>
              <w:spacing w:line="276" w:lineRule="auto"/>
              <w:ind w:firstLine="0"/>
              <w:jc w:val="both"/>
            </w:pPr>
            <w:r>
              <w:t xml:space="preserve">Setting a different fee for a </w:t>
            </w:r>
            <w:r w:rsidRPr="008C7DE8">
              <w:rPr>
                <w:b/>
                <w:bCs/>
              </w:rPr>
              <w:t>walk-in customer</w:t>
            </w:r>
          </w:p>
        </w:tc>
        <w:tc>
          <w:tcPr>
            <w:tcW w:w="2428" w:type="dxa"/>
          </w:tcPr>
          <w:p w14:paraId="61B9AE72" w14:textId="77777777" w:rsidR="004D083D" w:rsidRDefault="003B02D3" w:rsidP="004D083D">
            <w:pPr>
              <w:pStyle w:val="PS"/>
              <w:spacing w:line="276" w:lineRule="auto"/>
              <w:ind w:firstLine="0"/>
              <w:jc w:val="both"/>
            </w:pPr>
            <w:r>
              <w:t>Nov. 1, 2017</w:t>
            </w:r>
          </w:p>
        </w:tc>
      </w:tr>
      <w:tr w:rsidR="004D083D" w14:paraId="2E9FA869" w14:textId="77777777" w:rsidTr="007F0B2C">
        <w:tc>
          <w:tcPr>
            <w:tcW w:w="1008" w:type="dxa"/>
          </w:tcPr>
          <w:p w14:paraId="0D16CD98" w14:textId="77777777" w:rsidR="004D083D" w:rsidRDefault="00AF3890" w:rsidP="004D083D">
            <w:pPr>
              <w:pStyle w:val="PS"/>
              <w:spacing w:line="276" w:lineRule="auto"/>
              <w:ind w:firstLine="0"/>
              <w:jc w:val="both"/>
            </w:pPr>
            <w:r>
              <w:t>5.</w:t>
            </w:r>
          </w:p>
        </w:tc>
        <w:tc>
          <w:tcPr>
            <w:tcW w:w="6030" w:type="dxa"/>
          </w:tcPr>
          <w:p w14:paraId="3ED9EF0D" w14:textId="77777777" w:rsidR="004D083D" w:rsidRDefault="00362030" w:rsidP="00362030">
            <w:pPr>
              <w:pStyle w:val="PS"/>
              <w:spacing w:line="276" w:lineRule="auto"/>
              <w:ind w:firstLine="0"/>
              <w:jc w:val="both"/>
            </w:pPr>
            <w:r>
              <w:t xml:space="preserve">Setting an </w:t>
            </w:r>
            <w:r w:rsidRPr="008C7DE8">
              <w:rPr>
                <w:b/>
                <w:bCs/>
              </w:rPr>
              <w:t>ATM withdrawal fee for a distant machine</w:t>
            </w:r>
          </w:p>
        </w:tc>
        <w:tc>
          <w:tcPr>
            <w:tcW w:w="2428" w:type="dxa"/>
          </w:tcPr>
          <w:p w14:paraId="49B48D5B" w14:textId="77777777" w:rsidR="004D083D" w:rsidRDefault="00362030" w:rsidP="004D083D">
            <w:pPr>
              <w:pStyle w:val="PS"/>
              <w:spacing w:line="276" w:lineRule="auto"/>
              <w:ind w:firstLine="0"/>
              <w:jc w:val="both"/>
            </w:pPr>
            <w:r>
              <w:t>Sep. 24, 2017</w:t>
            </w:r>
          </w:p>
        </w:tc>
      </w:tr>
      <w:tr w:rsidR="004D083D" w14:paraId="098FEB0E" w14:textId="77777777" w:rsidTr="007F0B2C">
        <w:tc>
          <w:tcPr>
            <w:tcW w:w="1008" w:type="dxa"/>
          </w:tcPr>
          <w:p w14:paraId="3E0CA181" w14:textId="77777777" w:rsidR="004D083D" w:rsidRDefault="00AF3890" w:rsidP="004D083D">
            <w:pPr>
              <w:pStyle w:val="PS"/>
              <w:spacing w:line="276" w:lineRule="auto"/>
              <w:ind w:firstLine="0"/>
              <w:jc w:val="both"/>
            </w:pPr>
            <w:r>
              <w:t>6.</w:t>
            </w:r>
          </w:p>
        </w:tc>
        <w:tc>
          <w:tcPr>
            <w:tcW w:w="6030" w:type="dxa"/>
          </w:tcPr>
          <w:p w14:paraId="059CB825" w14:textId="1F38AAA4" w:rsidR="004D083D" w:rsidRDefault="0011223B" w:rsidP="00521B4F">
            <w:pPr>
              <w:pStyle w:val="PS"/>
              <w:spacing w:line="276" w:lineRule="auto"/>
              <w:ind w:firstLine="0"/>
              <w:jc w:val="both"/>
            </w:pPr>
            <w:r>
              <w:t xml:space="preserve">Adding </w:t>
            </w:r>
            <w:r w:rsidRPr="008C7DE8">
              <w:rPr>
                <w:b/>
                <w:bCs/>
              </w:rPr>
              <w:t>pension advisory service</w:t>
            </w:r>
            <w:r>
              <w:t xml:space="preserve"> to fees rules</w:t>
            </w:r>
          </w:p>
        </w:tc>
        <w:tc>
          <w:tcPr>
            <w:tcW w:w="2428" w:type="dxa"/>
          </w:tcPr>
          <w:p w14:paraId="68511498" w14:textId="77777777" w:rsidR="004D083D" w:rsidRDefault="0011223B" w:rsidP="004D083D">
            <w:pPr>
              <w:pStyle w:val="PS"/>
              <w:spacing w:line="276" w:lineRule="auto"/>
              <w:ind w:firstLine="0"/>
              <w:jc w:val="both"/>
            </w:pPr>
            <w:r>
              <w:t>July 19, 2016</w:t>
            </w:r>
          </w:p>
        </w:tc>
      </w:tr>
      <w:tr w:rsidR="0011223B" w14:paraId="779D8655" w14:textId="77777777" w:rsidTr="007F0B2C">
        <w:tc>
          <w:tcPr>
            <w:tcW w:w="1008" w:type="dxa"/>
          </w:tcPr>
          <w:p w14:paraId="713937C6" w14:textId="77777777" w:rsidR="0011223B" w:rsidRDefault="00AF3890" w:rsidP="004D083D">
            <w:pPr>
              <w:pStyle w:val="PS"/>
              <w:spacing w:line="276" w:lineRule="auto"/>
              <w:ind w:firstLine="0"/>
              <w:jc w:val="both"/>
            </w:pPr>
            <w:r>
              <w:t>7.</w:t>
            </w:r>
          </w:p>
        </w:tc>
        <w:tc>
          <w:tcPr>
            <w:tcW w:w="6030" w:type="dxa"/>
          </w:tcPr>
          <w:p w14:paraId="3B1D8FE8" w14:textId="77777777" w:rsidR="0011223B" w:rsidRDefault="0011223B" w:rsidP="004D083D">
            <w:pPr>
              <w:pStyle w:val="PS"/>
              <w:spacing w:line="276" w:lineRule="auto"/>
              <w:ind w:firstLine="0"/>
              <w:jc w:val="both"/>
            </w:pPr>
            <w:r>
              <w:t xml:space="preserve">Issuing a </w:t>
            </w:r>
            <w:r w:rsidRPr="008C7DE8">
              <w:rPr>
                <w:b/>
                <w:bCs/>
              </w:rPr>
              <w:t>notice to a customer</w:t>
            </w:r>
            <w:r>
              <w:t xml:space="preserve"> after a half-year from closure of the account, with no fee</w:t>
            </w:r>
          </w:p>
        </w:tc>
        <w:tc>
          <w:tcPr>
            <w:tcW w:w="2428" w:type="dxa"/>
          </w:tcPr>
          <w:p w14:paraId="78267D30" w14:textId="77777777" w:rsidR="0011223B" w:rsidRDefault="00364EF2" w:rsidP="004D083D">
            <w:pPr>
              <w:pStyle w:val="PS"/>
              <w:spacing w:line="276" w:lineRule="auto"/>
              <w:ind w:firstLine="0"/>
              <w:jc w:val="both"/>
            </w:pPr>
            <w:r>
              <w:t>July 19, 2016</w:t>
            </w:r>
          </w:p>
        </w:tc>
      </w:tr>
      <w:tr w:rsidR="0011223B" w14:paraId="21BCD76E" w14:textId="77777777" w:rsidTr="007F0B2C">
        <w:tc>
          <w:tcPr>
            <w:tcW w:w="1008" w:type="dxa"/>
          </w:tcPr>
          <w:p w14:paraId="71375A4B" w14:textId="77777777" w:rsidR="0011223B" w:rsidRDefault="00AF3890" w:rsidP="004D083D">
            <w:pPr>
              <w:pStyle w:val="PS"/>
              <w:spacing w:line="276" w:lineRule="auto"/>
              <w:ind w:firstLine="0"/>
              <w:jc w:val="both"/>
            </w:pPr>
            <w:r>
              <w:t>8.</w:t>
            </w:r>
          </w:p>
        </w:tc>
        <w:tc>
          <w:tcPr>
            <w:tcW w:w="6030" w:type="dxa"/>
          </w:tcPr>
          <w:p w14:paraId="738FF358" w14:textId="596F3C2B" w:rsidR="0011223B" w:rsidRDefault="008C7DE8" w:rsidP="004D083D">
            <w:pPr>
              <w:pStyle w:val="PS"/>
              <w:spacing w:line="276" w:lineRule="auto"/>
              <w:ind w:firstLine="0"/>
              <w:jc w:val="both"/>
            </w:pPr>
            <w:r>
              <w:t xml:space="preserve">Reducing the amount of the </w:t>
            </w:r>
            <w:r w:rsidRPr="008C7DE8">
              <w:rPr>
                <w:b/>
                <w:bCs/>
              </w:rPr>
              <w:t>fee in respect of changing the repayment date of a housing loan</w:t>
            </w:r>
            <w:r w:rsidR="001A76AB">
              <w:rPr>
                <w:b/>
                <w:bCs/>
              </w:rPr>
              <w:t>,</w:t>
            </w:r>
            <w:r>
              <w:t xml:space="preserve"> from NIS 125 to the cost of a teller-executed transaction</w:t>
            </w:r>
          </w:p>
        </w:tc>
        <w:tc>
          <w:tcPr>
            <w:tcW w:w="2428" w:type="dxa"/>
          </w:tcPr>
          <w:p w14:paraId="747759CC" w14:textId="77777777" w:rsidR="0011223B" w:rsidRDefault="00364EF2" w:rsidP="004D083D">
            <w:pPr>
              <w:pStyle w:val="PS"/>
              <w:spacing w:line="276" w:lineRule="auto"/>
              <w:ind w:firstLine="0"/>
              <w:jc w:val="both"/>
            </w:pPr>
            <w:r>
              <w:t>July 19, 2016</w:t>
            </w:r>
          </w:p>
        </w:tc>
      </w:tr>
      <w:tr w:rsidR="00364EF2" w14:paraId="44B84CFC" w14:textId="77777777" w:rsidTr="007F0B2C">
        <w:tc>
          <w:tcPr>
            <w:tcW w:w="1008" w:type="dxa"/>
          </w:tcPr>
          <w:p w14:paraId="64A15539" w14:textId="77777777" w:rsidR="00364EF2" w:rsidRDefault="00122F7F" w:rsidP="004D083D">
            <w:pPr>
              <w:pStyle w:val="PS"/>
              <w:spacing w:line="276" w:lineRule="auto"/>
              <w:ind w:firstLine="0"/>
              <w:jc w:val="both"/>
            </w:pPr>
            <w:r>
              <w:t>9.</w:t>
            </w:r>
          </w:p>
        </w:tc>
        <w:tc>
          <w:tcPr>
            <w:tcW w:w="6030" w:type="dxa"/>
          </w:tcPr>
          <w:p w14:paraId="1C4F69BD" w14:textId="77777777" w:rsidR="00364EF2" w:rsidRDefault="00FD5261" w:rsidP="00FD5261">
            <w:pPr>
              <w:pStyle w:val="PS"/>
              <w:spacing w:line="276" w:lineRule="auto"/>
              <w:ind w:firstLine="0"/>
              <w:jc w:val="both"/>
            </w:pPr>
            <w:r w:rsidRPr="00FD5261">
              <w:rPr>
                <w:b/>
                <w:bCs/>
              </w:rPr>
              <w:t>Initiated additions of senior citizens and disabled customers</w:t>
            </w:r>
            <w:r>
              <w:t xml:space="preserve"> to the basic fee track</w:t>
            </w:r>
          </w:p>
        </w:tc>
        <w:tc>
          <w:tcPr>
            <w:tcW w:w="2428" w:type="dxa"/>
          </w:tcPr>
          <w:p w14:paraId="2D983F11" w14:textId="77777777" w:rsidR="00364EF2" w:rsidRDefault="00FD5261" w:rsidP="004D083D">
            <w:pPr>
              <w:pStyle w:val="PS"/>
              <w:spacing w:line="276" w:lineRule="auto"/>
              <w:ind w:firstLine="0"/>
              <w:jc w:val="both"/>
            </w:pPr>
            <w:r>
              <w:t>July 19, 2016</w:t>
            </w:r>
          </w:p>
        </w:tc>
      </w:tr>
      <w:tr w:rsidR="00FD5261" w14:paraId="41FADD43" w14:textId="77777777" w:rsidTr="007F0B2C">
        <w:tc>
          <w:tcPr>
            <w:tcW w:w="1008" w:type="dxa"/>
          </w:tcPr>
          <w:p w14:paraId="6D6E4945" w14:textId="77777777" w:rsidR="00FD5261" w:rsidRDefault="00122F7F" w:rsidP="004D083D">
            <w:pPr>
              <w:pStyle w:val="PS"/>
              <w:spacing w:line="276" w:lineRule="auto"/>
              <w:ind w:firstLine="0"/>
              <w:jc w:val="both"/>
            </w:pPr>
            <w:r>
              <w:t>10.</w:t>
            </w:r>
          </w:p>
        </w:tc>
        <w:tc>
          <w:tcPr>
            <w:tcW w:w="6030" w:type="dxa"/>
          </w:tcPr>
          <w:p w14:paraId="3AFDC138" w14:textId="31E7994A" w:rsidR="00FD5261" w:rsidRPr="008B253D" w:rsidRDefault="008B253D" w:rsidP="005D7BB3">
            <w:pPr>
              <w:pStyle w:val="PS"/>
              <w:spacing w:line="276" w:lineRule="auto"/>
              <w:ind w:firstLine="0"/>
              <w:jc w:val="both"/>
            </w:pPr>
            <w:r w:rsidRPr="008B253D">
              <w:t xml:space="preserve">Regulating </w:t>
            </w:r>
            <w:r>
              <w:t xml:space="preserve">fees in respect of </w:t>
            </w:r>
            <w:r w:rsidRPr="008B253D">
              <w:rPr>
                <w:b/>
                <w:bCs/>
              </w:rPr>
              <w:t xml:space="preserve">operational services for a small </w:t>
            </w:r>
            <w:r w:rsidRPr="00521B4F">
              <w:rPr>
                <w:b/>
                <w:bCs/>
              </w:rPr>
              <w:t xml:space="preserve">business </w:t>
            </w:r>
            <w:r w:rsidR="005D7BB3">
              <w:rPr>
                <w:b/>
                <w:bCs/>
              </w:rPr>
              <w:t>in respect</w:t>
            </w:r>
            <w:r w:rsidRPr="008B253D">
              <w:rPr>
                <w:b/>
                <w:bCs/>
              </w:rPr>
              <w:t xml:space="preserve"> </w:t>
            </w:r>
            <w:r w:rsidR="005D7BB3">
              <w:rPr>
                <w:b/>
                <w:bCs/>
              </w:rPr>
              <w:t xml:space="preserve">to </w:t>
            </w:r>
            <w:r w:rsidRPr="008B253D">
              <w:rPr>
                <w:b/>
                <w:bCs/>
              </w:rPr>
              <w:t>acquiring services</w:t>
            </w:r>
          </w:p>
        </w:tc>
        <w:tc>
          <w:tcPr>
            <w:tcW w:w="2428" w:type="dxa"/>
          </w:tcPr>
          <w:p w14:paraId="33EA6393" w14:textId="77777777" w:rsidR="00FD5261" w:rsidRDefault="008B253D" w:rsidP="004D083D">
            <w:pPr>
              <w:pStyle w:val="PS"/>
              <w:spacing w:line="276" w:lineRule="auto"/>
              <w:ind w:firstLine="0"/>
              <w:jc w:val="both"/>
            </w:pPr>
            <w:r>
              <w:t>July 1, 2015</w:t>
            </w:r>
          </w:p>
        </w:tc>
      </w:tr>
      <w:tr w:rsidR="008B253D" w14:paraId="1DF8290A" w14:textId="77777777" w:rsidTr="007F0B2C">
        <w:tc>
          <w:tcPr>
            <w:tcW w:w="1008" w:type="dxa"/>
          </w:tcPr>
          <w:p w14:paraId="50072B88" w14:textId="77777777" w:rsidR="008B253D" w:rsidRDefault="003B4656" w:rsidP="004D083D">
            <w:pPr>
              <w:pStyle w:val="PS"/>
              <w:spacing w:line="276" w:lineRule="auto"/>
              <w:ind w:firstLine="0"/>
              <w:jc w:val="both"/>
            </w:pPr>
            <w:r>
              <w:t>11.</w:t>
            </w:r>
          </w:p>
        </w:tc>
        <w:tc>
          <w:tcPr>
            <w:tcW w:w="6030" w:type="dxa"/>
          </w:tcPr>
          <w:p w14:paraId="3E1DD23A" w14:textId="51CBFCC3" w:rsidR="008B253D" w:rsidRPr="008B253D" w:rsidRDefault="00BD653C" w:rsidP="00BA1154">
            <w:pPr>
              <w:pStyle w:val="PS"/>
              <w:spacing w:line="276" w:lineRule="auto"/>
              <w:ind w:firstLine="0"/>
              <w:jc w:val="both"/>
            </w:pPr>
            <w:r w:rsidRPr="00E6472E">
              <w:rPr>
                <w:b/>
                <w:bCs/>
              </w:rPr>
              <w:t>Simplification of rules for charging conversion fee</w:t>
            </w:r>
            <w:r>
              <w:t xml:space="preserve"> in respect of a </w:t>
            </w:r>
            <w:proofErr w:type="spellStart"/>
            <w:r>
              <w:t>forex</w:t>
            </w:r>
            <w:proofErr w:type="spellEnd"/>
            <w:r>
              <w:t xml:space="preserve"> transaction or </w:t>
            </w:r>
            <w:proofErr w:type="spellStart"/>
            <w:r>
              <w:t>forex</w:t>
            </w:r>
            <w:proofErr w:type="spellEnd"/>
            <w:r>
              <w:t xml:space="preserve"> withdrawal, so that only one fee will be charged, </w:t>
            </w:r>
            <w:r w:rsidR="00BA1154">
              <w:t xml:space="preserve">at </w:t>
            </w:r>
            <w:r>
              <w:t>the representative rate</w:t>
            </w:r>
          </w:p>
        </w:tc>
        <w:tc>
          <w:tcPr>
            <w:tcW w:w="2428" w:type="dxa"/>
          </w:tcPr>
          <w:p w14:paraId="1916E266" w14:textId="77777777" w:rsidR="008B253D" w:rsidRDefault="00BD653C" w:rsidP="004D083D">
            <w:pPr>
              <w:pStyle w:val="PS"/>
              <w:spacing w:line="276" w:lineRule="auto"/>
              <w:ind w:firstLine="0"/>
              <w:jc w:val="both"/>
            </w:pPr>
            <w:r>
              <w:t>July 1, 2015</w:t>
            </w:r>
          </w:p>
        </w:tc>
      </w:tr>
      <w:tr w:rsidR="00E60357" w14:paraId="231F37E0" w14:textId="77777777" w:rsidTr="007F0B2C">
        <w:tc>
          <w:tcPr>
            <w:tcW w:w="1008" w:type="dxa"/>
          </w:tcPr>
          <w:p w14:paraId="544B3122" w14:textId="77777777" w:rsidR="00E60357" w:rsidRDefault="003B4656" w:rsidP="004D083D">
            <w:pPr>
              <w:pStyle w:val="PS"/>
              <w:spacing w:line="276" w:lineRule="auto"/>
              <w:ind w:firstLine="0"/>
              <w:jc w:val="both"/>
            </w:pPr>
            <w:r>
              <w:t>12.</w:t>
            </w:r>
          </w:p>
        </w:tc>
        <w:tc>
          <w:tcPr>
            <w:tcW w:w="6030" w:type="dxa"/>
          </w:tcPr>
          <w:p w14:paraId="63A8D0A6" w14:textId="678BABD0" w:rsidR="00E60357" w:rsidRDefault="000707B7" w:rsidP="00604603">
            <w:pPr>
              <w:pStyle w:val="PS"/>
              <w:spacing w:line="276" w:lineRule="auto"/>
              <w:ind w:firstLine="0"/>
              <w:jc w:val="both"/>
            </w:pPr>
            <w:r w:rsidRPr="00E6472E">
              <w:rPr>
                <w:b/>
                <w:bCs/>
              </w:rPr>
              <w:t>Definition of small business</w:t>
            </w:r>
            <w:r w:rsidR="00F43E15" w:rsidRPr="00E6472E">
              <w:rPr>
                <w:b/>
                <w:bCs/>
              </w:rPr>
              <w:t>—</w:t>
            </w:r>
            <w:r w:rsidR="00F43E15">
              <w:t xml:space="preserve">the definition was changed such that a corporation that submits an annual financial statement showing </w:t>
            </w:r>
            <w:r w:rsidR="00604603">
              <w:t xml:space="preserve">that </w:t>
            </w:r>
            <w:r w:rsidR="00F43E15">
              <w:t>revenue in the year preceding its publication does not exceed NIS 5 million, will not be required to submit an additional financial statement (which it would have had to do each year, permanently, to benefit from the reduced fee schedule). The amendment means that the burden of proof shifts to the banking corporation, with the goal of making it easier for small businesses to utilize the fee schedule for individuals and small businesses.</w:t>
            </w:r>
          </w:p>
        </w:tc>
        <w:tc>
          <w:tcPr>
            <w:tcW w:w="2428" w:type="dxa"/>
          </w:tcPr>
          <w:p w14:paraId="5E594E57" w14:textId="77777777" w:rsidR="00E60357" w:rsidRDefault="00F43E15" w:rsidP="004D083D">
            <w:pPr>
              <w:pStyle w:val="PS"/>
              <w:spacing w:line="276" w:lineRule="auto"/>
              <w:ind w:firstLine="0"/>
              <w:jc w:val="both"/>
            </w:pPr>
            <w:r>
              <w:t>Feb. 1, 2015</w:t>
            </w:r>
          </w:p>
        </w:tc>
      </w:tr>
      <w:tr w:rsidR="00F43E15" w14:paraId="68FD6805" w14:textId="77777777" w:rsidTr="007F0B2C">
        <w:tc>
          <w:tcPr>
            <w:tcW w:w="1008" w:type="dxa"/>
          </w:tcPr>
          <w:p w14:paraId="7FAF3ECC" w14:textId="77777777" w:rsidR="00F43E15" w:rsidRDefault="003B4656" w:rsidP="004D083D">
            <w:pPr>
              <w:pStyle w:val="PS"/>
              <w:spacing w:line="276" w:lineRule="auto"/>
              <w:ind w:firstLine="0"/>
              <w:jc w:val="both"/>
            </w:pPr>
            <w:r>
              <w:t>13.</w:t>
            </w:r>
          </w:p>
        </w:tc>
        <w:tc>
          <w:tcPr>
            <w:tcW w:w="6030" w:type="dxa"/>
          </w:tcPr>
          <w:p w14:paraId="010921AF" w14:textId="3C7D2D6B" w:rsidR="00F43E15" w:rsidRDefault="002534E9" w:rsidP="006438A9">
            <w:pPr>
              <w:pStyle w:val="PS"/>
              <w:spacing w:line="276" w:lineRule="auto"/>
              <w:ind w:firstLine="0"/>
              <w:jc w:val="both"/>
            </w:pPr>
            <w:r w:rsidRPr="00E6472E">
              <w:rPr>
                <w:b/>
                <w:bCs/>
              </w:rPr>
              <w:t>Housing loan management fee—</w:t>
            </w:r>
            <w:r>
              <w:t>cancellation of the housing loan management fee</w:t>
            </w:r>
            <w:r w:rsidR="00113C33">
              <w:t>. The fee was under supervision and its amount was limited to NIS 2 per month per loan (NIS 24 per year)</w:t>
            </w:r>
            <w:r w:rsidR="008261B8">
              <w:t>, which was collected with the monthly payment of the housing loan.</w:t>
            </w:r>
          </w:p>
        </w:tc>
        <w:tc>
          <w:tcPr>
            <w:tcW w:w="2428" w:type="dxa"/>
          </w:tcPr>
          <w:p w14:paraId="565DD691" w14:textId="77777777" w:rsidR="00F43E15" w:rsidRDefault="008261B8" w:rsidP="004D083D">
            <w:pPr>
              <w:pStyle w:val="PS"/>
              <w:spacing w:line="276" w:lineRule="auto"/>
              <w:ind w:firstLine="0"/>
              <w:jc w:val="both"/>
            </w:pPr>
            <w:r>
              <w:t>Feb. 1, 2015</w:t>
            </w:r>
          </w:p>
        </w:tc>
      </w:tr>
      <w:tr w:rsidR="008261B8" w14:paraId="1CC52A64" w14:textId="77777777" w:rsidTr="007F0B2C">
        <w:tc>
          <w:tcPr>
            <w:tcW w:w="1008" w:type="dxa"/>
          </w:tcPr>
          <w:p w14:paraId="5C8C69F9" w14:textId="77777777" w:rsidR="008261B8" w:rsidRDefault="004F1CD7" w:rsidP="004D083D">
            <w:pPr>
              <w:pStyle w:val="PS"/>
              <w:spacing w:line="276" w:lineRule="auto"/>
              <w:ind w:firstLine="0"/>
              <w:jc w:val="both"/>
            </w:pPr>
            <w:r>
              <w:lastRenderedPageBreak/>
              <w:t>14.</w:t>
            </w:r>
          </w:p>
        </w:tc>
        <w:tc>
          <w:tcPr>
            <w:tcW w:w="6030" w:type="dxa"/>
          </w:tcPr>
          <w:p w14:paraId="11CA4D5A" w14:textId="77777777" w:rsidR="008261B8" w:rsidRDefault="00F33EE6" w:rsidP="005B7159">
            <w:pPr>
              <w:pStyle w:val="PS"/>
              <w:spacing w:line="276" w:lineRule="auto"/>
              <w:ind w:firstLine="0"/>
              <w:jc w:val="both"/>
            </w:pPr>
            <w:r w:rsidRPr="00E6472E">
              <w:rPr>
                <w:b/>
                <w:bCs/>
              </w:rPr>
              <w:t xml:space="preserve">Transferring via the </w:t>
            </w:r>
            <w:proofErr w:type="spellStart"/>
            <w:r w:rsidRPr="00E6472E">
              <w:rPr>
                <w:b/>
                <w:bCs/>
              </w:rPr>
              <w:t>Zahav</w:t>
            </w:r>
            <w:proofErr w:type="spellEnd"/>
            <w:r w:rsidRPr="00E6472E">
              <w:rPr>
                <w:b/>
                <w:bCs/>
              </w:rPr>
              <w:t xml:space="preserve"> (RTGS) system—</w:t>
            </w:r>
            <w:r>
              <w:t>the fee for transferring money</w:t>
            </w:r>
            <w:r w:rsidR="005B7159">
              <w:t>—up to an amount of NIS 1 million—</w:t>
            </w:r>
            <w:r>
              <w:t xml:space="preserve">in real time </w:t>
            </w:r>
            <w:r w:rsidR="00D4430C">
              <w:t xml:space="preserve">via the </w:t>
            </w:r>
            <w:proofErr w:type="spellStart"/>
            <w:r w:rsidR="00D4430C">
              <w:t>Zahav</w:t>
            </w:r>
            <w:proofErr w:type="spellEnd"/>
            <w:r w:rsidR="00D4430C">
              <w:t xml:space="preserve"> (Real Time Gross Settlement) system </w:t>
            </w:r>
            <w:r w:rsidR="005B7159">
              <w:t>will be limited to the cost of one teller-executed transaction.</w:t>
            </w:r>
          </w:p>
        </w:tc>
        <w:tc>
          <w:tcPr>
            <w:tcW w:w="2428" w:type="dxa"/>
          </w:tcPr>
          <w:p w14:paraId="19062BA5" w14:textId="77777777" w:rsidR="008261B8" w:rsidRDefault="00F33EE6" w:rsidP="004D083D">
            <w:pPr>
              <w:pStyle w:val="PS"/>
              <w:spacing w:line="276" w:lineRule="auto"/>
              <w:ind w:firstLine="0"/>
              <w:jc w:val="both"/>
            </w:pPr>
            <w:r>
              <w:t>Feb. 1, 2015</w:t>
            </w:r>
          </w:p>
        </w:tc>
      </w:tr>
      <w:tr w:rsidR="005B7159" w14:paraId="0B6302A8" w14:textId="77777777" w:rsidTr="007F0B2C">
        <w:tc>
          <w:tcPr>
            <w:tcW w:w="1008" w:type="dxa"/>
          </w:tcPr>
          <w:p w14:paraId="52F802D0" w14:textId="77777777" w:rsidR="005B7159" w:rsidRDefault="00CD31AE" w:rsidP="004D083D">
            <w:pPr>
              <w:pStyle w:val="PS"/>
              <w:spacing w:line="276" w:lineRule="auto"/>
              <w:ind w:firstLine="0"/>
              <w:jc w:val="both"/>
            </w:pPr>
            <w:r>
              <w:t>15.</w:t>
            </w:r>
          </w:p>
        </w:tc>
        <w:tc>
          <w:tcPr>
            <w:tcW w:w="6030" w:type="dxa"/>
          </w:tcPr>
          <w:p w14:paraId="0F90C027" w14:textId="5543AACF" w:rsidR="005B7159" w:rsidRDefault="001A03C7" w:rsidP="001A03C7">
            <w:pPr>
              <w:pStyle w:val="PS"/>
              <w:spacing w:line="276" w:lineRule="auto"/>
              <w:ind w:firstLine="0"/>
              <w:jc w:val="both"/>
            </w:pPr>
            <w:r w:rsidRPr="00E6472E">
              <w:rPr>
                <w:b/>
                <w:bCs/>
              </w:rPr>
              <w:t>Fee in respect of issuing ownership confirmation—</w:t>
            </w:r>
            <w:r>
              <w:t>a banking corporation will not be permitted to charge a fee in respect of issuing confirmation of ownership of a bank account, except beginning from the second confirmation issued in a calendar year.</w:t>
            </w:r>
          </w:p>
        </w:tc>
        <w:tc>
          <w:tcPr>
            <w:tcW w:w="2428" w:type="dxa"/>
          </w:tcPr>
          <w:p w14:paraId="3F2862CC" w14:textId="77777777" w:rsidR="005B7159" w:rsidRDefault="001A03C7" w:rsidP="004D083D">
            <w:pPr>
              <w:pStyle w:val="PS"/>
              <w:spacing w:line="276" w:lineRule="auto"/>
              <w:ind w:firstLine="0"/>
              <w:jc w:val="both"/>
            </w:pPr>
            <w:r>
              <w:t>Feb. 1, 2015</w:t>
            </w:r>
          </w:p>
        </w:tc>
      </w:tr>
      <w:tr w:rsidR="001A03C7" w14:paraId="1FCECAB9" w14:textId="77777777" w:rsidTr="007F0B2C">
        <w:tc>
          <w:tcPr>
            <w:tcW w:w="1008" w:type="dxa"/>
          </w:tcPr>
          <w:p w14:paraId="706992A3" w14:textId="77777777" w:rsidR="001A03C7" w:rsidRDefault="00400B00" w:rsidP="004D083D">
            <w:pPr>
              <w:pStyle w:val="PS"/>
              <w:spacing w:line="276" w:lineRule="auto"/>
              <w:ind w:firstLine="0"/>
              <w:jc w:val="both"/>
            </w:pPr>
            <w:r>
              <w:t>16.</w:t>
            </w:r>
          </w:p>
        </w:tc>
        <w:tc>
          <w:tcPr>
            <w:tcW w:w="6030" w:type="dxa"/>
          </w:tcPr>
          <w:p w14:paraId="1D2B6C7B" w14:textId="162EFF6C" w:rsidR="001A03C7" w:rsidRDefault="00537CD5" w:rsidP="001A03C7">
            <w:pPr>
              <w:pStyle w:val="PS"/>
              <w:spacing w:line="276" w:lineRule="auto"/>
              <w:ind w:firstLine="0"/>
              <w:jc w:val="both"/>
            </w:pPr>
            <w:r w:rsidRPr="00E6472E">
              <w:rPr>
                <w:b/>
                <w:bCs/>
              </w:rPr>
              <w:t>Activity using an immediate debit card (</w:t>
            </w:r>
            <w:r w:rsidR="00E72D95">
              <w:rPr>
                <w:b/>
                <w:bCs/>
              </w:rPr>
              <w:t xml:space="preserve">also called </w:t>
            </w:r>
            <w:r w:rsidRPr="00E6472E">
              <w:rPr>
                <w:b/>
                <w:bCs/>
              </w:rPr>
              <w:t>debit card)—</w:t>
            </w:r>
            <w:r>
              <w:t xml:space="preserve">cancellation of the possibility </w:t>
            </w:r>
            <w:r w:rsidR="008C54A6">
              <w:t xml:space="preserve">of charging a customer-executed transaction fee </w:t>
            </w:r>
            <w:r w:rsidR="00BF48FF">
              <w:t xml:space="preserve">for such service. The goal of the amendment is, among other things, to increase the use of this means of payment, as a substitute </w:t>
            </w:r>
            <w:r w:rsidR="00E6472E">
              <w:t xml:space="preserve">for </w:t>
            </w:r>
            <w:r w:rsidR="00DC5D02">
              <w:t xml:space="preserve">the </w:t>
            </w:r>
            <w:r w:rsidR="00E6472E">
              <w:t>use of cash.</w:t>
            </w:r>
          </w:p>
        </w:tc>
        <w:tc>
          <w:tcPr>
            <w:tcW w:w="2428" w:type="dxa"/>
          </w:tcPr>
          <w:p w14:paraId="25ED6880" w14:textId="77777777" w:rsidR="001A03C7" w:rsidRDefault="00E6472E" w:rsidP="004D083D">
            <w:pPr>
              <w:pStyle w:val="PS"/>
              <w:spacing w:line="276" w:lineRule="auto"/>
              <w:ind w:firstLine="0"/>
              <w:jc w:val="both"/>
            </w:pPr>
            <w:r>
              <w:t>Feb. 1, 2015</w:t>
            </w:r>
          </w:p>
        </w:tc>
      </w:tr>
      <w:tr w:rsidR="00E6472E" w14:paraId="3B404E0D" w14:textId="77777777" w:rsidTr="007F0B2C">
        <w:tc>
          <w:tcPr>
            <w:tcW w:w="1008" w:type="dxa"/>
          </w:tcPr>
          <w:p w14:paraId="5B43D4FA" w14:textId="77777777" w:rsidR="00E6472E" w:rsidRDefault="00400B00" w:rsidP="004D083D">
            <w:pPr>
              <w:pStyle w:val="PS"/>
              <w:spacing w:line="276" w:lineRule="auto"/>
              <w:ind w:firstLine="0"/>
              <w:jc w:val="both"/>
            </w:pPr>
            <w:r>
              <w:t>17.</w:t>
            </w:r>
          </w:p>
        </w:tc>
        <w:tc>
          <w:tcPr>
            <w:tcW w:w="6030" w:type="dxa"/>
          </w:tcPr>
          <w:p w14:paraId="544E5662" w14:textId="77777777" w:rsidR="00E6472E" w:rsidRDefault="008A2D87" w:rsidP="008A2D87">
            <w:pPr>
              <w:pStyle w:val="PS"/>
              <w:spacing w:line="276" w:lineRule="auto"/>
              <w:ind w:firstLine="0"/>
              <w:jc w:val="both"/>
            </w:pPr>
            <w:r w:rsidRPr="008A2D87">
              <w:rPr>
                <w:b/>
                <w:bCs/>
              </w:rPr>
              <w:t>Cancelling the fee for a deferred payment—</w:t>
            </w:r>
            <w:r>
              <w:t>in respect of installment payments on a payment card (which had been charged in respect of each installment of the payment transaction).</w:t>
            </w:r>
          </w:p>
        </w:tc>
        <w:tc>
          <w:tcPr>
            <w:tcW w:w="2428" w:type="dxa"/>
          </w:tcPr>
          <w:p w14:paraId="5C54C617" w14:textId="77777777" w:rsidR="00E6472E" w:rsidRDefault="008A2D87" w:rsidP="004D083D">
            <w:pPr>
              <w:pStyle w:val="PS"/>
              <w:spacing w:line="276" w:lineRule="auto"/>
              <w:ind w:firstLine="0"/>
              <w:jc w:val="both"/>
            </w:pPr>
            <w:r>
              <w:t>Feb. 1, 2015</w:t>
            </w:r>
          </w:p>
        </w:tc>
      </w:tr>
      <w:tr w:rsidR="008A2D87" w14:paraId="42ECE04D" w14:textId="77777777" w:rsidTr="007F0B2C">
        <w:tc>
          <w:tcPr>
            <w:tcW w:w="1008" w:type="dxa"/>
          </w:tcPr>
          <w:p w14:paraId="2CFF1F91" w14:textId="77777777" w:rsidR="008A2D87" w:rsidRDefault="00400B00" w:rsidP="004D083D">
            <w:pPr>
              <w:pStyle w:val="PS"/>
              <w:spacing w:line="276" w:lineRule="auto"/>
              <w:ind w:firstLine="0"/>
              <w:jc w:val="both"/>
            </w:pPr>
            <w:r>
              <w:t>18.</w:t>
            </w:r>
          </w:p>
        </w:tc>
        <w:tc>
          <w:tcPr>
            <w:tcW w:w="6030" w:type="dxa"/>
          </w:tcPr>
          <w:p w14:paraId="526AC528" w14:textId="0E789FD3" w:rsidR="008A2D87" w:rsidRPr="008A2D87" w:rsidRDefault="008A2D87" w:rsidP="00421D16">
            <w:pPr>
              <w:pStyle w:val="PS"/>
              <w:spacing w:line="276" w:lineRule="auto"/>
              <w:ind w:firstLine="0"/>
              <w:jc w:val="both"/>
            </w:pPr>
            <w:r w:rsidRPr="004E583B">
              <w:rPr>
                <w:b/>
                <w:bCs/>
              </w:rPr>
              <w:t>Tracks service—</w:t>
            </w:r>
            <w:r w:rsidR="00421D16">
              <w:t xml:space="preserve">Choosing a payment track for managing a current account via a uniform basket </w:t>
            </w:r>
            <w:r w:rsidR="00C23486">
              <w:t>of services in managing a current account, out of two</w:t>
            </w:r>
            <w:r w:rsidR="00733E6B">
              <w:rPr>
                <w:lang w:bidi="he-IL"/>
              </w:rPr>
              <w:t xml:space="preserve"> </w:t>
            </w:r>
            <w:r w:rsidR="00733E6B" w:rsidRPr="00733E6B">
              <w:rPr>
                <w:lang w:bidi="he-IL"/>
              </w:rPr>
              <w:t xml:space="preserve">identical </w:t>
            </w:r>
            <w:r w:rsidR="00C23486">
              <w:t>options (a basic track and an expanded track) offered by all banks in Israel.</w:t>
            </w:r>
          </w:p>
        </w:tc>
        <w:tc>
          <w:tcPr>
            <w:tcW w:w="2428" w:type="dxa"/>
          </w:tcPr>
          <w:p w14:paraId="651A744F" w14:textId="77777777" w:rsidR="008A2D87" w:rsidRDefault="003C5186" w:rsidP="003C5186">
            <w:pPr>
              <w:pStyle w:val="PS"/>
              <w:spacing w:line="276" w:lineRule="auto"/>
              <w:ind w:firstLine="0"/>
              <w:jc w:val="both"/>
            </w:pPr>
            <w:r>
              <w:t>Apr</w:t>
            </w:r>
            <w:r w:rsidR="00C23486">
              <w:t>. 1, 201</w:t>
            </w:r>
            <w:r>
              <w:t>4</w:t>
            </w:r>
          </w:p>
        </w:tc>
      </w:tr>
      <w:tr w:rsidR="00C23486" w14:paraId="64156E4B" w14:textId="77777777" w:rsidTr="007F0B2C">
        <w:tc>
          <w:tcPr>
            <w:tcW w:w="1008" w:type="dxa"/>
          </w:tcPr>
          <w:p w14:paraId="1465CF81" w14:textId="77777777" w:rsidR="00C23486" w:rsidRDefault="00400B00" w:rsidP="004D083D">
            <w:pPr>
              <w:pStyle w:val="PS"/>
              <w:spacing w:line="276" w:lineRule="auto"/>
              <w:ind w:firstLine="0"/>
              <w:jc w:val="both"/>
            </w:pPr>
            <w:r>
              <w:t>19.</w:t>
            </w:r>
          </w:p>
        </w:tc>
        <w:tc>
          <w:tcPr>
            <w:tcW w:w="6030" w:type="dxa"/>
          </w:tcPr>
          <w:p w14:paraId="20D64010" w14:textId="73673409" w:rsidR="00C23486" w:rsidRPr="00562CE4" w:rsidRDefault="003C5186" w:rsidP="00D00896">
            <w:pPr>
              <w:pStyle w:val="PS"/>
              <w:spacing w:line="276" w:lineRule="auto"/>
              <w:ind w:firstLine="0"/>
              <w:jc w:val="both"/>
            </w:pPr>
            <w:r w:rsidRPr="00562CE4">
              <w:t xml:space="preserve">Requirement to publish </w:t>
            </w:r>
            <w:r w:rsidR="00D00896">
              <w:t xml:space="preserve">a </w:t>
            </w:r>
            <w:r w:rsidR="00562CE4" w:rsidRPr="00562CE4">
              <w:rPr>
                <w:b/>
                <w:bCs/>
              </w:rPr>
              <w:t>direct link to fee schedules</w:t>
            </w:r>
            <w:r w:rsidR="00562CE4" w:rsidRPr="00562CE4">
              <w:t xml:space="preserve"> </w:t>
            </w:r>
            <w:r w:rsidRPr="00562CE4">
              <w:t>on banking corporations’ website</w:t>
            </w:r>
            <w:r w:rsidR="00562CE4">
              <w:t xml:space="preserve">s, </w:t>
            </w:r>
            <w:r w:rsidRPr="00562CE4">
              <w:t>so that the information is available and accessible to customers</w:t>
            </w:r>
            <w:r w:rsidR="00562CE4" w:rsidRPr="00562CE4">
              <w:t>.</w:t>
            </w:r>
          </w:p>
        </w:tc>
        <w:tc>
          <w:tcPr>
            <w:tcW w:w="2428" w:type="dxa"/>
          </w:tcPr>
          <w:p w14:paraId="56646221" w14:textId="77777777" w:rsidR="00C23486" w:rsidRDefault="003C5186" w:rsidP="003C5186">
            <w:pPr>
              <w:pStyle w:val="PS"/>
              <w:spacing w:line="276" w:lineRule="auto"/>
              <w:ind w:firstLine="0"/>
              <w:jc w:val="both"/>
            </w:pPr>
            <w:r>
              <w:t>Apr. 1, 2014</w:t>
            </w:r>
          </w:p>
        </w:tc>
      </w:tr>
      <w:tr w:rsidR="00562CE4" w14:paraId="6343CD79" w14:textId="77777777" w:rsidTr="007F0B2C">
        <w:tc>
          <w:tcPr>
            <w:tcW w:w="1008" w:type="dxa"/>
          </w:tcPr>
          <w:p w14:paraId="25351913" w14:textId="77777777" w:rsidR="00562CE4" w:rsidRDefault="00400B00" w:rsidP="004D083D">
            <w:pPr>
              <w:pStyle w:val="PS"/>
              <w:spacing w:line="276" w:lineRule="auto"/>
              <w:ind w:firstLine="0"/>
              <w:jc w:val="both"/>
            </w:pPr>
            <w:r>
              <w:t>20.</w:t>
            </w:r>
          </w:p>
        </w:tc>
        <w:tc>
          <w:tcPr>
            <w:tcW w:w="6030" w:type="dxa"/>
          </w:tcPr>
          <w:p w14:paraId="010FC1FA" w14:textId="415349F1" w:rsidR="00562CE4" w:rsidRPr="00562CE4" w:rsidRDefault="003A432C" w:rsidP="00562CE4">
            <w:pPr>
              <w:pStyle w:val="PS"/>
              <w:spacing w:line="276" w:lineRule="auto"/>
              <w:ind w:firstLine="0"/>
              <w:jc w:val="both"/>
            </w:pPr>
            <w:r>
              <w:t xml:space="preserve">Changing the </w:t>
            </w:r>
            <w:r w:rsidRPr="003A432C">
              <w:rPr>
                <w:b/>
                <w:bCs/>
              </w:rPr>
              <w:t>definition of “small business”</w:t>
            </w:r>
            <w:r>
              <w:t>—a change that enables more small businesses to be included in the retail fee schedule</w:t>
            </w:r>
            <w:r w:rsidR="00A060F5">
              <w:t>.</w:t>
            </w:r>
          </w:p>
        </w:tc>
        <w:tc>
          <w:tcPr>
            <w:tcW w:w="2428" w:type="dxa"/>
          </w:tcPr>
          <w:p w14:paraId="54913FA7" w14:textId="77777777" w:rsidR="00562CE4" w:rsidRDefault="003A432C" w:rsidP="003C5186">
            <w:pPr>
              <w:pStyle w:val="PS"/>
              <w:spacing w:line="276" w:lineRule="auto"/>
              <w:ind w:firstLine="0"/>
              <w:jc w:val="both"/>
            </w:pPr>
            <w:r>
              <w:t>Aug. 1, 2013</w:t>
            </w:r>
          </w:p>
        </w:tc>
      </w:tr>
      <w:tr w:rsidR="003A432C" w14:paraId="39BC0CEF" w14:textId="77777777" w:rsidTr="007F0B2C">
        <w:tc>
          <w:tcPr>
            <w:tcW w:w="1008" w:type="dxa"/>
          </w:tcPr>
          <w:p w14:paraId="3B2E7E2A" w14:textId="77777777" w:rsidR="003A432C" w:rsidRDefault="00400B00" w:rsidP="004D083D">
            <w:pPr>
              <w:pStyle w:val="PS"/>
              <w:spacing w:line="276" w:lineRule="auto"/>
              <w:ind w:firstLine="0"/>
              <w:jc w:val="both"/>
            </w:pPr>
            <w:r>
              <w:t>21.</w:t>
            </w:r>
          </w:p>
        </w:tc>
        <w:tc>
          <w:tcPr>
            <w:tcW w:w="6030" w:type="dxa"/>
          </w:tcPr>
          <w:p w14:paraId="01AAD79F" w14:textId="380D1D20" w:rsidR="003A432C" w:rsidRDefault="003A432C" w:rsidP="00570DE9">
            <w:pPr>
              <w:pStyle w:val="PS"/>
              <w:spacing w:line="276" w:lineRule="auto"/>
              <w:ind w:firstLine="0"/>
              <w:jc w:val="both"/>
            </w:pPr>
            <w:r>
              <w:t xml:space="preserve">Establishing that the supervised </w:t>
            </w:r>
            <w:r w:rsidR="00570DE9">
              <w:t xml:space="preserve">price </w:t>
            </w:r>
            <w:r>
              <w:t xml:space="preserve">of transferring </w:t>
            </w:r>
            <w:r w:rsidR="00570DE9">
              <w:t xml:space="preserve">a securities deposit from one bank to another applies as well to </w:t>
            </w:r>
            <w:r w:rsidR="00570DE9" w:rsidRPr="00272C0D">
              <w:rPr>
                <w:b/>
                <w:bCs/>
              </w:rPr>
              <w:t>transferring a securities deposit to outside the banking system</w:t>
            </w:r>
            <w:r w:rsidR="00481E1B">
              <w:rPr>
                <w:b/>
                <w:bCs/>
              </w:rPr>
              <w:t>.</w:t>
            </w:r>
          </w:p>
        </w:tc>
        <w:tc>
          <w:tcPr>
            <w:tcW w:w="2428" w:type="dxa"/>
          </w:tcPr>
          <w:p w14:paraId="121E9162" w14:textId="77777777" w:rsidR="003A432C" w:rsidRDefault="008E4CEF" w:rsidP="003C5186">
            <w:pPr>
              <w:pStyle w:val="PS"/>
              <w:spacing w:line="276" w:lineRule="auto"/>
              <w:ind w:firstLine="0"/>
              <w:jc w:val="both"/>
            </w:pPr>
            <w:r>
              <w:t>Jan. 1, 2013</w:t>
            </w:r>
          </w:p>
        </w:tc>
      </w:tr>
      <w:tr w:rsidR="008E4CEF" w14:paraId="37FC1385" w14:textId="77777777" w:rsidTr="007F0B2C">
        <w:tc>
          <w:tcPr>
            <w:tcW w:w="1008" w:type="dxa"/>
          </w:tcPr>
          <w:p w14:paraId="7E48FD5E" w14:textId="77777777" w:rsidR="008E4CEF" w:rsidRDefault="00400B00" w:rsidP="004D083D">
            <w:pPr>
              <w:pStyle w:val="PS"/>
              <w:spacing w:line="276" w:lineRule="auto"/>
              <w:ind w:firstLine="0"/>
              <w:jc w:val="both"/>
            </w:pPr>
            <w:r>
              <w:t>22.</w:t>
            </w:r>
          </w:p>
        </w:tc>
        <w:tc>
          <w:tcPr>
            <w:tcW w:w="6030" w:type="dxa"/>
          </w:tcPr>
          <w:p w14:paraId="512D0977" w14:textId="558D0232" w:rsidR="008E4CEF" w:rsidRDefault="00450769" w:rsidP="00450769">
            <w:pPr>
              <w:pStyle w:val="PS"/>
              <w:spacing w:line="276" w:lineRule="auto"/>
              <w:ind w:firstLine="0"/>
              <w:jc w:val="both"/>
            </w:pPr>
            <w:r>
              <w:t xml:space="preserve">Anchoring in legislation a Banking Supervision Department determination that a lower fee is to be charged for a </w:t>
            </w:r>
            <w:r w:rsidR="000E5969" w:rsidRPr="000E5969">
              <w:rPr>
                <w:b/>
                <w:bCs/>
              </w:rPr>
              <w:t>collateral</w:t>
            </w:r>
            <w:r w:rsidRPr="00272C0D">
              <w:rPr>
                <w:b/>
                <w:bCs/>
              </w:rPr>
              <w:t xml:space="preserve"> secured by a financial deposit</w:t>
            </w:r>
          </w:p>
        </w:tc>
        <w:tc>
          <w:tcPr>
            <w:tcW w:w="2428" w:type="dxa"/>
          </w:tcPr>
          <w:p w14:paraId="47D1000F" w14:textId="77777777" w:rsidR="008E4CEF" w:rsidRDefault="00450769" w:rsidP="003C5186">
            <w:pPr>
              <w:pStyle w:val="PS"/>
              <w:spacing w:line="276" w:lineRule="auto"/>
              <w:ind w:firstLine="0"/>
              <w:jc w:val="both"/>
            </w:pPr>
            <w:r>
              <w:t>Jan. 1, 2013</w:t>
            </w:r>
          </w:p>
        </w:tc>
      </w:tr>
      <w:tr w:rsidR="00450769" w14:paraId="0330F2B4" w14:textId="77777777" w:rsidTr="007F0B2C">
        <w:tc>
          <w:tcPr>
            <w:tcW w:w="1008" w:type="dxa"/>
          </w:tcPr>
          <w:p w14:paraId="5C85A783" w14:textId="77777777" w:rsidR="00450769" w:rsidRDefault="00400B00" w:rsidP="004D083D">
            <w:pPr>
              <w:pStyle w:val="PS"/>
              <w:spacing w:line="276" w:lineRule="auto"/>
              <w:ind w:firstLine="0"/>
              <w:jc w:val="both"/>
            </w:pPr>
            <w:r>
              <w:t>23.</w:t>
            </w:r>
          </w:p>
        </w:tc>
        <w:tc>
          <w:tcPr>
            <w:tcW w:w="6030" w:type="dxa"/>
          </w:tcPr>
          <w:p w14:paraId="0E783066" w14:textId="77777777" w:rsidR="00450769" w:rsidRDefault="00237B42" w:rsidP="00450769">
            <w:pPr>
              <w:pStyle w:val="PS"/>
              <w:spacing w:line="276" w:lineRule="auto"/>
              <w:ind w:firstLine="0"/>
              <w:jc w:val="both"/>
            </w:pPr>
            <w:r>
              <w:t xml:space="preserve">Requirement </w:t>
            </w:r>
            <w:r w:rsidR="00BC34B1">
              <w:t xml:space="preserve">to set a </w:t>
            </w:r>
            <w:r w:rsidR="00BC34B1" w:rsidRPr="00192872">
              <w:rPr>
                <w:b/>
                <w:bCs/>
              </w:rPr>
              <w:t>maximum amount of a fee to buy/sell</w:t>
            </w:r>
            <w:r w:rsidR="00BC34B1">
              <w:t xml:space="preserve"> Israeli securities</w:t>
            </w:r>
          </w:p>
        </w:tc>
        <w:tc>
          <w:tcPr>
            <w:tcW w:w="2428" w:type="dxa"/>
          </w:tcPr>
          <w:p w14:paraId="33E56A6F" w14:textId="77777777" w:rsidR="00450769" w:rsidRDefault="00BC34B1" w:rsidP="003C5186">
            <w:pPr>
              <w:pStyle w:val="PS"/>
              <w:spacing w:line="276" w:lineRule="auto"/>
              <w:ind w:firstLine="0"/>
              <w:jc w:val="both"/>
            </w:pPr>
            <w:r>
              <w:t>Jan. 1, 2013</w:t>
            </w:r>
          </w:p>
        </w:tc>
      </w:tr>
      <w:tr w:rsidR="00BC34B1" w14:paraId="492819DA" w14:textId="77777777" w:rsidTr="007F0B2C">
        <w:tc>
          <w:tcPr>
            <w:tcW w:w="1008" w:type="dxa"/>
          </w:tcPr>
          <w:p w14:paraId="07DB96B8" w14:textId="77777777" w:rsidR="00BC34B1" w:rsidRDefault="00400B00" w:rsidP="004D083D">
            <w:pPr>
              <w:pStyle w:val="PS"/>
              <w:spacing w:line="276" w:lineRule="auto"/>
              <w:ind w:firstLine="0"/>
              <w:jc w:val="both"/>
            </w:pPr>
            <w:r>
              <w:t>24.</w:t>
            </w:r>
          </w:p>
        </w:tc>
        <w:tc>
          <w:tcPr>
            <w:tcW w:w="6030" w:type="dxa"/>
          </w:tcPr>
          <w:p w14:paraId="0E31D496" w14:textId="77777777" w:rsidR="00BC34B1" w:rsidRDefault="00192872" w:rsidP="00450769">
            <w:pPr>
              <w:pStyle w:val="PS"/>
              <w:spacing w:line="276" w:lineRule="auto"/>
              <w:ind w:firstLine="0"/>
              <w:jc w:val="both"/>
            </w:pPr>
            <w:r>
              <w:t xml:space="preserve">Cancellation of </w:t>
            </w:r>
            <w:r w:rsidRPr="00AD7685">
              <w:rPr>
                <w:b/>
                <w:bCs/>
              </w:rPr>
              <w:t>small business management fee</w:t>
            </w:r>
            <w:r w:rsidR="00AD7685">
              <w:t xml:space="preserve">, and </w:t>
            </w:r>
            <w:r w:rsidR="00AD7685">
              <w:lastRenderedPageBreak/>
              <w:t>equalization of small business status with household.</w:t>
            </w:r>
          </w:p>
        </w:tc>
        <w:tc>
          <w:tcPr>
            <w:tcW w:w="2428" w:type="dxa"/>
          </w:tcPr>
          <w:p w14:paraId="28B52A64" w14:textId="77777777" w:rsidR="00BC34B1" w:rsidRDefault="00AD7685" w:rsidP="003C5186">
            <w:pPr>
              <w:pStyle w:val="PS"/>
              <w:spacing w:line="276" w:lineRule="auto"/>
              <w:ind w:firstLine="0"/>
              <w:jc w:val="both"/>
            </w:pPr>
            <w:r>
              <w:lastRenderedPageBreak/>
              <w:t>Jan. 1, 2013</w:t>
            </w:r>
          </w:p>
        </w:tc>
      </w:tr>
      <w:tr w:rsidR="00AD7685" w14:paraId="6AEF79A0" w14:textId="77777777" w:rsidTr="007F0B2C">
        <w:tc>
          <w:tcPr>
            <w:tcW w:w="1008" w:type="dxa"/>
          </w:tcPr>
          <w:p w14:paraId="2274A863" w14:textId="77777777" w:rsidR="00AD7685" w:rsidRDefault="00400B00" w:rsidP="004D083D">
            <w:pPr>
              <w:pStyle w:val="PS"/>
              <w:spacing w:line="276" w:lineRule="auto"/>
              <w:ind w:firstLine="0"/>
              <w:jc w:val="both"/>
            </w:pPr>
            <w:r>
              <w:lastRenderedPageBreak/>
              <w:t>25.</w:t>
            </w:r>
          </w:p>
        </w:tc>
        <w:tc>
          <w:tcPr>
            <w:tcW w:w="6030" w:type="dxa"/>
          </w:tcPr>
          <w:p w14:paraId="706C9436" w14:textId="77777777" w:rsidR="00AD7685" w:rsidRDefault="00377CE9" w:rsidP="00450769">
            <w:pPr>
              <w:pStyle w:val="PS"/>
              <w:spacing w:line="276" w:lineRule="auto"/>
              <w:ind w:firstLine="0"/>
              <w:jc w:val="both"/>
            </w:pPr>
            <w:r>
              <w:t xml:space="preserve">Cancellation of fee </w:t>
            </w:r>
            <w:r w:rsidR="00406C67">
              <w:t xml:space="preserve">in respect of </w:t>
            </w:r>
            <w:r w:rsidR="00406C67" w:rsidRPr="009C0806">
              <w:rPr>
                <w:b/>
                <w:bCs/>
              </w:rPr>
              <w:t>changing the payment date for a credit card</w:t>
            </w:r>
          </w:p>
        </w:tc>
        <w:tc>
          <w:tcPr>
            <w:tcW w:w="2428" w:type="dxa"/>
          </w:tcPr>
          <w:p w14:paraId="107EC8F1" w14:textId="77777777" w:rsidR="00AD7685" w:rsidRDefault="00406C67" w:rsidP="003C5186">
            <w:pPr>
              <w:pStyle w:val="PS"/>
              <w:spacing w:line="276" w:lineRule="auto"/>
              <w:ind w:firstLine="0"/>
              <w:jc w:val="both"/>
            </w:pPr>
            <w:r>
              <w:t>Jan. 1, 2013</w:t>
            </w:r>
          </w:p>
        </w:tc>
      </w:tr>
      <w:tr w:rsidR="00406C67" w14:paraId="257B8AEF" w14:textId="77777777" w:rsidTr="007F0B2C">
        <w:tc>
          <w:tcPr>
            <w:tcW w:w="1008" w:type="dxa"/>
          </w:tcPr>
          <w:p w14:paraId="0019D22F" w14:textId="77777777" w:rsidR="00406C67" w:rsidRDefault="00400B00" w:rsidP="004D083D">
            <w:pPr>
              <w:pStyle w:val="PS"/>
              <w:spacing w:line="276" w:lineRule="auto"/>
              <w:ind w:firstLine="0"/>
              <w:jc w:val="both"/>
            </w:pPr>
            <w:r>
              <w:t>26.</w:t>
            </w:r>
          </w:p>
        </w:tc>
        <w:tc>
          <w:tcPr>
            <w:tcW w:w="6030" w:type="dxa"/>
          </w:tcPr>
          <w:p w14:paraId="79A10DA4" w14:textId="67B8CF80" w:rsidR="00406C67" w:rsidRDefault="00320B41" w:rsidP="00D62249">
            <w:pPr>
              <w:pStyle w:val="PS"/>
              <w:spacing w:line="276" w:lineRule="auto"/>
              <w:ind w:firstLine="0"/>
              <w:jc w:val="both"/>
            </w:pPr>
            <w:r>
              <w:t xml:space="preserve">Raising the exemption on the </w:t>
            </w:r>
            <w:r w:rsidRPr="005D7BB3">
              <w:rPr>
                <w:b/>
                <w:bCs/>
              </w:rPr>
              <w:t>credit</w:t>
            </w:r>
            <w:r w:rsidR="00D62249">
              <w:rPr>
                <w:b/>
                <w:bCs/>
              </w:rPr>
              <w:t xml:space="preserve"> </w:t>
            </w:r>
            <w:r w:rsidRPr="005D7BB3">
              <w:rPr>
                <w:b/>
                <w:bCs/>
              </w:rPr>
              <w:t xml:space="preserve">and </w:t>
            </w:r>
            <w:r w:rsidR="005D7BB3" w:rsidRPr="005D7BB3">
              <w:rPr>
                <w:b/>
                <w:bCs/>
              </w:rPr>
              <w:t>collateral</w:t>
            </w:r>
            <w:r w:rsidRPr="009C0806">
              <w:rPr>
                <w:b/>
                <w:bCs/>
              </w:rPr>
              <w:t xml:space="preserve"> handling fee</w:t>
            </w:r>
            <w:r>
              <w:t xml:space="preserve"> for non</w:t>
            </w:r>
            <w:r w:rsidR="001E70CD">
              <w:t>-</w:t>
            </w:r>
            <w:r>
              <w:t xml:space="preserve">housing loans, from NIS 50,000 to a ceiling of NIS 100,000 </w:t>
            </w:r>
          </w:p>
        </w:tc>
        <w:tc>
          <w:tcPr>
            <w:tcW w:w="2428" w:type="dxa"/>
          </w:tcPr>
          <w:p w14:paraId="3295521A" w14:textId="77777777" w:rsidR="00406C67" w:rsidRDefault="00320B41" w:rsidP="003C5186">
            <w:pPr>
              <w:pStyle w:val="PS"/>
              <w:spacing w:line="276" w:lineRule="auto"/>
              <w:ind w:firstLine="0"/>
              <w:jc w:val="both"/>
            </w:pPr>
            <w:r>
              <w:t>Jan. 1, 2013</w:t>
            </w:r>
          </w:p>
        </w:tc>
      </w:tr>
      <w:tr w:rsidR="00320B41" w14:paraId="25DE446A" w14:textId="77777777" w:rsidTr="007F0B2C">
        <w:tc>
          <w:tcPr>
            <w:tcW w:w="1008" w:type="dxa"/>
          </w:tcPr>
          <w:p w14:paraId="0F8DC459" w14:textId="77777777" w:rsidR="00320B41" w:rsidRDefault="00400B00" w:rsidP="004D083D">
            <w:pPr>
              <w:pStyle w:val="PS"/>
              <w:spacing w:line="276" w:lineRule="auto"/>
              <w:ind w:firstLine="0"/>
              <w:jc w:val="both"/>
            </w:pPr>
            <w:r>
              <w:t>27.</w:t>
            </w:r>
          </w:p>
        </w:tc>
        <w:tc>
          <w:tcPr>
            <w:tcW w:w="6030" w:type="dxa"/>
          </w:tcPr>
          <w:p w14:paraId="4CB255C9" w14:textId="09A6AF89" w:rsidR="00320B41" w:rsidRDefault="00FF7620" w:rsidP="00320B41">
            <w:pPr>
              <w:pStyle w:val="PS"/>
              <w:spacing w:line="276" w:lineRule="auto"/>
              <w:ind w:firstLine="0"/>
              <w:jc w:val="both"/>
            </w:pPr>
            <w:r>
              <w:t xml:space="preserve">Requirement to set </w:t>
            </w:r>
            <w:r w:rsidRPr="009E20FA">
              <w:rPr>
                <w:b/>
                <w:bCs/>
              </w:rPr>
              <w:t xml:space="preserve">differential pricing in respect of </w:t>
            </w:r>
            <w:r w:rsidRPr="001E70CD">
              <w:rPr>
                <w:b/>
                <w:bCs/>
              </w:rPr>
              <w:t>securities</w:t>
            </w:r>
            <w:r w:rsidRPr="00D62249">
              <w:rPr>
                <w:b/>
                <w:bCs/>
              </w:rPr>
              <w:t xml:space="preserve"> </w:t>
            </w:r>
            <w:r w:rsidRPr="00D62249">
              <w:t>activities</w:t>
            </w:r>
            <w:r>
              <w:t xml:space="preserve"> through different channels</w:t>
            </w:r>
          </w:p>
        </w:tc>
        <w:tc>
          <w:tcPr>
            <w:tcW w:w="2428" w:type="dxa"/>
          </w:tcPr>
          <w:p w14:paraId="7091D67C" w14:textId="77777777" w:rsidR="00320B41" w:rsidRDefault="00B12F83" w:rsidP="003C5186">
            <w:pPr>
              <w:pStyle w:val="PS"/>
              <w:spacing w:line="276" w:lineRule="auto"/>
              <w:ind w:firstLine="0"/>
              <w:jc w:val="both"/>
            </w:pPr>
            <w:r>
              <w:t>Jan. 1, 2013</w:t>
            </w:r>
          </w:p>
        </w:tc>
      </w:tr>
      <w:tr w:rsidR="00B12F83" w14:paraId="693AC316" w14:textId="77777777" w:rsidTr="007F0B2C">
        <w:tc>
          <w:tcPr>
            <w:tcW w:w="1008" w:type="dxa"/>
          </w:tcPr>
          <w:p w14:paraId="5AF3699A" w14:textId="77777777" w:rsidR="00B12F83" w:rsidRDefault="00400B00" w:rsidP="004D083D">
            <w:pPr>
              <w:pStyle w:val="PS"/>
              <w:spacing w:line="276" w:lineRule="auto"/>
              <w:ind w:firstLine="0"/>
              <w:jc w:val="both"/>
            </w:pPr>
            <w:r>
              <w:t>28.</w:t>
            </w:r>
          </w:p>
        </w:tc>
        <w:tc>
          <w:tcPr>
            <w:tcW w:w="6030" w:type="dxa"/>
          </w:tcPr>
          <w:p w14:paraId="472723A5" w14:textId="77777777" w:rsidR="00B12F83" w:rsidRDefault="00442DE3" w:rsidP="00320B41">
            <w:pPr>
              <w:pStyle w:val="PS"/>
              <w:spacing w:line="276" w:lineRule="auto"/>
              <w:ind w:firstLine="0"/>
              <w:jc w:val="both"/>
            </w:pPr>
            <w:r>
              <w:t xml:space="preserve">Cancellation </w:t>
            </w:r>
            <w:r w:rsidR="00355FA5">
              <w:t>of the</w:t>
            </w:r>
            <w:r w:rsidR="00355FA5" w:rsidRPr="009E20FA">
              <w:rPr>
                <w:b/>
                <w:bCs/>
              </w:rPr>
              <w:t xml:space="preserve"> fee for an information card and for a cash withdrawal card</w:t>
            </w:r>
          </w:p>
        </w:tc>
        <w:tc>
          <w:tcPr>
            <w:tcW w:w="2428" w:type="dxa"/>
          </w:tcPr>
          <w:p w14:paraId="438F3D98" w14:textId="77777777" w:rsidR="00B12F83" w:rsidRDefault="00355FA5" w:rsidP="003C5186">
            <w:pPr>
              <w:pStyle w:val="PS"/>
              <w:spacing w:line="276" w:lineRule="auto"/>
              <w:ind w:firstLine="0"/>
              <w:jc w:val="both"/>
            </w:pPr>
            <w:r>
              <w:t>Jan. 1, 2013</w:t>
            </w:r>
          </w:p>
        </w:tc>
      </w:tr>
      <w:tr w:rsidR="00355FA5" w14:paraId="799110A0" w14:textId="77777777" w:rsidTr="007F0B2C">
        <w:tc>
          <w:tcPr>
            <w:tcW w:w="1008" w:type="dxa"/>
          </w:tcPr>
          <w:p w14:paraId="0E5B1F27" w14:textId="77777777" w:rsidR="00355FA5" w:rsidRPr="00D62249" w:rsidRDefault="00400B00" w:rsidP="004D083D">
            <w:pPr>
              <w:pStyle w:val="PS"/>
              <w:spacing w:line="276" w:lineRule="auto"/>
              <w:ind w:firstLine="0"/>
              <w:jc w:val="both"/>
            </w:pPr>
            <w:r w:rsidRPr="00D62249">
              <w:t>29.</w:t>
            </w:r>
          </w:p>
        </w:tc>
        <w:tc>
          <w:tcPr>
            <w:tcW w:w="6030" w:type="dxa"/>
          </w:tcPr>
          <w:p w14:paraId="58C6CDD1" w14:textId="5B09B485" w:rsidR="00355FA5" w:rsidRPr="002D3B6C" w:rsidRDefault="00355FA5" w:rsidP="00320B41">
            <w:pPr>
              <w:pStyle w:val="PS"/>
              <w:spacing w:line="276" w:lineRule="auto"/>
              <w:ind w:firstLine="0"/>
              <w:jc w:val="both"/>
            </w:pPr>
            <w:r w:rsidRPr="002D3B6C">
              <w:t xml:space="preserve">Cancellation of </w:t>
            </w:r>
            <w:r w:rsidRPr="002D3B6C">
              <w:rPr>
                <w:b/>
                <w:bCs/>
              </w:rPr>
              <w:t xml:space="preserve">securities management fee in respect of </w:t>
            </w:r>
            <w:r w:rsidR="002D3B6C">
              <w:rPr>
                <w:b/>
                <w:bCs/>
              </w:rPr>
              <w:t>“</w:t>
            </w:r>
            <w:proofErr w:type="spellStart"/>
            <w:r w:rsidRPr="002D3B6C">
              <w:rPr>
                <w:b/>
                <w:bCs/>
              </w:rPr>
              <w:t>makam</w:t>
            </w:r>
            <w:proofErr w:type="spellEnd"/>
            <w:r w:rsidR="002D3B6C">
              <w:rPr>
                <w:b/>
                <w:bCs/>
              </w:rPr>
              <w:t>”</w:t>
            </w:r>
            <w:r w:rsidRPr="002D3B6C">
              <w:rPr>
                <w:b/>
                <w:bCs/>
              </w:rPr>
              <w:t xml:space="preserve"> and money market funds</w:t>
            </w:r>
          </w:p>
        </w:tc>
        <w:tc>
          <w:tcPr>
            <w:tcW w:w="2428" w:type="dxa"/>
          </w:tcPr>
          <w:p w14:paraId="5DD2C309" w14:textId="77777777" w:rsidR="00355FA5" w:rsidRDefault="00355FA5" w:rsidP="003C5186">
            <w:pPr>
              <w:pStyle w:val="PS"/>
              <w:spacing w:line="276" w:lineRule="auto"/>
              <w:ind w:firstLine="0"/>
              <w:jc w:val="both"/>
            </w:pPr>
            <w:r>
              <w:t>Jan. 1, 2013</w:t>
            </w:r>
          </w:p>
        </w:tc>
      </w:tr>
      <w:tr w:rsidR="00355FA5" w14:paraId="5B3E6E8D" w14:textId="77777777" w:rsidTr="007F0B2C">
        <w:tc>
          <w:tcPr>
            <w:tcW w:w="1008" w:type="dxa"/>
          </w:tcPr>
          <w:p w14:paraId="4D37BA98" w14:textId="77777777" w:rsidR="00355FA5" w:rsidRDefault="00400B00" w:rsidP="004D083D">
            <w:pPr>
              <w:pStyle w:val="PS"/>
              <w:spacing w:line="276" w:lineRule="auto"/>
              <w:ind w:firstLine="0"/>
              <w:jc w:val="both"/>
            </w:pPr>
            <w:r>
              <w:t>30.</w:t>
            </w:r>
          </w:p>
        </w:tc>
        <w:tc>
          <w:tcPr>
            <w:tcW w:w="6030" w:type="dxa"/>
          </w:tcPr>
          <w:p w14:paraId="6DFE256B" w14:textId="77777777" w:rsidR="00355FA5" w:rsidRDefault="00355FA5" w:rsidP="00B13D52">
            <w:pPr>
              <w:pStyle w:val="PS"/>
              <w:spacing w:line="276" w:lineRule="auto"/>
              <w:ind w:firstLine="0"/>
              <w:jc w:val="both"/>
            </w:pPr>
            <w:r w:rsidRPr="009E20FA">
              <w:rPr>
                <w:b/>
                <w:bCs/>
              </w:rPr>
              <w:t>Amending the definition of “senior citizen”</w:t>
            </w:r>
            <w:r w:rsidR="00B13D52" w:rsidRPr="009E20FA">
              <w:rPr>
                <w:b/>
                <w:bCs/>
              </w:rPr>
              <w:t>,</w:t>
            </w:r>
            <w:r w:rsidR="00B13D52">
              <w:t xml:space="preserve"> with the goal of automatically according to senior citizens (so that it is not contingent on presenting a certificate) the right to receive 4 teller-executed transactions per month at the price of a customer-executed transaction</w:t>
            </w:r>
          </w:p>
        </w:tc>
        <w:tc>
          <w:tcPr>
            <w:tcW w:w="2428" w:type="dxa"/>
          </w:tcPr>
          <w:p w14:paraId="49EE6FA8" w14:textId="77777777" w:rsidR="00355FA5" w:rsidRDefault="001E4752" w:rsidP="003C5186">
            <w:pPr>
              <w:pStyle w:val="PS"/>
              <w:spacing w:line="276" w:lineRule="auto"/>
              <w:ind w:firstLine="0"/>
              <w:jc w:val="both"/>
            </w:pPr>
            <w:r>
              <w:t>Jan. 1, 2013</w:t>
            </w:r>
          </w:p>
        </w:tc>
      </w:tr>
      <w:tr w:rsidR="001E4752" w14:paraId="6D2C9899" w14:textId="77777777" w:rsidTr="007F0B2C">
        <w:tc>
          <w:tcPr>
            <w:tcW w:w="1008" w:type="dxa"/>
          </w:tcPr>
          <w:p w14:paraId="0523EDFE" w14:textId="77777777" w:rsidR="001E4752" w:rsidRDefault="00E03FC9" w:rsidP="004D083D">
            <w:pPr>
              <w:pStyle w:val="PS"/>
              <w:spacing w:line="276" w:lineRule="auto"/>
              <w:ind w:firstLine="0"/>
              <w:jc w:val="both"/>
            </w:pPr>
            <w:r>
              <w:t>31.</w:t>
            </w:r>
          </w:p>
        </w:tc>
        <w:tc>
          <w:tcPr>
            <w:tcW w:w="6030" w:type="dxa"/>
          </w:tcPr>
          <w:p w14:paraId="4E6DE9C9" w14:textId="57C312AF" w:rsidR="001E4752" w:rsidRDefault="001E4752" w:rsidP="00B13D52">
            <w:pPr>
              <w:pStyle w:val="PS"/>
              <w:spacing w:line="276" w:lineRule="auto"/>
              <w:ind w:firstLine="0"/>
              <w:jc w:val="both"/>
            </w:pPr>
            <w:proofErr w:type="spellStart"/>
            <w:r w:rsidRPr="009E20FA">
              <w:rPr>
                <w:b/>
                <w:bCs/>
              </w:rPr>
              <w:t>Repricing</w:t>
            </w:r>
            <w:proofErr w:type="spellEnd"/>
            <w:r w:rsidRPr="009E20FA">
              <w:rPr>
                <w:b/>
                <w:bCs/>
              </w:rPr>
              <w:t xml:space="preserve"> fees in respect of securities.</w:t>
            </w:r>
            <w:r w:rsidR="00FC3D0E">
              <w:t xml:space="preserve"> A guideline issued to banking corporations to carry out a </w:t>
            </w:r>
            <w:proofErr w:type="spellStart"/>
            <w:r w:rsidR="00FC3D0E">
              <w:t>repricing</w:t>
            </w:r>
            <w:proofErr w:type="spellEnd"/>
            <w:r w:rsidR="00FC3D0E">
              <w:t xml:space="preserve"> of fees for buying </w:t>
            </w:r>
            <w:r w:rsidR="001E70CD">
              <w:t>and</w:t>
            </w:r>
            <w:r w:rsidR="00FC3D0E">
              <w:t xml:space="preserve"> selling securities, in a manner that allows comparison between banks.</w:t>
            </w:r>
          </w:p>
        </w:tc>
        <w:tc>
          <w:tcPr>
            <w:tcW w:w="2428" w:type="dxa"/>
          </w:tcPr>
          <w:p w14:paraId="69AEACEB" w14:textId="77777777" w:rsidR="001E4752" w:rsidRDefault="00FC3D0E" w:rsidP="003C5186">
            <w:pPr>
              <w:pStyle w:val="PS"/>
              <w:spacing w:line="276" w:lineRule="auto"/>
              <w:ind w:firstLine="0"/>
              <w:jc w:val="both"/>
            </w:pPr>
            <w:r>
              <w:t>Jan. 1, 2013</w:t>
            </w:r>
          </w:p>
        </w:tc>
      </w:tr>
      <w:tr w:rsidR="00FC3D0E" w14:paraId="4C5105A7" w14:textId="77777777" w:rsidTr="007F0B2C">
        <w:tc>
          <w:tcPr>
            <w:tcW w:w="1008" w:type="dxa"/>
          </w:tcPr>
          <w:p w14:paraId="62E70EA1" w14:textId="77777777" w:rsidR="00FC3D0E" w:rsidRDefault="00FC3D0E" w:rsidP="004D083D">
            <w:pPr>
              <w:pStyle w:val="PS"/>
              <w:spacing w:line="276" w:lineRule="auto"/>
              <w:ind w:firstLine="0"/>
              <w:jc w:val="both"/>
            </w:pPr>
          </w:p>
        </w:tc>
        <w:tc>
          <w:tcPr>
            <w:tcW w:w="6030" w:type="dxa"/>
          </w:tcPr>
          <w:p w14:paraId="552929CD" w14:textId="77777777" w:rsidR="00FC3D0E" w:rsidRPr="00A2003A" w:rsidRDefault="00FC3D0E" w:rsidP="00B13D52">
            <w:pPr>
              <w:pStyle w:val="PS"/>
              <w:spacing w:line="276" w:lineRule="auto"/>
              <w:ind w:firstLine="0"/>
              <w:jc w:val="both"/>
              <w:rPr>
                <w:b/>
                <w:bCs/>
              </w:rPr>
            </w:pPr>
            <w:r w:rsidRPr="00303885">
              <w:rPr>
                <w:b/>
                <w:bCs/>
                <w:color w:val="4F81BD" w:themeColor="accent1"/>
              </w:rPr>
              <w:t>Supervisory Orders</w:t>
            </w:r>
          </w:p>
        </w:tc>
        <w:tc>
          <w:tcPr>
            <w:tcW w:w="2428" w:type="dxa"/>
          </w:tcPr>
          <w:p w14:paraId="27358C38" w14:textId="77777777" w:rsidR="00FC3D0E" w:rsidRPr="00A2003A" w:rsidRDefault="00FC3D0E" w:rsidP="003C5186">
            <w:pPr>
              <w:pStyle w:val="PS"/>
              <w:spacing w:line="276" w:lineRule="auto"/>
              <w:ind w:firstLine="0"/>
              <w:jc w:val="both"/>
              <w:rPr>
                <w:b/>
                <w:bCs/>
              </w:rPr>
            </w:pPr>
            <w:r w:rsidRPr="00A2003A">
              <w:rPr>
                <w:b/>
                <w:bCs/>
              </w:rPr>
              <w:t>Publication date</w:t>
            </w:r>
          </w:p>
        </w:tc>
      </w:tr>
      <w:tr w:rsidR="00FC3D0E" w14:paraId="3D4D14F7" w14:textId="77777777" w:rsidTr="007F0B2C">
        <w:tc>
          <w:tcPr>
            <w:tcW w:w="1008" w:type="dxa"/>
          </w:tcPr>
          <w:p w14:paraId="5B52B22E" w14:textId="77777777" w:rsidR="00FC3D0E" w:rsidRDefault="00E03FC9" w:rsidP="004D083D">
            <w:pPr>
              <w:pStyle w:val="PS"/>
              <w:spacing w:line="276" w:lineRule="auto"/>
              <w:ind w:firstLine="0"/>
              <w:jc w:val="both"/>
            </w:pPr>
            <w:r>
              <w:t>32.</w:t>
            </w:r>
          </w:p>
        </w:tc>
        <w:tc>
          <w:tcPr>
            <w:tcW w:w="6030" w:type="dxa"/>
          </w:tcPr>
          <w:p w14:paraId="0E8A78BD" w14:textId="77777777" w:rsidR="00FC3D0E" w:rsidRDefault="00FC3D0E" w:rsidP="00B13D52">
            <w:pPr>
              <w:pStyle w:val="PS"/>
              <w:spacing w:line="276" w:lineRule="auto"/>
              <w:ind w:firstLine="0"/>
              <w:jc w:val="both"/>
            </w:pPr>
            <w:r w:rsidRPr="00A2003A">
              <w:rPr>
                <w:b/>
                <w:bCs/>
              </w:rPr>
              <w:t>Supervisory Order on Standard Reports—</w:t>
            </w:r>
            <w:r>
              <w:t>maximum amount of NIS 15</w:t>
            </w:r>
          </w:p>
        </w:tc>
        <w:tc>
          <w:tcPr>
            <w:tcW w:w="2428" w:type="dxa"/>
          </w:tcPr>
          <w:p w14:paraId="71469EF5" w14:textId="77777777" w:rsidR="00FC3D0E" w:rsidRDefault="00FC3D0E" w:rsidP="003C5186">
            <w:pPr>
              <w:pStyle w:val="PS"/>
              <w:spacing w:line="276" w:lineRule="auto"/>
              <w:ind w:firstLine="0"/>
              <w:jc w:val="both"/>
            </w:pPr>
            <w:r>
              <w:t>July 19, 2016</w:t>
            </w:r>
          </w:p>
        </w:tc>
      </w:tr>
      <w:tr w:rsidR="00FC3D0E" w14:paraId="16593F95" w14:textId="77777777" w:rsidTr="007F0B2C">
        <w:tc>
          <w:tcPr>
            <w:tcW w:w="1008" w:type="dxa"/>
          </w:tcPr>
          <w:p w14:paraId="512A1A3A" w14:textId="77777777" w:rsidR="00FC3D0E" w:rsidRDefault="00E03FC9" w:rsidP="004D083D">
            <w:pPr>
              <w:pStyle w:val="PS"/>
              <w:spacing w:line="276" w:lineRule="auto"/>
              <w:ind w:firstLine="0"/>
              <w:jc w:val="both"/>
            </w:pPr>
            <w:r>
              <w:t>33.</w:t>
            </w:r>
          </w:p>
        </w:tc>
        <w:tc>
          <w:tcPr>
            <w:tcW w:w="6030" w:type="dxa"/>
          </w:tcPr>
          <w:p w14:paraId="573CFC62" w14:textId="77777777" w:rsidR="00FC3D0E" w:rsidRDefault="00FC3D0E" w:rsidP="002F2315">
            <w:pPr>
              <w:pStyle w:val="PS"/>
              <w:spacing w:line="276" w:lineRule="auto"/>
              <w:ind w:firstLine="0"/>
              <w:jc w:val="both"/>
            </w:pPr>
            <w:r w:rsidRPr="00A2003A">
              <w:rPr>
                <w:b/>
                <w:bCs/>
              </w:rPr>
              <w:t>Supervisory Order on Interchange Fee</w:t>
            </w:r>
            <w:r w:rsidRPr="005A5D8C">
              <w:rPr>
                <w:b/>
                <w:bCs/>
              </w:rPr>
              <w:t>—</w:t>
            </w:r>
            <w:r w:rsidRPr="005A5D8C">
              <w:t xml:space="preserve">A supervisory order on service provided by an issuer to a merchant acquirer </w:t>
            </w:r>
            <w:r w:rsidRPr="00B55D22">
              <w:t xml:space="preserve">with regard to </w:t>
            </w:r>
            <w:r w:rsidR="002F2315" w:rsidRPr="00303885">
              <w:t>acquiring debit transactions in four-party model</w:t>
            </w:r>
            <w:r w:rsidRPr="00303885">
              <w:t>. The Order</w:t>
            </w:r>
            <w:r>
              <w:t xml:space="preserve"> sets a maximum amount for the fee of 0.3 percent. </w:t>
            </w:r>
          </w:p>
        </w:tc>
        <w:tc>
          <w:tcPr>
            <w:tcW w:w="2428" w:type="dxa"/>
          </w:tcPr>
          <w:p w14:paraId="59AB2938" w14:textId="77777777" w:rsidR="00FC3D0E" w:rsidRDefault="00D83830" w:rsidP="003C5186">
            <w:pPr>
              <w:pStyle w:val="PS"/>
              <w:spacing w:line="276" w:lineRule="auto"/>
              <w:ind w:firstLine="0"/>
              <w:jc w:val="both"/>
            </w:pPr>
            <w:r>
              <w:t>Aug. 26, 2015</w:t>
            </w:r>
          </w:p>
        </w:tc>
      </w:tr>
      <w:tr w:rsidR="00D83830" w14:paraId="71C0C9EA" w14:textId="77777777" w:rsidTr="007F0B2C">
        <w:tc>
          <w:tcPr>
            <w:tcW w:w="1008" w:type="dxa"/>
          </w:tcPr>
          <w:p w14:paraId="78E902BA" w14:textId="77777777" w:rsidR="00D83830" w:rsidRDefault="00E03FC9" w:rsidP="004D083D">
            <w:pPr>
              <w:pStyle w:val="PS"/>
              <w:spacing w:line="276" w:lineRule="auto"/>
              <w:ind w:firstLine="0"/>
              <w:jc w:val="both"/>
            </w:pPr>
            <w:r>
              <w:t>34.</w:t>
            </w:r>
          </w:p>
        </w:tc>
        <w:tc>
          <w:tcPr>
            <w:tcW w:w="6030" w:type="dxa"/>
          </w:tcPr>
          <w:p w14:paraId="1E1AA457" w14:textId="1E285A42" w:rsidR="00D83830" w:rsidRDefault="00A54EDD" w:rsidP="005A5D8C">
            <w:pPr>
              <w:pStyle w:val="PS"/>
              <w:spacing w:line="276" w:lineRule="auto"/>
              <w:ind w:firstLine="0"/>
              <w:jc w:val="both"/>
            </w:pPr>
            <w:r w:rsidRPr="00A164B6">
              <w:rPr>
                <w:b/>
                <w:bCs/>
              </w:rPr>
              <w:t xml:space="preserve">Supervisory Order </w:t>
            </w:r>
            <w:r w:rsidR="005778AB" w:rsidRPr="00A164B6">
              <w:rPr>
                <w:b/>
                <w:bCs/>
              </w:rPr>
              <w:t>on service provided by acquirer to discounting services provider in payment card transactions—</w:t>
            </w:r>
            <w:r w:rsidR="005778AB">
              <w:t>setting a maximum price of NIS 20, or NIS 10 of the merchant is a small business</w:t>
            </w:r>
          </w:p>
        </w:tc>
        <w:tc>
          <w:tcPr>
            <w:tcW w:w="2428" w:type="dxa"/>
          </w:tcPr>
          <w:p w14:paraId="7F1F605D" w14:textId="77777777" w:rsidR="00D83830" w:rsidRDefault="005778AB" w:rsidP="003C5186">
            <w:pPr>
              <w:pStyle w:val="PS"/>
              <w:spacing w:line="276" w:lineRule="auto"/>
              <w:ind w:firstLine="0"/>
              <w:jc w:val="both"/>
            </w:pPr>
            <w:r>
              <w:t>May 10, 2015</w:t>
            </w:r>
          </w:p>
        </w:tc>
      </w:tr>
      <w:tr w:rsidR="005778AB" w14:paraId="2487CCA8" w14:textId="77777777" w:rsidTr="007F0B2C">
        <w:tc>
          <w:tcPr>
            <w:tcW w:w="1008" w:type="dxa"/>
          </w:tcPr>
          <w:p w14:paraId="0C0F1936" w14:textId="77777777" w:rsidR="005778AB" w:rsidRDefault="00E03FC9" w:rsidP="004D083D">
            <w:pPr>
              <w:pStyle w:val="PS"/>
              <w:spacing w:line="276" w:lineRule="auto"/>
              <w:ind w:firstLine="0"/>
              <w:jc w:val="both"/>
            </w:pPr>
            <w:r>
              <w:t>35.</w:t>
            </w:r>
          </w:p>
        </w:tc>
        <w:tc>
          <w:tcPr>
            <w:tcW w:w="6030" w:type="dxa"/>
          </w:tcPr>
          <w:p w14:paraId="3A46E231" w14:textId="44E70C0F" w:rsidR="005778AB" w:rsidRDefault="00EC5C20" w:rsidP="005778AB">
            <w:pPr>
              <w:pStyle w:val="PS"/>
              <w:spacing w:line="276" w:lineRule="auto"/>
              <w:ind w:firstLine="0"/>
              <w:jc w:val="both"/>
            </w:pPr>
            <w:r w:rsidRPr="00A164B6">
              <w:rPr>
                <w:b/>
                <w:bCs/>
              </w:rPr>
              <w:t>Supervisory Order on alerts and notifications service—</w:t>
            </w:r>
            <w:r>
              <w:t>a maximum fee amount of NIS 5</w:t>
            </w:r>
          </w:p>
        </w:tc>
        <w:tc>
          <w:tcPr>
            <w:tcW w:w="2428" w:type="dxa"/>
          </w:tcPr>
          <w:p w14:paraId="4C6046C5" w14:textId="77777777" w:rsidR="005778AB" w:rsidRDefault="00EC5C20" w:rsidP="003C5186">
            <w:pPr>
              <w:pStyle w:val="PS"/>
              <w:spacing w:line="276" w:lineRule="auto"/>
              <w:ind w:firstLine="0"/>
              <w:jc w:val="both"/>
            </w:pPr>
            <w:r>
              <w:t>May 10, 2015</w:t>
            </w:r>
          </w:p>
        </w:tc>
      </w:tr>
      <w:tr w:rsidR="00EC5C20" w14:paraId="758F6EE9" w14:textId="77777777" w:rsidTr="007F0B2C">
        <w:tc>
          <w:tcPr>
            <w:tcW w:w="1008" w:type="dxa"/>
          </w:tcPr>
          <w:p w14:paraId="08C321C0" w14:textId="77777777" w:rsidR="00EC5C20" w:rsidRDefault="00E03FC9" w:rsidP="004D083D">
            <w:pPr>
              <w:pStyle w:val="PS"/>
              <w:spacing w:line="276" w:lineRule="auto"/>
              <w:ind w:firstLine="0"/>
              <w:jc w:val="both"/>
            </w:pPr>
            <w:r>
              <w:t>36.</w:t>
            </w:r>
          </w:p>
        </w:tc>
        <w:tc>
          <w:tcPr>
            <w:tcW w:w="6030" w:type="dxa"/>
          </w:tcPr>
          <w:p w14:paraId="40F278A0" w14:textId="6EC673F0" w:rsidR="00EC5C20" w:rsidRDefault="00EC5C20" w:rsidP="005A5D8C">
            <w:pPr>
              <w:pStyle w:val="PS"/>
              <w:spacing w:line="276" w:lineRule="auto"/>
              <w:ind w:firstLine="0"/>
              <w:jc w:val="both"/>
            </w:pPr>
            <w:r w:rsidRPr="00A164B6">
              <w:rPr>
                <w:b/>
                <w:bCs/>
              </w:rPr>
              <w:t>Supervisory Order on Basic Track service—</w:t>
            </w:r>
            <w:r>
              <w:t>a maximum fee amount of NIS 10</w:t>
            </w:r>
          </w:p>
        </w:tc>
        <w:tc>
          <w:tcPr>
            <w:tcW w:w="2428" w:type="dxa"/>
          </w:tcPr>
          <w:p w14:paraId="310A5C9B" w14:textId="77777777" w:rsidR="00EC5C20" w:rsidRDefault="00EC5C20" w:rsidP="003C5186">
            <w:pPr>
              <w:pStyle w:val="PS"/>
              <w:spacing w:line="276" w:lineRule="auto"/>
              <w:ind w:firstLine="0"/>
              <w:jc w:val="both"/>
            </w:pPr>
            <w:r>
              <w:t>March 24, 2014</w:t>
            </w:r>
          </w:p>
        </w:tc>
      </w:tr>
    </w:tbl>
    <w:p w14:paraId="1A9EE139" w14:textId="77777777" w:rsidR="004D083D" w:rsidRDefault="004D083D" w:rsidP="004D083D">
      <w:pPr>
        <w:pStyle w:val="PS"/>
        <w:spacing w:line="276" w:lineRule="auto"/>
        <w:ind w:firstLine="0"/>
        <w:jc w:val="both"/>
      </w:pPr>
    </w:p>
    <w:sectPr w:rsidR="004D083D" w:rsidSect="00BA78DD">
      <w:headerReference w:type="default" r:id="rId18"/>
      <w:footerReference w:type="even" r:id="rId19"/>
      <w:footerReference w:type="default" r:id="rId20"/>
      <w:footnotePr>
        <w:numRestart w:val="eachSect"/>
      </w:footnotePr>
      <w:endnotePr>
        <w:numFmt w:val="decimal"/>
      </w:endnotePr>
      <w:pgSz w:w="11906" w:h="16838"/>
      <w:pgMar w:top="1440" w:right="1800" w:bottom="1440" w:left="180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0737" w14:textId="77777777" w:rsidR="00EB7A63" w:rsidRDefault="00EB7A63" w:rsidP="008A35C0">
      <w:pPr>
        <w:pStyle w:val="FH"/>
      </w:pPr>
      <w:r>
        <w:separator/>
      </w:r>
    </w:p>
  </w:endnote>
  <w:endnote w:type="continuationSeparator" w:id="0">
    <w:p w14:paraId="594E0418" w14:textId="77777777" w:rsidR="00EB7A63" w:rsidRDefault="00EB7A63" w:rsidP="008A35C0">
      <w:pPr>
        <w:pStyle w:val="F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E69F" w14:textId="77777777" w:rsidR="00E72D95" w:rsidRDefault="00E72D95" w:rsidP="00BA78D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123499C" w14:textId="77777777" w:rsidR="00E72D95" w:rsidRDefault="00E72D95" w:rsidP="00682936">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646B" w14:textId="40120E27" w:rsidR="00E72D95" w:rsidRDefault="00E72D95" w:rsidP="00BA78DD">
    <w:pPr>
      <w:pStyle w:val="af4"/>
      <w:framePr w:wrap="around" w:vAnchor="text" w:hAnchor="margin" w:xAlign="center" w:y="1"/>
      <w:rPr>
        <w:rStyle w:val="af0"/>
      </w:rPr>
    </w:pPr>
    <w:r>
      <w:rPr>
        <w:rStyle w:val="af0"/>
        <w:rFonts w:cs="Miriam"/>
      </w:rPr>
      <w:fldChar w:fldCharType="begin"/>
    </w:r>
    <w:r>
      <w:rPr>
        <w:rStyle w:val="af0"/>
      </w:rPr>
      <w:instrText xml:space="preserve">PAGE </w:instrText>
    </w:r>
    <w:r>
      <w:rPr>
        <w:rStyle w:val="af0"/>
        <w:rFonts w:cs="Miriam"/>
      </w:rPr>
      <w:fldChar w:fldCharType="separate"/>
    </w:r>
    <w:r w:rsidR="00B87466">
      <w:rPr>
        <w:rStyle w:val="af0"/>
        <w:rFonts w:cs="Miriam"/>
        <w:noProof/>
      </w:rPr>
      <w:t>2</w:t>
    </w:r>
    <w:r>
      <w:rPr>
        <w:rStyle w:val="af0"/>
        <w:rFonts w:cs="Miriam"/>
      </w:rPr>
      <w:fldChar w:fldCharType="end"/>
    </w:r>
  </w:p>
  <w:p w14:paraId="531D2B78" w14:textId="77777777" w:rsidR="00E72D95" w:rsidRDefault="00E72D95" w:rsidP="00C30044">
    <w:pPr>
      <w:pStyle w:val="af4"/>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8C29" w14:textId="77777777" w:rsidR="00EB7A63" w:rsidRDefault="00EB7A63" w:rsidP="008A35C0">
      <w:pPr>
        <w:pStyle w:val="FH"/>
      </w:pPr>
      <w:r>
        <w:separator/>
      </w:r>
    </w:p>
  </w:footnote>
  <w:footnote w:type="continuationSeparator" w:id="0">
    <w:p w14:paraId="6E0F3554" w14:textId="77777777" w:rsidR="00EB7A63" w:rsidRDefault="00EB7A63" w:rsidP="008A35C0">
      <w:pPr>
        <w:pStyle w:val="FH"/>
      </w:pPr>
      <w:r>
        <w:continuationSeparator/>
      </w:r>
    </w:p>
  </w:footnote>
  <w:footnote w:id="1">
    <w:p w14:paraId="3D63CF59" w14:textId="77777777" w:rsidR="00E72D95" w:rsidRPr="00FD0303" w:rsidRDefault="00E72D95" w:rsidP="001E20E5">
      <w:pPr>
        <w:pStyle w:val="ab"/>
        <w:spacing w:line="240" w:lineRule="auto"/>
        <w:jc w:val="both"/>
        <w:rPr>
          <w:sz w:val="22"/>
          <w:szCs w:val="22"/>
        </w:rPr>
      </w:pPr>
      <w:r w:rsidRPr="00FD0303">
        <w:rPr>
          <w:rStyle w:val="af2"/>
          <w:sz w:val="22"/>
          <w:szCs w:val="22"/>
        </w:rPr>
        <w:footnoteRef/>
      </w:r>
      <w:r w:rsidRPr="00FD0303">
        <w:rPr>
          <w:sz w:val="22"/>
          <w:szCs w:val="22"/>
        </w:rPr>
        <w:t xml:space="preserve"> The figures are in NIS, and updated to </w:t>
      </w:r>
      <w:r>
        <w:rPr>
          <w:sz w:val="22"/>
          <w:szCs w:val="22"/>
        </w:rPr>
        <w:t xml:space="preserve">March </w:t>
      </w:r>
      <w:r w:rsidRPr="00FD0303">
        <w:rPr>
          <w:sz w:val="22"/>
          <w:szCs w:val="22"/>
        </w:rPr>
        <w:t>1,</w:t>
      </w:r>
      <w:r>
        <w:rPr>
          <w:sz w:val="22"/>
          <w:szCs w:val="22"/>
        </w:rPr>
        <w:t xml:space="preserve"> 2019</w:t>
      </w:r>
      <w:r w:rsidRPr="00FD0303">
        <w:rPr>
          <w:sz w:val="22"/>
          <w:szCs w:val="22"/>
        </w:rPr>
        <w:t>.</w:t>
      </w:r>
    </w:p>
  </w:footnote>
  <w:footnote w:id="2">
    <w:p w14:paraId="779BF1C5" w14:textId="0E39B98D" w:rsidR="00E72D95" w:rsidRDefault="00E72D95" w:rsidP="00965353">
      <w:pPr>
        <w:pStyle w:val="ab"/>
        <w:spacing w:line="240" w:lineRule="auto"/>
      </w:pPr>
      <w:r>
        <w:rPr>
          <w:rStyle w:val="af2"/>
        </w:rPr>
        <w:footnoteRef/>
      </w:r>
      <w:r>
        <w:t xml:space="preserve"> </w:t>
      </w:r>
      <w:proofErr w:type="gramStart"/>
      <w:r w:rsidRPr="00DD708B">
        <w:t>Based on banks’ reports on income from common current account fees, on enrollment in tracks, and total existing accounts.</w:t>
      </w:r>
      <w:proofErr w:type="gramEnd"/>
    </w:p>
  </w:footnote>
  <w:footnote w:id="3">
    <w:p w14:paraId="39165C81" w14:textId="5095C95A" w:rsidR="00E72D95" w:rsidRDefault="00E72D95" w:rsidP="00DD3F23">
      <w:pPr>
        <w:pStyle w:val="ab"/>
      </w:pPr>
      <w:r>
        <w:rPr>
          <w:rStyle w:val="af2"/>
        </w:rPr>
        <w:footnoteRef/>
      </w:r>
      <w:r>
        <w:t xml:space="preserve"> Bank </w:t>
      </w:r>
      <w:proofErr w:type="spellStart"/>
      <w:r>
        <w:t>Otsar</w:t>
      </w:r>
      <w:proofErr w:type="spellEnd"/>
      <w:r>
        <w:t xml:space="preserve"> Ha-</w:t>
      </w:r>
      <w:proofErr w:type="spellStart"/>
      <w:r>
        <w:t>Hayal</w:t>
      </w:r>
      <w:proofErr w:type="spellEnd"/>
      <w:r>
        <w:t xml:space="preserve"> was merged into First International Bank of Israel, beginning from 2019.</w:t>
      </w:r>
    </w:p>
  </w:footnote>
  <w:footnote w:id="4">
    <w:p w14:paraId="29E78C2B" w14:textId="77777777" w:rsidR="00E72D95" w:rsidRDefault="00E72D95" w:rsidP="006A76C7">
      <w:pPr>
        <w:pStyle w:val="ab"/>
        <w:spacing w:line="240" w:lineRule="auto"/>
      </w:pPr>
      <w:r>
        <w:rPr>
          <w:rStyle w:val="af2"/>
        </w:rPr>
        <w:footnoteRef/>
      </w:r>
      <w:r>
        <w:t xml:space="preserve"> </w:t>
      </w:r>
      <w:r w:rsidRPr="00FD0303">
        <w:rPr>
          <w:sz w:val="22"/>
          <w:szCs w:val="22"/>
        </w:rPr>
        <w:t>In accordance with data reported to the Banking Supervision Department by the banking corporations, and financial</w:t>
      </w:r>
      <w:r>
        <w:rPr>
          <w:sz w:val="22"/>
          <w:szCs w:val="22"/>
        </w:rPr>
        <w:t xml:space="preserve"> statements.</w:t>
      </w:r>
    </w:p>
  </w:footnote>
  <w:footnote w:id="5">
    <w:p w14:paraId="32F91627" w14:textId="338BC217" w:rsidR="00E72D95" w:rsidRPr="00FD0303" w:rsidRDefault="00E72D95" w:rsidP="000733E6">
      <w:pPr>
        <w:pStyle w:val="ab"/>
        <w:spacing w:line="240" w:lineRule="auto"/>
        <w:jc w:val="both"/>
        <w:rPr>
          <w:sz w:val="22"/>
          <w:szCs w:val="22"/>
        </w:rPr>
      </w:pPr>
      <w:r w:rsidRPr="00FD0303">
        <w:rPr>
          <w:rStyle w:val="af2"/>
          <w:sz w:val="22"/>
          <w:szCs w:val="22"/>
        </w:rPr>
        <w:footnoteRef/>
      </w:r>
      <w:r w:rsidRPr="00FD0303">
        <w:rPr>
          <w:sz w:val="22"/>
          <w:szCs w:val="22"/>
        </w:rPr>
        <w:t xml:space="preserve"> </w:t>
      </w:r>
      <w:r>
        <w:rPr>
          <w:sz w:val="22"/>
          <w:szCs w:val="22"/>
        </w:rPr>
        <w:t>The average monthly card fee is c</w:t>
      </w:r>
      <w:r w:rsidRPr="00FD0303">
        <w:rPr>
          <w:sz w:val="22"/>
          <w:szCs w:val="22"/>
        </w:rPr>
        <w:t>alculated as total card fees charged by credit card companies and banks relative to the number of cards</w:t>
      </w:r>
      <w:r>
        <w:rPr>
          <w:sz w:val="22"/>
          <w:szCs w:val="22"/>
        </w:rPr>
        <w:t>,</w:t>
      </w:r>
      <w:r w:rsidRPr="00FD0303">
        <w:rPr>
          <w:sz w:val="22"/>
          <w:szCs w:val="22"/>
        </w:rPr>
        <w:t xml:space="preserve"> for one month.</w:t>
      </w:r>
      <w:r>
        <w:rPr>
          <w:sz w:val="22"/>
          <w:szCs w:val="22"/>
        </w:rPr>
        <w:t xml:space="preserve"> The average monthly card fee </w:t>
      </w:r>
      <w:r w:rsidRPr="00FD0303">
        <w:rPr>
          <w:sz w:val="22"/>
          <w:szCs w:val="22"/>
        </w:rPr>
        <w:t>for domestic</w:t>
      </w:r>
      <w:r>
        <w:rPr>
          <w:sz w:val="22"/>
          <w:szCs w:val="22"/>
        </w:rPr>
        <w:t>, international, and gold cards is NIS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44" w:type="dxa"/>
      <w:tblLayout w:type="fixed"/>
      <w:tblLook w:val="0000" w:firstRow="0" w:lastRow="0" w:firstColumn="0" w:lastColumn="0" w:noHBand="0" w:noVBand="0"/>
    </w:tblPr>
    <w:tblGrid>
      <w:gridCol w:w="2943"/>
      <w:gridCol w:w="3828"/>
      <w:gridCol w:w="2173"/>
    </w:tblGrid>
    <w:tr w:rsidR="00E72D95" w14:paraId="515DF2A5" w14:textId="77777777" w:rsidTr="00793CBD">
      <w:trPr>
        <w:trHeight w:val="900"/>
      </w:trPr>
      <w:tc>
        <w:tcPr>
          <w:tcW w:w="2943" w:type="dxa"/>
        </w:tcPr>
        <w:p w14:paraId="34F6E04E" w14:textId="77777777" w:rsidR="00E72D95" w:rsidRPr="00102044" w:rsidRDefault="00E72D95" w:rsidP="009C2D3A">
          <w:pPr>
            <w:ind w:right="-108"/>
          </w:pPr>
        </w:p>
      </w:tc>
      <w:tc>
        <w:tcPr>
          <w:tcW w:w="3828" w:type="dxa"/>
        </w:tcPr>
        <w:p w14:paraId="0DD29300" w14:textId="2B71A307" w:rsidR="00E72D95" w:rsidRDefault="00E72D95" w:rsidP="009C2D3A">
          <w:pPr>
            <w:jc w:val="center"/>
            <w:rPr>
              <w:rtl/>
            </w:rPr>
          </w:pPr>
        </w:p>
      </w:tc>
      <w:tc>
        <w:tcPr>
          <w:tcW w:w="2173" w:type="dxa"/>
        </w:tcPr>
        <w:p w14:paraId="625E2929" w14:textId="77777777" w:rsidR="00E72D95" w:rsidRPr="00987EEF" w:rsidRDefault="00E72D95" w:rsidP="009C2D3A">
          <w:pPr>
            <w:rPr>
              <w:rtl/>
            </w:rPr>
          </w:pPr>
        </w:p>
      </w:tc>
    </w:tr>
  </w:tbl>
  <w:p w14:paraId="1C327B3C" w14:textId="59412CAC" w:rsidR="00E72D95" w:rsidRDefault="00E72D95" w:rsidP="00793CBD">
    <w:pPr>
      <w:pStyle w:val="af5"/>
      <w:tabs>
        <w:tab w:val="clear" w:pos="4320"/>
        <w:tab w:val="clear" w:pos="8640"/>
        <w:tab w:val="center" w:pos="4153"/>
      </w:tabs>
    </w:pPr>
    <w:bookmarkStart w:id="1" w:name="T004"/>
    <w:bookmarkStart w:id="2" w:name="T005"/>
    <w:bookmarkStart w:id="3" w:name="Flag"/>
    <w:bookmarkEnd w:id="1"/>
    <w:bookmarkEnd w:id="2"/>
    <w:bookmarkEnd w:id="3"/>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DCC"/>
    <w:multiLevelType w:val="hybridMultilevel"/>
    <w:tmpl w:val="9C3E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545BF"/>
    <w:multiLevelType w:val="hybridMultilevel"/>
    <w:tmpl w:val="FE9C3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F70FA"/>
    <w:multiLevelType w:val="hybridMultilevel"/>
    <w:tmpl w:val="2D48AE40"/>
    <w:lvl w:ilvl="0" w:tplc="7B8637A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3A31"/>
    <w:multiLevelType w:val="hybridMultilevel"/>
    <w:tmpl w:val="5BE00D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9771F"/>
    <w:multiLevelType w:val="hybridMultilevel"/>
    <w:tmpl w:val="4B52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D435D0"/>
    <w:multiLevelType w:val="hybridMultilevel"/>
    <w:tmpl w:val="398AD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E73D47"/>
    <w:multiLevelType w:val="hybridMultilevel"/>
    <w:tmpl w:val="EBA0F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95D7D"/>
    <w:multiLevelType w:val="hybridMultilevel"/>
    <w:tmpl w:val="2C52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237B2F"/>
    <w:multiLevelType w:val="hybridMultilevel"/>
    <w:tmpl w:val="3152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2D028E"/>
    <w:multiLevelType w:val="hybridMultilevel"/>
    <w:tmpl w:val="2D48AE40"/>
    <w:lvl w:ilvl="0" w:tplc="7B8637A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B1E16"/>
    <w:multiLevelType w:val="hybridMultilevel"/>
    <w:tmpl w:val="A056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1F152D"/>
    <w:multiLevelType w:val="hybridMultilevel"/>
    <w:tmpl w:val="3C6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906072"/>
    <w:multiLevelType w:val="hybridMultilevel"/>
    <w:tmpl w:val="7A20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6B1A53"/>
    <w:multiLevelType w:val="hybridMultilevel"/>
    <w:tmpl w:val="93E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E4A82"/>
    <w:multiLevelType w:val="hybridMultilevel"/>
    <w:tmpl w:val="2D48AE40"/>
    <w:lvl w:ilvl="0" w:tplc="7B8637A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325E7"/>
    <w:multiLevelType w:val="hybridMultilevel"/>
    <w:tmpl w:val="8E502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6769D7"/>
    <w:multiLevelType w:val="hybridMultilevel"/>
    <w:tmpl w:val="CA1C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AE0E9D"/>
    <w:multiLevelType w:val="hybridMultilevel"/>
    <w:tmpl w:val="00D0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D439B5"/>
    <w:multiLevelType w:val="hybridMultilevel"/>
    <w:tmpl w:val="211A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AF5E88"/>
    <w:multiLevelType w:val="singleLevel"/>
    <w:tmpl w:val="7EB0C200"/>
    <w:lvl w:ilvl="0">
      <w:start w:val="1"/>
      <w:numFmt w:val="irohaFullWidth"/>
      <w:pStyle w:val="a"/>
      <w:lvlText w:val=""/>
      <w:lvlJc w:val="left"/>
      <w:pPr>
        <w:tabs>
          <w:tab w:val="num" w:pos="360"/>
        </w:tabs>
        <w:ind w:right="360" w:hanging="360"/>
      </w:pPr>
      <w:rPr>
        <w:rFonts w:ascii="Symbol" w:cs="Arial" w:hint="default"/>
      </w:rPr>
    </w:lvl>
  </w:abstractNum>
  <w:abstractNum w:abstractNumId="20">
    <w:nsid w:val="770D0FA7"/>
    <w:multiLevelType w:val="hybridMultilevel"/>
    <w:tmpl w:val="79DC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BE0EA4"/>
    <w:multiLevelType w:val="hybridMultilevel"/>
    <w:tmpl w:val="8E58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0"/>
  </w:num>
  <w:num w:numId="4">
    <w:abstractNumId w:val="4"/>
  </w:num>
  <w:num w:numId="5">
    <w:abstractNumId w:val="17"/>
  </w:num>
  <w:num w:numId="6">
    <w:abstractNumId w:val="21"/>
  </w:num>
  <w:num w:numId="7">
    <w:abstractNumId w:val="12"/>
  </w:num>
  <w:num w:numId="8">
    <w:abstractNumId w:val="13"/>
  </w:num>
  <w:num w:numId="9">
    <w:abstractNumId w:val="2"/>
  </w:num>
  <w:num w:numId="10">
    <w:abstractNumId w:val="1"/>
  </w:num>
  <w:num w:numId="11">
    <w:abstractNumId w:val="9"/>
  </w:num>
  <w:num w:numId="12">
    <w:abstractNumId w:val="14"/>
  </w:num>
  <w:num w:numId="13">
    <w:abstractNumId w:val="5"/>
  </w:num>
  <w:num w:numId="14">
    <w:abstractNumId w:val="7"/>
  </w:num>
  <w:num w:numId="15">
    <w:abstractNumId w:val="15"/>
  </w:num>
  <w:num w:numId="16">
    <w:abstractNumId w:val="20"/>
  </w:num>
  <w:num w:numId="17">
    <w:abstractNumId w:val="6"/>
  </w:num>
  <w:num w:numId="18">
    <w:abstractNumId w:val="16"/>
  </w:num>
  <w:num w:numId="19">
    <w:abstractNumId w:val="18"/>
  </w:num>
  <w:num w:numId="20">
    <w:abstractNumId w:val="3"/>
  </w:num>
  <w:num w:numId="21">
    <w:abstractNumId w:val="11"/>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echCmd" w:val="Ins:cnt/obj,1,Table"/>
  </w:docVars>
  <w:rsids>
    <w:rsidRoot w:val="00D868A3"/>
    <w:rsid w:val="000000CE"/>
    <w:rsid w:val="0000033E"/>
    <w:rsid w:val="000003D1"/>
    <w:rsid w:val="00001048"/>
    <w:rsid w:val="00001303"/>
    <w:rsid w:val="0000194F"/>
    <w:rsid w:val="00001EC1"/>
    <w:rsid w:val="00001EDD"/>
    <w:rsid w:val="00002059"/>
    <w:rsid w:val="0000208D"/>
    <w:rsid w:val="000020D0"/>
    <w:rsid w:val="0000238A"/>
    <w:rsid w:val="00002507"/>
    <w:rsid w:val="00002874"/>
    <w:rsid w:val="00002D03"/>
    <w:rsid w:val="000032E3"/>
    <w:rsid w:val="000034D9"/>
    <w:rsid w:val="00003737"/>
    <w:rsid w:val="00003846"/>
    <w:rsid w:val="00003C5A"/>
    <w:rsid w:val="00004056"/>
    <w:rsid w:val="00004514"/>
    <w:rsid w:val="00004EBD"/>
    <w:rsid w:val="000053E2"/>
    <w:rsid w:val="00005CD6"/>
    <w:rsid w:val="00005CEA"/>
    <w:rsid w:val="00005E32"/>
    <w:rsid w:val="00006598"/>
    <w:rsid w:val="00006DA0"/>
    <w:rsid w:val="00007509"/>
    <w:rsid w:val="00007B0F"/>
    <w:rsid w:val="00007CAE"/>
    <w:rsid w:val="0001047C"/>
    <w:rsid w:val="000104D0"/>
    <w:rsid w:val="000107BB"/>
    <w:rsid w:val="00010B23"/>
    <w:rsid w:val="00010E55"/>
    <w:rsid w:val="00010F26"/>
    <w:rsid w:val="00011162"/>
    <w:rsid w:val="000112C2"/>
    <w:rsid w:val="00011D45"/>
    <w:rsid w:val="00012084"/>
    <w:rsid w:val="00012A7B"/>
    <w:rsid w:val="00012C1A"/>
    <w:rsid w:val="00013411"/>
    <w:rsid w:val="00013795"/>
    <w:rsid w:val="0001399B"/>
    <w:rsid w:val="00014080"/>
    <w:rsid w:val="00014A2B"/>
    <w:rsid w:val="000158E3"/>
    <w:rsid w:val="000163F3"/>
    <w:rsid w:val="00016500"/>
    <w:rsid w:val="000165F7"/>
    <w:rsid w:val="000168D9"/>
    <w:rsid w:val="00016B28"/>
    <w:rsid w:val="00016FE8"/>
    <w:rsid w:val="0001701A"/>
    <w:rsid w:val="0001727E"/>
    <w:rsid w:val="00017379"/>
    <w:rsid w:val="00017A86"/>
    <w:rsid w:val="00017FDC"/>
    <w:rsid w:val="00020172"/>
    <w:rsid w:val="0002047D"/>
    <w:rsid w:val="000219DC"/>
    <w:rsid w:val="00021FC4"/>
    <w:rsid w:val="00021FE1"/>
    <w:rsid w:val="00022A40"/>
    <w:rsid w:val="00022D16"/>
    <w:rsid w:val="00022F9F"/>
    <w:rsid w:val="0002367C"/>
    <w:rsid w:val="000237FA"/>
    <w:rsid w:val="00023A5C"/>
    <w:rsid w:val="00024057"/>
    <w:rsid w:val="00024411"/>
    <w:rsid w:val="00024EE3"/>
    <w:rsid w:val="00024F86"/>
    <w:rsid w:val="000258E4"/>
    <w:rsid w:val="00025ADC"/>
    <w:rsid w:val="00025C60"/>
    <w:rsid w:val="00025C98"/>
    <w:rsid w:val="00025F25"/>
    <w:rsid w:val="00026084"/>
    <w:rsid w:val="00026496"/>
    <w:rsid w:val="00026A8E"/>
    <w:rsid w:val="00026A9E"/>
    <w:rsid w:val="00026CDB"/>
    <w:rsid w:val="000271BA"/>
    <w:rsid w:val="000273CD"/>
    <w:rsid w:val="000278D8"/>
    <w:rsid w:val="0002797B"/>
    <w:rsid w:val="00027EE5"/>
    <w:rsid w:val="00030845"/>
    <w:rsid w:val="00030D1D"/>
    <w:rsid w:val="00031083"/>
    <w:rsid w:val="000312DA"/>
    <w:rsid w:val="00031B23"/>
    <w:rsid w:val="00031CFB"/>
    <w:rsid w:val="00031D2D"/>
    <w:rsid w:val="00031F71"/>
    <w:rsid w:val="00032294"/>
    <w:rsid w:val="000322B8"/>
    <w:rsid w:val="00032712"/>
    <w:rsid w:val="00032A98"/>
    <w:rsid w:val="00032DC3"/>
    <w:rsid w:val="00033135"/>
    <w:rsid w:val="000331FE"/>
    <w:rsid w:val="00033B81"/>
    <w:rsid w:val="00033FB0"/>
    <w:rsid w:val="00034366"/>
    <w:rsid w:val="00034435"/>
    <w:rsid w:val="00034488"/>
    <w:rsid w:val="00034787"/>
    <w:rsid w:val="000363D2"/>
    <w:rsid w:val="0004010D"/>
    <w:rsid w:val="00040529"/>
    <w:rsid w:val="0004069C"/>
    <w:rsid w:val="000413AD"/>
    <w:rsid w:val="00041931"/>
    <w:rsid w:val="000423E8"/>
    <w:rsid w:val="00042A3A"/>
    <w:rsid w:val="00042B89"/>
    <w:rsid w:val="00042BE3"/>
    <w:rsid w:val="00042C15"/>
    <w:rsid w:val="0004320A"/>
    <w:rsid w:val="0004356C"/>
    <w:rsid w:val="00043EC3"/>
    <w:rsid w:val="000440DF"/>
    <w:rsid w:val="00044D76"/>
    <w:rsid w:val="000450E1"/>
    <w:rsid w:val="00045344"/>
    <w:rsid w:val="000457D5"/>
    <w:rsid w:val="00045A83"/>
    <w:rsid w:val="00046576"/>
    <w:rsid w:val="0004673B"/>
    <w:rsid w:val="000472B4"/>
    <w:rsid w:val="0004754A"/>
    <w:rsid w:val="000479CA"/>
    <w:rsid w:val="00047F73"/>
    <w:rsid w:val="00050098"/>
    <w:rsid w:val="00050AB9"/>
    <w:rsid w:val="00050CDE"/>
    <w:rsid w:val="00051123"/>
    <w:rsid w:val="00051994"/>
    <w:rsid w:val="00051BAB"/>
    <w:rsid w:val="0005287F"/>
    <w:rsid w:val="00052A6E"/>
    <w:rsid w:val="00052D66"/>
    <w:rsid w:val="000538CA"/>
    <w:rsid w:val="00053B28"/>
    <w:rsid w:val="00053B66"/>
    <w:rsid w:val="000540F8"/>
    <w:rsid w:val="000543E5"/>
    <w:rsid w:val="000547C8"/>
    <w:rsid w:val="00054C19"/>
    <w:rsid w:val="000556BA"/>
    <w:rsid w:val="00055C63"/>
    <w:rsid w:val="00055E8F"/>
    <w:rsid w:val="00055F10"/>
    <w:rsid w:val="00056109"/>
    <w:rsid w:val="00056309"/>
    <w:rsid w:val="00056401"/>
    <w:rsid w:val="000564A5"/>
    <w:rsid w:val="000565E3"/>
    <w:rsid w:val="0005699E"/>
    <w:rsid w:val="00056B75"/>
    <w:rsid w:val="00056ED3"/>
    <w:rsid w:val="0005702C"/>
    <w:rsid w:val="00057975"/>
    <w:rsid w:val="00057D3C"/>
    <w:rsid w:val="00060397"/>
    <w:rsid w:val="000603CE"/>
    <w:rsid w:val="0006046A"/>
    <w:rsid w:val="00061787"/>
    <w:rsid w:val="0006185E"/>
    <w:rsid w:val="00061A61"/>
    <w:rsid w:val="000622D6"/>
    <w:rsid w:val="000625EC"/>
    <w:rsid w:val="00062BE2"/>
    <w:rsid w:val="00062DAA"/>
    <w:rsid w:val="000631EB"/>
    <w:rsid w:val="00063365"/>
    <w:rsid w:val="00063CCA"/>
    <w:rsid w:val="00064854"/>
    <w:rsid w:val="00064889"/>
    <w:rsid w:val="00064A86"/>
    <w:rsid w:val="00065369"/>
    <w:rsid w:val="00065C5A"/>
    <w:rsid w:val="00065E02"/>
    <w:rsid w:val="00065FE7"/>
    <w:rsid w:val="00066080"/>
    <w:rsid w:val="00066319"/>
    <w:rsid w:val="00066674"/>
    <w:rsid w:val="000667FC"/>
    <w:rsid w:val="0006691D"/>
    <w:rsid w:val="00066B0F"/>
    <w:rsid w:val="00066C83"/>
    <w:rsid w:val="00067280"/>
    <w:rsid w:val="00067352"/>
    <w:rsid w:val="00067B82"/>
    <w:rsid w:val="0007026F"/>
    <w:rsid w:val="000707B7"/>
    <w:rsid w:val="0007098D"/>
    <w:rsid w:val="00070A8C"/>
    <w:rsid w:val="00070EA3"/>
    <w:rsid w:val="00070EB4"/>
    <w:rsid w:val="00071061"/>
    <w:rsid w:val="00071095"/>
    <w:rsid w:val="000714DE"/>
    <w:rsid w:val="000716A8"/>
    <w:rsid w:val="000717A0"/>
    <w:rsid w:val="00071DCD"/>
    <w:rsid w:val="00072197"/>
    <w:rsid w:val="0007220F"/>
    <w:rsid w:val="00072503"/>
    <w:rsid w:val="0007254A"/>
    <w:rsid w:val="00072682"/>
    <w:rsid w:val="00072DE2"/>
    <w:rsid w:val="00072F3E"/>
    <w:rsid w:val="00072FE3"/>
    <w:rsid w:val="00073378"/>
    <w:rsid w:val="000733E6"/>
    <w:rsid w:val="00073466"/>
    <w:rsid w:val="00073604"/>
    <w:rsid w:val="000738A4"/>
    <w:rsid w:val="00073AE2"/>
    <w:rsid w:val="00074147"/>
    <w:rsid w:val="00074287"/>
    <w:rsid w:val="00074B8F"/>
    <w:rsid w:val="00074EE1"/>
    <w:rsid w:val="000755B2"/>
    <w:rsid w:val="00075A35"/>
    <w:rsid w:val="00076537"/>
    <w:rsid w:val="0007674C"/>
    <w:rsid w:val="0007676C"/>
    <w:rsid w:val="0007687A"/>
    <w:rsid w:val="000768A7"/>
    <w:rsid w:val="00076BC2"/>
    <w:rsid w:val="00076C39"/>
    <w:rsid w:val="0007720F"/>
    <w:rsid w:val="00077658"/>
    <w:rsid w:val="00077E50"/>
    <w:rsid w:val="00080587"/>
    <w:rsid w:val="00080B0C"/>
    <w:rsid w:val="00080F69"/>
    <w:rsid w:val="000812CD"/>
    <w:rsid w:val="00081EE5"/>
    <w:rsid w:val="000820E6"/>
    <w:rsid w:val="00082426"/>
    <w:rsid w:val="0008258E"/>
    <w:rsid w:val="00082C37"/>
    <w:rsid w:val="0008309B"/>
    <w:rsid w:val="00083221"/>
    <w:rsid w:val="0008397D"/>
    <w:rsid w:val="0008398E"/>
    <w:rsid w:val="000843CC"/>
    <w:rsid w:val="000846D2"/>
    <w:rsid w:val="00084F0B"/>
    <w:rsid w:val="00085255"/>
    <w:rsid w:val="00085551"/>
    <w:rsid w:val="000859D1"/>
    <w:rsid w:val="00085B61"/>
    <w:rsid w:val="00085C42"/>
    <w:rsid w:val="00086013"/>
    <w:rsid w:val="0008658B"/>
    <w:rsid w:val="000867A7"/>
    <w:rsid w:val="00086E68"/>
    <w:rsid w:val="000874E8"/>
    <w:rsid w:val="00087682"/>
    <w:rsid w:val="00087ACB"/>
    <w:rsid w:val="00090170"/>
    <w:rsid w:val="000906CF"/>
    <w:rsid w:val="0009141F"/>
    <w:rsid w:val="000915D7"/>
    <w:rsid w:val="000915EE"/>
    <w:rsid w:val="000919F0"/>
    <w:rsid w:val="00091D48"/>
    <w:rsid w:val="0009209E"/>
    <w:rsid w:val="000920FF"/>
    <w:rsid w:val="000921FA"/>
    <w:rsid w:val="00092C59"/>
    <w:rsid w:val="00092CCF"/>
    <w:rsid w:val="00092F5A"/>
    <w:rsid w:val="0009304C"/>
    <w:rsid w:val="00093418"/>
    <w:rsid w:val="00093A32"/>
    <w:rsid w:val="000944AA"/>
    <w:rsid w:val="000945BB"/>
    <w:rsid w:val="00094612"/>
    <w:rsid w:val="00094709"/>
    <w:rsid w:val="000948DD"/>
    <w:rsid w:val="000958C2"/>
    <w:rsid w:val="000959B1"/>
    <w:rsid w:val="00095B58"/>
    <w:rsid w:val="00095DC7"/>
    <w:rsid w:val="00095FEA"/>
    <w:rsid w:val="0009626C"/>
    <w:rsid w:val="0009641B"/>
    <w:rsid w:val="000964B2"/>
    <w:rsid w:val="00096A3E"/>
    <w:rsid w:val="00097241"/>
    <w:rsid w:val="000973AF"/>
    <w:rsid w:val="00097662"/>
    <w:rsid w:val="00097B31"/>
    <w:rsid w:val="000A017F"/>
    <w:rsid w:val="000A018B"/>
    <w:rsid w:val="000A0485"/>
    <w:rsid w:val="000A059C"/>
    <w:rsid w:val="000A0B8D"/>
    <w:rsid w:val="000A12D8"/>
    <w:rsid w:val="000A1326"/>
    <w:rsid w:val="000A17E5"/>
    <w:rsid w:val="000A1917"/>
    <w:rsid w:val="000A1F6A"/>
    <w:rsid w:val="000A26F3"/>
    <w:rsid w:val="000A2A9B"/>
    <w:rsid w:val="000A38FF"/>
    <w:rsid w:val="000A3F02"/>
    <w:rsid w:val="000A4622"/>
    <w:rsid w:val="000A4906"/>
    <w:rsid w:val="000A4CEE"/>
    <w:rsid w:val="000A4D10"/>
    <w:rsid w:val="000A54A4"/>
    <w:rsid w:val="000A5609"/>
    <w:rsid w:val="000A58CD"/>
    <w:rsid w:val="000A5932"/>
    <w:rsid w:val="000A5E29"/>
    <w:rsid w:val="000A5E4C"/>
    <w:rsid w:val="000A5FE9"/>
    <w:rsid w:val="000A600F"/>
    <w:rsid w:val="000A68AF"/>
    <w:rsid w:val="000A6930"/>
    <w:rsid w:val="000A6941"/>
    <w:rsid w:val="000A6D3C"/>
    <w:rsid w:val="000A6D4D"/>
    <w:rsid w:val="000A7385"/>
    <w:rsid w:val="000A75DC"/>
    <w:rsid w:val="000A7C0F"/>
    <w:rsid w:val="000B0667"/>
    <w:rsid w:val="000B094B"/>
    <w:rsid w:val="000B0A89"/>
    <w:rsid w:val="000B1014"/>
    <w:rsid w:val="000B11B1"/>
    <w:rsid w:val="000B153E"/>
    <w:rsid w:val="000B1749"/>
    <w:rsid w:val="000B176D"/>
    <w:rsid w:val="000B19DE"/>
    <w:rsid w:val="000B19F6"/>
    <w:rsid w:val="000B1C99"/>
    <w:rsid w:val="000B1D05"/>
    <w:rsid w:val="000B1DB8"/>
    <w:rsid w:val="000B1E53"/>
    <w:rsid w:val="000B200F"/>
    <w:rsid w:val="000B214E"/>
    <w:rsid w:val="000B21B4"/>
    <w:rsid w:val="000B250E"/>
    <w:rsid w:val="000B2E9C"/>
    <w:rsid w:val="000B346E"/>
    <w:rsid w:val="000B34C8"/>
    <w:rsid w:val="000B3699"/>
    <w:rsid w:val="000B3CD4"/>
    <w:rsid w:val="000B445A"/>
    <w:rsid w:val="000B48AB"/>
    <w:rsid w:val="000B4942"/>
    <w:rsid w:val="000B4C12"/>
    <w:rsid w:val="000B4DB4"/>
    <w:rsid w:val="000B4E20"/>
    <w:rsid w:val="000B4EC8"/>
    <w:rsid w:val="000B4FB1"/>
    <w:rsid w:val="000B5847"/>
    <w:rsid w:val="000B5B3A"/>
    <w:rsid w:val="000B5E0C"/>
    <w:rsid w:val="000B5EDF"/>
    <w:rsid w:val="000B5F21"/>
    <w:rsid w:val="000B6066"/>
    <w:rsid w:val="000B6534"/>
    <w:rsid w:val="000B7A92"/>
    <w:rsid w:val="000B7CD0"/>
    <w:rsid w:val="000C0070"/>
    <w:rsid w:val="000C0F38"/>
    <w:rsid w:val="000C1D39"/>
    <w:rsid w:val="000C1DB6"/>
    <w:rsid w:val="000C21BF"/>
    <w:rsid w:val="000C2220"/>
    <w:rsid w:val="000C22A7"/>
    <w:rsid w:val="000C28BA"/>
    <w:rsid w:val="000C3005"/>
    <w:rsid w:val="000C31B5"/>
    <w:rsid w:val="000C3970"/>
    <w:rsid w:val="000C3C1F"/>
    <w:rsid w:val="000C3D8B"/>
    <w:rsid w:val="000C4732"/>
    <w:rsid w:val="000C4741"/>
    <w:rsid w:val="000C4880"/>
    <w:rsid w:val="000C4DBA"/>
    <w:rsid w:val="000C4E62"/>
    <w:rsid w:val="000C4F25"/>
    <w:rsid w:val="000C5034"/>
    <w:rsid w:val="000C5161"/>
    <w:rsid w:val="000C5868"/>
    <w:rsid w:val="000C58DD"/>
    <w:rsid w:val="000C5A9D"/>
    <w:rsid w:val="000C6161"/>
    <w:rsid w:val="000C71C4"/>
    <w:rsid w:val="000C78CB"/>
    <w:rsid w:val="000D0120"/>
    <w:rsid w:val="000D05A9"/>
    <w:rsid w:val="000D0A66"/>
    <w:rsid w:val="000D0F11"/>
    <w:rsid w:val="000D10DE"/>
    <w:rsid w:val="000D1B51"/>
    <w:rsid w:val="000D1CD9"/>
    <w:rsid w:val="000D1F24"/>
    <w:rsid w:val="000D1F3F"/>
    <w:rsid w:val="000D20FA"/>
    <w:rsid w:val="000D2804"/>
    <w:rsid w:val="000D291F"/>
    <w:rsid w:val="000D29EB"/>
    <w:rsid w:val="000D2A3F"/>
    <w:rsid w:val="000D3043"/>
    <w:rsid w:val="000D3144"/>
    <w:rsid w:val="000D3C06"/>
    <w:rsid w:val="000D3CC5"/>
    <w:rsid w:val="000D3F4F"/>
    <w:rsid w:val="000D4602"/>
    <w:rsid w:val="000D491C"/>
    <w:rsid w:val="000D5726"/>
    <w:rsid w:val="000D748D"/>
    <w:rsid w:val="000D751D"/>
    <w:rsid w:val="000D7594"/>
    <w:rsid w:val="000D79C3"/>
    <w:rsid w:val="000D7A82"/>
    <w:rsid w:val="000D7C7D"/>
    <w:rsid w:val="000D7CA7"/>
    <w:rsid w:val="000D7D13"/>
    <w:rsid w:val="000D7FA7"/>
    <w:rsid w:val="000E07D4"/>
    <w:rsid w:val="000E0D59"/>
    <w:rsid w:val="000E0F93"/>
    <w:rsid w:val="000E12F0"/>
    <w:rsid w:val="000E14F1"/>
    <w:rsid w:val="000E1625"/>
    <w:rsid w:val="000E1A71"/>
    <w:rsid w:val="000E1EE4"/>
    <w:rsid w:val="000E23F3"/>
    <w:rsid w:val="000E245A"/>
    <w:rsid w:val="000E2A2D"/>
    <w:rsid w:val="000E2DD5"/>
    <w:rsid w:val="000E2EB5"/>
    <w:rsid w:val="000E2EB8"/>
    <w:rsid w:val="000E37E7"/>
    <w:rsid w:val="000E3C1B"/>
    <w:rsid w:val="000E3CF4"/>
    <w:rsid w:val="000E4618"/>
    <w:rsid w:val="000E4D2C"/>
    <w:rsid w:val="000E4E71"/>
    <w:rsid w:val="000E5618"/>
    <w:rsid w:val="000E5969"/>
    <w:rsid w:val="000E5C8A"/>
    <w:rsid w:val="000E5E6B"/>
    <w:rsid w:val="000E6119"/>
    <w:rsid w:val="000E6330"/>
    <w:rsid w:val="000E666F"/>
    <w:rsid w:val="000E6AA1"/>
    <w:rsid w:val="000E6DBB"/>
    <w:rsid w:val="000E76FC"/>
    <w:rsid w:val="000E794C"/>
    <w:rsid w:val="000E7A5F"/>
    <w:rsid w:val="000F0245"/>
    <w:rsid w:val="000F02F9"/>
    <w:rsid w:val="000F0899"/>
    <w:rsid w:val="000F0A80"/>
    <w:rsid w:val="000F0F1C"/>
    <w:rsid w:val="000F18D1"/>
    <w:rsid w:val="000F1D24"/>
    <w:rsid w:val="000F216F"/>
    <w:rsid w:val="000F219B"/>
    <w:rsid w:val="000F2323"/>
    <w:rsid w:val="000F247C"/>
    <w:rsid w:val="000F2AD4"/>
    <w:rsid w:val="000F2CE7"/>
    <w:rsid w:val="000F32E8"/>
    <w:rsid w:val="000F41DC"/>
    <w:rsid w:val="000F4515"/>
    <w:rsid w:val="000F51F7"/>
    <w:rsid w:val="000F5332"/>
    <w:rsid w:val="000F56C6"/>
    <w:rsid w:val="000F5A09"/>
    <w:rsid w:val="000F5C87"/>
    <w:rsid w:val="000F6032"/>
    <w:rsid w:val="000F60D0"/>
    <w:rsid w:val="000F6788"/>
    <w:rsid w:val="000F6ADA"/>
    <w:rsid w:val="000F6E12"/>
    <w:rsid w:val="000F736D"/>
    <w:rsid w:val="000F7454"/>
    <w:rsid w:val="000F78DF"/>
    <w:rsid w:val="000F79DE"/>
    <w:rsid w:val="000F7F6F"/>
    <w:rsid w:val="00100713"/>
    <w:rsid w:val="001007AE"/>
    <w:rsid w:val="00101472"/>
    <w:rsid w:val="001017EB"/>
    <w:rsid w:val="00101893"/>
    <w:rsid w:val="00102167"/>
    <w:rsid w:val="0010219A"/>
    <w:rsid w:val="001025B9"/>
    <w:rsid w:val="001028B7"/>
    <w:rsid w:val="0010293A"/>
    <w:rsid w:val="0010319D"/>
    <w:rsid w:val="001033A4"/>
    <w:rsid w:val="00103A2A"/>
    <w:rsid w:val="00103F9F"/>
    <w:rsid w:val="001040EF"/>
    <w:rsid w:val="00104474"/>
    <w:rsid w:val="001044F6"/>
    <w:rsid w:val="001047D8"/>
    <w:rsid w:val="00104CE3"/>
    <w:rsid w:val="001051AD"/>
    <w:rsid w:val="001055F5"/>
    <w:rsid w:val="00105924"/>
    <w:rsid w:val="00105CEA"/>
    <w:rsid w:val="00105D0A"/>
    <w:rsid w:val="00105E9B"/>
    <w:rsid w:val="00106545"/>
    <w:rsid w:val="001067E3"/>
    <w:rsid w:val="0010680A"/>
    <w:rsid w:val="0010734F"/>
    <w:rsid w:val="0010775B"/>
    <w:rsid w:val="001077EE"/>
    <w:rsid w:val="00107CB9"/>
    <w:rsid w:val="00107D7B"/>
    <w:rsid w:val="00107DE2"/>
    <w:rsid w:val="00110155"/>
    <w:rsid w:val="00110374"/>
    <w:rsid w:val="00110464"/>
    <w:rsid w:val="00110A63"/>
    <w:rsid w:val="00110BAF"/>
    <w:rsid w:val="00110F1B"/>
    <w:rsid w:val="00111BB6"/>
    <w:rsid w:val="00111FFC"/>
    <w:rsid w:val="0011223B"/>
    <w:rsid w:val="001122E1"/>
    <w:rsid w:val="00112BD6"/>
    <w:rsid w:val="001131B5"/>
    <w:rsid w:val="00113559"/>
    <w:rsid w:val="001136C2"/>
    <w:rsid w:val="00113C33"/>
    <w:rsid w:val="0011405A"/>
    <w:rsid w:val="0011457C"/>
    <w:rsid w:val="00114D46"/>
    <w:rsid w:val="00114DEF"/>
    <w:rsid w:val="001151A5"/>
    <w:rsid w:val="00116809"/>
    <w:rsid w:val="00117208"/>
    <w:rsid w:val="00117560"/>
    <w:rsid w:val="001175D4"/>
    <w:rsid w:val="00120092"/>
    <w:rsid w:val="00121097"/>
    <w:rsid w:val="001215AF"/>
    <w:rsid w:val="00121699"/>
    <w:rsid w:val="001222E5"/>
    <w:rsid w:val="00122587"/>
    <w:rsid w:val="001226AB"/>
    <w:rsid w:val="001228F3"/>
    <w:rsid w:val="00122D28"/>
    <w:rsid w:val="00122D51"/>
    <w:rsid w:val="00122DC3"/>
    <w:rsid w:val="00122E36"/>
    <w:rsid w:val="00122F7F"/>
    <w:rsid w:val="001236E7"/>
    <w:rsid w:val="0012585D"/>
    <w:rsid w:val="00125D32"/>
    <w:rsid w:val="001262B7"/>
    <w:rsid w:val="001268A7"/>
    <w:rsid w:val="00127492"/>
    <w:rsid w:val="001274B2"/>
    <w:rsid w:val="001279FA"/>
    <w:rsid w:val="00127A68"/>
    <w:rsid w:val="00130021"/>
    <w:rsid w:val="001302E9"/>
    <w:rsid w:val="00130777"/>
    <w:rsid w:val="00130865"/>
    <w:rsid w:val="00130A66"/>
    <w:rsid w:val="00130E5E"/>
    <w:rsid w:val="00131025"/>
    <w:rsid w:val="00131214"/>
    <w:rsid w:val="0013167F"/>
    <w:rsid w:val="00131941"/>
    <w:rsid w:val="001320BD"/>
    <w:rsid w:val="00133295"/>
    <w:rsid w:val="0013377B"/>
    <w:rsid w:val="001339F4"/>
    <w:rsid w:val="00133CD6"/>
    <w:rsid w:val="001346F2"/>
    <w:rsid w:val="00134710"/>
    <w:rsid w:val="00134AC6"/>
    <w:rsid w:val="00134D8C"/>
    <w:rsid w:val="0013502F"/>
    <w:rsid w:val="0013593F"/>
    <w:rsid w:val="00135E90"/>
    <w:rsid w:val="001366A4"/>
    <w:rsid w:val="00136BFB"/>
    <w:rsid w:val="00136D47"/>
    <w:rsid w:val="001376A1"/>
    <w:rsid w:val="00141381"/>
    <w:rsid w:val="00141532"/>
    <w:rsid w:val="00141871"/>
    <w:rsid w:val="00141B9D"/>
    <w:rsid w:val="001422BA"/>
    <w:rsid w:val="00142341"/>
    <w:rsid w:val="0014240B"/>
    <w:rsid w:val="001426D4"/>
    <w:rsid w:val="00142AC2"/>
    <w:rsid w:val="00142B0C"/>
    <w:rsid w:val="00142BAB"/>
    <w:rsid w:val="0014318C"/>
    <w:rsid w:val="0014336A"/>
    <w:rsid w:val="00143CAF"/>
    <w:rsid w:val="00144037"/>
    <w:rsid w:val="001444E4"/>
    <w:rsid w:val="00144614"/>
    <w:rsid w:val="00144D47"/>
    <w:rsid w:val="00144DC5"/>
    <w:rsid w:val="00144F4F"/>
    <w:rsid w:val="00144FAC"/>
    <w:rsid w:val="00146BF6"/>
    <w:rsid w:val="00147009"/>
    <w:rsid w:val="00150767"/>
    <w:rsid w:val="00150FE6"/>
    <w:rsid w:val="00151051"/>
    <w:rsid w:val="001512E7"/>
    <w:rsid w:val="0015144D"/>
    <w:rsid w:val="00151454"/>
    <w:rsid w:val="001515BD"/>
    <w:rsid w:val="00151693"/>
    <w:rsid w:val="00151A45"/>
    <w:rsid w:val="00151BB2"/>
    <w:rsid w:val="00151D74"/>
    <w:rsid w:val="00151EC3"/>
    <w:rsid w:val="00152E28"/>
    <w:rsid w:val="001531DD"/>
    <w:rsid w:val="00153255"/>
    <w:rsid w:val="001536F9"/>
    <w:rsid w:val="0015378D"/>
    <w:rsid w:val="00153885"/>
    <w:rsid w:val="00153985"/>
    <w:rsid w:val="00154015"/>
    <w:rsid w:val="001541BD"/>
    <w:rsid w:val="0015481E"/>
    <w:rsid w:val="00154912"/>
    <w:rsid w:val="00154997"/>
    <w:rsid w:val="00155123"/>
    <w:rsid w:val="001554ED"/>
    <w:rsid w:val="00155F9D"/>
    <w:rsid w:val="0015698D"/>
    <w:rsid w:val="001571E1"/>
    <w:rsid w:val="00157854"/>
    <w:rsid w:val="00157B23"/>
    <w:rsid w:val="001605C4"/>
    <w:rsid w:val="00160668"/>
    <w:rsid w:val="00160912"/>
    <w:rsid w:val="001609D3"/>
    <w:rsid w:val="00160BF5"/>
    <w:rsid w:val="0016139A"/>
    <w:rsid w:val="00161778"/>
    <w:rsid w:val="00161BEE"/>
    <w:rsid w:val="00161EDF"/>
    <w:rsid w:val="0016220B"/>
    <w:rsid w:val="00162574"/>
    <w:rsid w:val="001625BE"/>
    <w:rsid w:val="00162659"/>
    <w:rsid w:val="0016293E"/>
    <w:rsid w:val="00162BE8"/>
    <w:rsid w:val="00162DCB"/>
    <w:rsid w:val="00162E04"/>
    <w:rsid w:val="001633DB"/>
    <w:rsid w:val="001635E8"/>
    <w:rsid w:val="0016387C"/>
    <w:rsid w:val="001638AD"/>
    <w:rsid w:val="0016395A"/>
    <w:rsid w:val="001639C5"/>
    <w:rsid w:val="001643D4"/>
    <w:rsid w:val="0016469B"/>
    <w:rsid w:val="001651F0"/>
    <w:rsid w:val="00165661"/>
    <w:rsid w:val="00165E4B"/>
    <w:rsid w:val="00165F0F"/>
    <w:rsid w:val="0016644B"/>
    <w:rsid w:val="001664A5"/>
    <w:rsid w:val="001666F9"/>
    <w:rsid w:val="00166957"/>
    <w:rsid w:val="00166B0D"/>
    <w:rsid w:val="0016734F"/>
    <w:rsid w:val="00167A88"/>
    <w:rsid w:val="00167BD0"/>
    <w:rsid w:val="00167FFE"/>
    <w:rsid w:val="001701DE"/>
    <w:rsid w:val="001712A0"/>
    <w:rsid w:val="00172390"/>
    <w:rsid w:val="0017280A"/>
    <w:rsid w:val="001728EE"/>
    <w:rsid w:val="001736C3"/>
    <w:rsid w:val="0017378D"/>
    <w:rsid w:val="00173F9D"/>
    <w:rsid w:val="00174216"/>
    <w:rsid w:val="0017438E"/>
    <w:rsid w:val="00175340"/>
    <w:rsid w:val="00175448"/>
    <w:rsid w:val="001754B7"/>
    <w:rsid w:val="0017632F"/>
    <w:rsid w:val="0017644C"/>
    <w:rsid w:val="001765A3"/>
    <w:rsid w:val="00176627"/>
    <w:rsid w:val="0017681F"/>
    <w:rsid w:val="001771D3"/>
    <w:rsid w:val="00177312"/>
    <w:rsid w:val="0017797C"/>
    <w:rsid w:val="001779EE"/>
    <w:rsid w:val="00177D88"/>
    <w:rsid w:val="00180185"/>
    <w:rsid w:val="00181313"/>
    <w:rsid w:val="00181F3A"/>
    <w:rsid w:val="0018229C"/>
    <w:rsid w:val="00182818"/>
    <w:rsid w:val="0018282D"/>
    <w:rsid w:val="00182C1A"/>
    <w:rsid w:val="00183032"/>
    <w:rsid w:val="00183223"/>
    <w:rsid w:val="0018394C"/>
    <w:rsid w:val="00183DFC"/>
    <w:rsid w:val="00184333"/>
    <w:rsid w:val="00184FE9"/>
    <w:rsid w:val="00185271"/>
    <w:rsid w:val="00185CB1"/>
    <w:rsid w:val="00185E83"/>
    <w:rsid w:val="00185F14"/>
    <w:rsid w:val="0018632A"/>
    <w:rsid w:val="00186965"/>
    <w:rsid w:val="00186C5C"/>
    <w:rsid w:val="00186E08"/>
    <w:rsid w:val="00186E71"/>
    <w:rsid w:val="001874DC"/>
    <w:rsid w:val="00187E39"/>
    <w:rsid w:val="001905EA"/>
    <w:rsid w:val="00190784"/>
    <w:rsid w:val="001910E9"/>
    <w:rsid w:val="00191371"/>
    <w:rsid w:val="00191D57"/>
    <w:rsid w:val="00191D6C"/>
    <w:rsid w:val="00192431"/>
    <w:rsid w:val="00192644"/>
    <w:rsid w:val="00192872"/>
    <w:rsid w:val="00192C56"/>
    <w:rsid w:val="00192F11"/>
    <w:rsid w:val="00193182"/>
    <w:rsid w:val="001939EA"/>
    <w:rsid w:val="00193B76"/>
    <w:rsid w:val="00193F29"/>
    <w:rsid w:val="0019413A"/>
    <w:rsid w:val="00194834"/>
    <w:rsid w:val="00194BE8"/>
    <w:rsid w:val="00194C9B"/>
    <w:rsid w:val="0019536A"/>
    <w:rsid w:val="001959DC"/>
    <w:rsid w:val="00195B89"/>
    <w:rsid w:val="00195C9D"/>
    <w:rsid w:val="00195D04"/>
    <w:rsid w:val="00195F88"/>
    <w:rsid w:val="0019623E"/>
    <w:rsid w:val="00196487"/>
    <w:rsid w:val="001967A4"/>
    <w:rsid w:val="00196804"/>
    <w:rsid w:val="00196954"/>
    <w:rsid w:val="001969CA"/>
    <w:rsid w:val="00196CC1"/>
    <w:rsid w:val="00197140"/>
    <w:rsid w:val="0019774C"/>
    <w:rsid w:val="00197AD5"/>
    <w:rsid w:val="00197ECE"/>
    <w:rsid w:val="001A03C7"/>
    <w:rsid w:val="001A08D1"/>
    <w:rsid w:val="001A0F57"/>
    <w:rsid w:val="001A0FCD"/>
    <w:rsid w:val="001A10C5"/>
    <w:rsid w:val="001A12AA"/>
    <w:rsid w:val="001A1471"/>
    <w:rsid w:val="001A191E"/>
    <w:rsid w:val="001A20F6"/>
    <w:rsid w:val="001A247B"/>
    <w:rsid w:val="001A3021"/>
    <w:rsid w:val="001A368A"/>
    <w:rsid w:val="001A3793"/>
    <w:rsid w:val="001A3C3A"/>
    <w:rsid w:val="001A3EA4"/>
    <w:rsid w:val="001A3F02"/>
    <w:rsid w:val="001A40BB"/>
    <w:rsid w:val="001A42D8"/>
    <w:rsid w:val="001A458A"/>
    <w:rsid w:val="001A48DF"/>
    <w:rsid w:val="001A49EE"/>
    <w:rsid w:val="001A5493"/>
    <w:rsid w:val="001A54EA"/>
    <w:rsid w:val="001A58E9"/>
    <w:rsid w:val="001A5BDC"/>
    <w:rsid w:val="001A68BC"/>
    <w:rsid w:val="001A6C99"/>
    <w:rsid w:val="001A7173"/>
    <w:rsid w:val="001A73A6"/>
    <w:rsid w:val="001A7695"/>
    <w:rsid w:val="001A76AB"/>
    <w:rsid w:val="001A7A18"/>
    <w:rsid w:val="001A7D20"/>
    <w:rsid w:val="001B024C"/>
    <w:rsid w:val="001B04CE"/>
    <w:rsid w:val="001B1110"/>
    <w:rsid w:val="001B18D0"/>
    <w:rsid w:val="001B1A19"/>
    <w:rsid w:val="001B1AC2"/>
    <w:rsid w:val="001B2070"/>
    <w:rsid w:val="001B227A"/>
    <w:rsid w:val="001B2A42"/>
    <w:rsid w:val="001B2B4D"/>
    <w:rsid w:val="001B2E0D"/>
    <w:rsid w:val="001B31A4"/>
    <w:rsid w:val="001B3D72"/>
    <w:rsid w:val="001B3F56"/>
    <w:rsid w:val="001B40B7"/>
    <w:rsid w:val="001B481A"/>
    <w:rsid w:val="001B48D1"/>
    <w:rsid w:val="001B4CC6"/>
    <w:rsid w:val="001B564B"/>
    <w:rsid w:val="001B63CB"/>
    <w:rsid w:val="001B6875"/>
    <w:rsid w:val="001B6D18"/>
    <w:rsid w:val="001B6FC4"/>
    <w:rsid w:val="001B76E2"/>
    <w:rsid w:val="001B7771"/>
    <w:rsid w:val="001B7F87"/>
    <w:rsid w:val="001C0177"/>
    <w:rsid w:val="001C0721"/>
    <w:rsid w:val="001C0DE3"/>
    <w:rsid w:val="001C0FF2"/>
    <w:rsid w:val="001C10C7"/>
    <w:rsid w:val="001C1925"/>
    <w:rsid w:val="001C1A3D"/>
    <w:rsid w:val="001C1B52"/>
    <w:rsid w:val="001C2619"/>
    <w:rsid w:val="001C3534"/>
    <w:rsid w:val="001C3619"/>
    <w:rsid w:val="001C380E"/>
    <w:rsid w:val="001C40FD"/>
    <w:rsid w:val="001C460A"/>
    <w:rsid w:val="001C46BC"/>
    <w:rsid w:val="001C46DC"/>
    <w:rsid w:val="001C48B4"/>
    <w:rsid w:val="001C4A7F"/>
    <w:rsid w:val="001C4C5D"/>
    <w:rsid w:val="001C5225"/>
    <w:rsid w:val="001C5592"/>
    <w:rsid w:val="001C5F3D"/>
    <w:rsid w:val="001C68AC"/>
    <w:rsid w:val="001C6F9E"/>
    <w:rsid w:val="001C7005"/>
    <w:rsid w:val="001C7750"/>
    <w:rsid w:val="001C7B32"/>
    <w:rsid w:val="001D00BB"/>
    <w:rsid w:val="001D07BC"/>
    <w:rsid w:val="001D07C9"/>
    <w:rsid w:val="001D08FD"/>
    <w:rsid w:val="001D0A46"/>
    <w:rsid w:val="001D0AD2"/>
    <w:rsid w:val="001D0CA9"/>
    <w:rsid w:val="001D0D14"/>
    <w:rsid w:val="001D1E85"/>
    <w:rsid w:val="001D22D2"/>
    <w:rsid w:val="001D23C0"/>
    <w:rsid w:val="001D2855"/>
    <w:rsid w:val="001D2BF0"/>
    <w:rsid w:val="001D2C02"/>
    <w:rsid w:val="001D3ABA"/>
    <w:rsid w:val="001D3B87"/>
    <w:rsid w:val="001D3C29"/>
    <w:rsid w:val="001D3CB0"/>
    <w:rsid w:val="001D3DE5"/>
    <w:rsid w:val="001D3FDE"/>
    <w:rsid w:val="001D46E4"/>
    <w:rsid w:val="001D4ACE"/>
    <w:rsid w:val="001D4F3B"/>
    <w:rsid w:val="001D51DF"/>
    <w:rsid w:val="001D522D"/>
    <w:rsid w:val="001D5453"/>
    <w:rsid w:val="001D5BAB"/>
    <w:rsid w:val="001D5E17"/>
    <w:rsid w:val="001D5EA9"/>
    <w:rsid w:val="001D6453"/>
    <w:rsid w:val="001D6718"/>
    <w:rsid w:val="001D6F51"/>
    <w:rsid w:val="001D71C0"/>
    <w:rsid w:val="001D71C2"/>
    <w:rsid w:val="001D7731"/>
    <w:rsid w:val="001D7B00"/>
    <w:rsid w:val="001D7F72"/>
    <w:rsid w:val="001D7FF3"/>
    <w:rsid w:val="001E019B"/>
    <w:rsid w:val="001E0565"/>
    <w:rsid w:val="001E0823"/>
    <w:rsid w:val="001E0F00"/>
    <w:rsid w:val="001E0F99"/>
    <w:rsid w:val="001E14F2"/>
    <w:rsid w:val="001E1683"/>
    <w:rsid w:val="001E18C8"/>
    <w:rsid w:val="001E1B81"/>
    <w:rsid w:val="001E1D31"/>
    <w:rsid w:val="001E20E5"/>
    <w:rsid w:val="001E21B0"/>
    <w:rsid w:val="001E224B"/>
    <w:rsid w:val="001E34AB"/>
    <w:rsid w:val="001E3DDD"/>
    <w:rsid w:val="001E3E64"/>
    <w:rsid w:val="001E40B6"/>
    <w:rsid w:val="001E430E"/>
    <w:rsid w:val="001E467A"/>
    <w:rsid w:val="001E4752"/>
    <w:rsid w:val="001E492E"/>
    <w:rsid w:val="001E4BB3"/>
    <w:rsid w:val="001E4CDC"/>
    <w:rsid w:val="001E4EB6"/>
    <w:rsid w:val="001E5667"/>
    <w:rsid w:val="001E5929"/>
    <w:rsid w:val="001E61F3"/>
    <w:rsid w:val="001E642F"/>
    <w:rsid w:val="001E6666"/>
    <w:rsid w:val="001E66E5"/>
    <w:rsid w:val="001E69E5"/>
    <w:rsid w:val="001E6DA2"/>
    <w:rsid w:val="001E6EA8"/>
    <w:rsid w:val="001E70CD"/>
    <w:rsid w:val="001E70EC"/>
    <w:rsid w:val="001E72C4"/>
    <w:rsid w:val="001E74E1"/>
    <w:rsid w:val="001E7A99"/>
    <w:rsid w:val="001E7C0C"/>
    <w:rsid w:val="001F0471"/>
    <w:rsid w:val="001F07FD"/>
    <w:rsid w:val="001F09B5"/>
    <w:rsid w:val="001F0C8A"/>
    <w:rsid w:val="001F0CC8"/>
    <w:rsid w:val="001F105E"/>
    <w:rsid w:val="001F1C16"/>
    <w:rsid w:val="001F23F4"/>
    <w:rsid w:val="001F240E"/>
    <w:rsid w:val="001F272D"/>
    <w:rsid w:val="001F2A3B"/>
    <w:rsid w:val="001F2A5B"/>
    <w:rsid w:val="001F32A5"/>
    <w:rsid w:val="001F3485"/>
    <w:rsid w:val="001F3529"/>
    <w:rsid w:val="001F3689"/>
    <w:rsid w:val="001F3DA2"/>
    <w:rsid w:val="001F3F45"/>
    <w:rsid w:val="001F3F53"/>
    <w:rsid w:val="001F431C"/>
    <w:rsid w:val="001F4878"/>
    <w:rsid w:val="001F4C7E"/>
    <w:rsid w:val="001F4E28"/>
    <w:rsid w:val="001F4E2E"/>
    <w:rsid w:val="001F5087"/>
    <w:rsid w:val="001F51C7"/>
    <w:rsid w:val="001F5580"/>
    <w:rsid w:val="001F5612"/>
    <w:rsid w:val="001F583D"/>
    <w:rsid w:val="001F59D0"/>
    <w:rsid w:val="001F5FC0"/>
    <w:rsid w:val="001F6339"/>
    <w:rsid w:val="001F64B4"/>
    <w:rsid w:val="001F6A6D"/>
    <w:rsid w:val="001F798F"/>
    <w:rsid w:val="001F7BDD"/>
    <w:rsid w:val="001F7F6A"/>
    <w:rsid w:val="0020029C"/>
    <w:rsid w:val="0020031F"/>
    <w:rsid w:val="0020033C"/>
    <w:rsid w:val="002004E0"/>
    <w:rsid w:val="0020064F"/>
    <w:rsid w:val="00200748"/>
    <w:rsid w:val="00200E27"/>
    <w:rsid w:val="00200E40"/>
    <w:rsid w:val="002011C1"/>
    <w:rsid w:val="002018BC"/>
    <w:rsid w:val="00201942"/>
    <w:rsid w:val="00201EF0"/>
    <w:rsid w:val="0020232F"/>
    <w:rsid w:val="0020238A"/>
    <w:rsid w:val="0020267B"/>
    <w:rsid w:val="002027F2"/>
    <w:rsid w:val="00202CDF"/>
    <w:rsid w:val="00203537"/>
    <w:rsid w:val="0020366E"/>
    <w:rsid w:val="00203883"/>
    <w:rsid w:val="002038E4"/>
    <w:rsid w:val="00203D5D"/>
    <w:rsid w:val="002042AD"/>
    <w:rsid w:val="00204305"/>
    <w:rsid w:val="00204451"/>
    <w:rsid w:val="00204ADE"/>
    <w:rsid w:val="00204B97"/>
    <w:rsid w:val="002056E3"/>
    <w:rsid w:val="00205A99"/>
    <w:rsid w:val="00206340"/>
    <w:rsid w:val="002064A8"/>
    <w:rsid w:val="00206643"/>
    <w:rsid w:val="002066D3"/>
    <w:rsid w:val="00206942"/>
    <w:rsid w:val="00206B46"/>
    <w:rsid w:val="0020786F"/>
    <w:rsid w:val="002078B8"/>
    <w:rsid w:val="00207CBE"/>
    <w:rsid w:val="00207EB9"/>
    <w:rsid w:val="00207F73"/>
    <w:rsid w:val="0021032F"/>
    <w:rsid w:val="00210375"/>
    <w:rsid w:val="00210ABB"/>
    <w:rsid w:val="00210D97"/>
    <w:rsid w:val="00210F5D"/>
    <w:rsid w:val="00211248"/>
    <w:rsid w:val="00211318"/>
    <w:rsid w:val="00211547"/>
    <w:rsid w:val="002117E2"/>
    <w:rsid w:val="002117ED"/>
    <w:rsid w:val="0021197E"/>
    <w:rsid w:val="00212438"/>
    <w:rsid w:val="002127A0"/>
    <w:rsid w:val="002130D3"/>
    <w:rsid w:val="00213156"/>
    <w:rsid w:val="00213403"/>
    <w:rsid w:val="00213449"/>
    <w:rsid w:val="00213694"/>
    <w:rsid w:val="00213754"/>
    <w:rsid w:val="00213E14"/>
    <w:rsid w:val="00214448"/>
    <w:rsid w:val="00214AC6"/>
    <w:rsid w:val="00214F3A"/>
    <w:rsid w:val="00214F96"/>
    <w:rsid w:val="00214FD2"/>
    <w:rsid w:val="0021560F"/>
    <w:rsid w:val="002158C3"/>
    <w:rsid w:val="00215C6A"/>
    <w:rsid w:val="00215D69"/>
    <w:rsid w:val="00216054"/>
    <w:rsid w:val="00216199"/>
    <w:rsid w:val="00216205"/>
    <w:rsid w:val="002162E2"/>
    <w:rsid w:val="002176F1"/>
    <w:rsid w:val="00217761"/>
    <w:rsid w:val="00217B9A"/>
    <w:rsid w:val="0022025A"/>
    <w:rsid w:val="00220509"/>
    <w:rsid w:val="002205C8"/>
    <w:rsid w:val="00220603"/>
    <w:rsid w:val="00220A52"/>
    <w:rsid w:val="0022125A"/>
    <w:rsid w:val="002217AD"/>
    <w:rsid w:val="00221ABF"/>
    <w:rsid w:val="00221D06"/>
    <w:rsid w:val="00222103"/>
    <w:rsid w:val="002225D3"/>
    <w:rsid w:val="0022278E"/>
    <w:rsid w:val="00222C5C"/>
    <w:rsid w:val="00222E6B"/>
    <w:rsid w:val="00223447"/>
    <w:rsid w:val="0022383B"/>
    <w:rsid w:val="002240F4"/>
    <w:rsid w:val="00224274"/>
    <w:rsid w:val="00224460"/>
    <w:rsid w:val="002244F7"/>
    <w:rsid w:val="00224A1C"/>
    <w:rsid w:val="00224C16"/>
    <w:rsid w:val="00224EDA"/>
    <w:rsid w:val="002257C7"/>
    <w:rsid w:val="00225B1B"/>
    <w:rsid w:val="00225D32"/>
    <w:rsid w:val="00226748"/>
    <w:rsid w:val="00226822"/>
    <w:rsid w:val="002268A1"/>
    <w:rsid w:val="00226A18"/>
    <w:rsid w:val="00227127"/>
    <w:rsid w:val="0022768D"/>
    <w:rsid w:val="00227DB1"/>
    <w:rsid w:val="002300AE"/>
    <w:rsid w:val="002309FF"/>
    <w:rsid w:val="00230E63"/>
    <w:rsid w:val="00230EDA"/>
    <w:rsid w:val="00231200"/>
    <w:rsid w:val="00231552"/>
    <w:rsid w:val="00231572"/>
    <w:rsid w:val="0023164E"/>
    <w:rsid w:val="00231E36"/>
    <w:rsid w:val="0023206C"/>
    <w:rsid w:val="002320CD"/>
    <w:rsid w:val="00232168"/>
    <w:rsid w:val="00232579"/>
    <w:rsid w:val="00232686"/>
    <w:rsid w:val="0023288B"/>
    <w:rsid w:val="0023291C"/>
    <w:rsid w:val="002329C4"/>
    <w:rsid w:val="002329D4"/>
    <w:rsid w:val="00232A55"/>
    <w:rsid w:val="00234341"/>
    <w:rsid w:val="00234360"/>
    <w:rsid w:val="002343D2"/>
    <w:rsid w:val="00234657"/>
    <w:rsid w:val="00234884"/>
    <w:rsid w:val="00234BCB"/>
    <w:rsid w:val="00234FEF"/>
    <w:rsid w:val="0023543E"/>
    <w:rsid w:val="002354B1"/>
    <w:rsid w:val="0023553E"/>
    <w:rsid w:val="00235F17"/>
    <w:rsid w:val="00236008"/>
    <w:rsid w:val="00236459"/>
    <w:rsid w:val="002367F2"/>
    <w:rsid w:val="002375D3"/>
    <w:rsid w:val="00237913"/>
    <w:rsid w:val="00237B22"/>
    <w:rsid w:val="00237B42"/>
    <w:rsid w:val="00237F4D"/>
    <w:rsid w:val="0024022B"/>
    <w:rsid w:val="00240CB7"/>
    <w:rsid w:val="0024123A"/>
    <w:rsid w:val="00241286"/>
    <w:rsid w:val="002413A7"/>
    <w:rsid w:val="0024141B"/>
    <w:rsid w:val="00241671"/>
    <w:rsid w:val="00242157"/>
    <w:rsid w:val="00242467"/>
    <w:rsid w:val="00242976"/>
    <w:rsid w:val="002429E3"/>
    <w:rsid w:val="00242AE7"/>
    <w:rsid w:val="002434FE"/>
    <w:rsid w:val="002436A8"/>
    <w:rsid w:val="002437CE"/>
    <w:rsid w:val="00243AE5"/>
    <w:rsid w:val="00243C1B"/>
    <w:rsid w:val="002442A9"/>
    <w:rsid w:val="002452C6"/>
    <w:rsid w:val="0024544F"/>
    <w:rsid w:val="00245C85"/>
    <w:rsid w:val="00245E27"/>
    <w:rsid w:val="00246036"/>
    <w:rsid w:val="002462C6"/>
    <w:rsid w:val="00246753"/>
    <w:rsid w:val="00246CD9"/>
    <w:rsid w:val="0024743C"/>
    <w:rsid w:val="00247CA1"/>
    <w:rsid w:val="00250058"/>
    <w:rsid w:val="002507E9"/>
    <w:rsid w:val="002509D1"/>
    <w:rsid w:val="00250A32"/>
    <w:rsid w:val="00251016"/>
    <w:rsid w:val="002513A5"/>
    <w:rsid w:val="00251440"/>
    <w:rsid w:val="0025190B"/>
    <w:rsid w:val="0025268C"/>
    <w:rsid w:val="00252D90"/>
    <w:rsid w:val="00253029"/>
    <w:rsid w:val="00253134"/>
    <w:rsid w:val="00253171"/>
    <w:rsid w:val="0025323A"/>
    <w:rsid w:val="002534E9"/>
    <w:rsid w:val="00253A2E"/>
    <w:rsid w:val="00253D6D"/>
    <w:rsid w:val="002542DB"/>
    <w:rsid w:val="00254A20"/>
    <w:rsid w:val="002552FA"/>
    <w:rsid w:val="0025534A"/>
    <w:rsid w:val="002554FB"/>
    <w:rsid w:val="0025570C"/>
    <w:rsid w:val="00255771"/>
    <w:rsid w:val="00255BC6"/>
    <w:rsid w:val="00255C30"/>
    <w:rsid w:val="00256521"/>
    <w:rsid w:val="002565F2"/>
    <w:rsid w:val="002569B9"/>
    <w:rsid w:val="00257329"/>
    <w:rsid w:val="00257C31"/>
    <w:rsid w:val="00257D61"/>
    <w:rsid w:val="00257E2F"/>
    <w:rsid w:val="00257EA4"/>
    <w:rsid w:val="00257F00"/>
    <w:rsid w:val="002602E5"/>
    <w:rsid w:val="00260562"/>
    <w:rsid w:val="002606EE"/>
    <w:rsid w:val="0026072B"/>
    <w:rsid w:val="00260DA0"/>
    <w:rsid w:val="00261142"/>
    <w:rsid w:val="002613BE"/>
    <w:rsid w:val="00261610"/>
    <w:rsid w:val="0026165C"/>
    <w:rsid w:val="0026183A"/>
    <w:rsid w:val="002624DF"/>
    <w:rsid w:val="002628EE"/>
    <w:rsid w:val="002629B5"/>
    <w:rsid w:val="00262B11"/>
    <w:rsid w:val="00262CD0"/>
    <w:rsid w:val="002634D0"/>
    <w:rsid w:val="002635FD"/>
    <w:rsid w:val="00264030"/>
    <w:rsid w:val="002643FC"/>
    <w:rsid w:val="002647BA"/>
    <w:rsid w:val="00264A6D"/>
    <w:rsid w:val="00264EF4"/>
    <w:rsid w:val="0026570B"/>
    <w:rsid w:val="00265BE2"/>
    <w:rsid w:val="00265BF2"/>
    <w:rsid w:val="00265D6E"/>
    <w:rsid w:val="00265E75"/>
    <w:rsid w:val="00265EDD"/>
    <w:rsid w:val="00265FA9"/>
    <w:rsid w:val="002661D7"/>
    <w:rsid w:val="002661EB"/>
    <w:rsid w:val="0026653D"/>
    <w:rsid w:val="0026659F"/>
    <w:rsid w:val="00266A78"/>
    <w:rsid w:val="002671E7"/>
    <w:rsid w:val="002672F3"/>
    <w:rsid w:val="0026755B"/>
    <w:rsid w:val="00267922"/>
    <w:rsid w:val="00267E86"/>
    <w:rsid w:val="00270D77"/>
    <w:rsid w:val="00271029"/>
    <w:rsid w:val="002714FD"/>
    <w:rsid w:val="0027155C"/>
    <w:rsid w:val="002716F5"/>
    <w:rsid w:val="00271712"/>
    <w:rsid w:val="0027176B"/>
    <w:rsid w:val="00271929"/>
    <w:rsid w:val="00271B41"/>
    <w:rsid w:val="00271CA2"/>
    <w:rsid w:val="00271EAE"/>
    <w:rsid w:val="00271FD2"/>
    <w:rsid w:val="00272044"/>
    <w:rsid w:val="002722DA"/>
    <w:rsid w:val="0027249F"/>
    <w:rsid w:val="00272877"/>
    <w:rsid w:val="00272925"/>
    <w:rsid w:val="00272A8E"/>
    <w:rsid w:val="00272C0D"/>
    <w:rsid w:val="00273CF5"/>
    <w:rsid w:val="0027432A"/>
    <w:rsid w:val="002748DB"/>
    <w:rsid w:val="00274D22"/>
    <w:rsid w:val="00274F9C"/>
    <w:rsid w:val="00275B02"/>
    <w:rsid w:val="00275C0C"/>
    <w:rsid w:val="0027600D"/>
    <w:rsid w:val="0027607D"/>
    <w:rsid w:val="00276147"/>
    <w:rsid w:val="00276272"/>
    <w:rsid w:val="00276276"/>
    <w:rsid w:val="00276DF6"/>
    <w:rsid w:val="002770B3"/>
    <w:rsid w:val="00277D58"/>
    <w:rsid w:val="00280034"/>
    <w:rsid w:val="00280378"/>
    <w:rsid w:val="00280B3C"/>
    <w:rsid w:val="00280C1C"/>
    <w:rsid w:val="00281199"/>
    <w:rsid w:val="00281205"/>
    <w:rsid w:val="00281490"/>
    <w:rsid w:val="002814FE"/>
    <w:rsid w:val="0028189A"/>
    <w:rsid w:val="00282085"/>
    <w:rsid w:val="0028212A"/>
    <w:rsid w:val="0028220D"/>
    <w:rsid w:val="002824F1"/>
    <w:rsid w:val="00282534"/>
    <w:rsid w:val="00282A63"/>
    <w:rsid w:val="00282DB4"/>
    <w:rsid w:val="00282DE1"/>
    <w:rsid w:val="002833E4"/>
    <w:rsid w:val="00283413"/>
    <w:rsid w:val="00283F72"/>
    <w:rsid w:val="00284E12"/>
    <w:rsid w:val="00284ED1"/>
    <w:rsid w:val="00285557"/>
    <w:rsid w:val="00285742"/>
    <w:rsid w:val="002857B4"/>
    <w:rsid w:val="00285DC6"/>
    <w:rsid w:val="00286390"/>
    <w:rsid w:val="002867AF"/>
    <w:rsid w:val="00286A76"/>
    <w:rsid w:val="00286AE5"/>
    <w:rsid w:val="00287837"/>
    <w:rsid w:val="00287923"/>
    <w:rsid w:val="00287B5E"/>
    <w:rsid w:val="00287BC5"/>
    <w:rsid w:val="00287C65"/>
    <w:rsid w:val="00287F24"/>
    <w:rsid w:val="00287FCE"/>
    <w:rsid w:val="002900F2"/>
    <w:rsid w:val="0029019E"/>
    <w:rsid w:val="002902DB"/>
    <w:rsid w:val="002903FE"/>
    <w:rsid w:val="00290B0A"/>
    <w:rsid w:val="00290BC7"/>
    <w:rsid w:val="002910CE"/>
    <w:rsid w:val="00291218"/>
    <w:rsid w:val="0029197F"/>
    <w:rsid w:val="00291FA5"/>
    <w:rsid w:val="002927D3"/>
    <w:rsid w:val="0029299B"/>
    <w:rsid w:val="00292C33"/>
    <w:rsid w:val="00292C45"/>
    <w:rsid w:val="00293006"/>
    <w:rsid w:val="00293597"/>
    <w:rsid w:val="002935D1"/>
    <w:rsid w:val="0029360E"/>
    <w:rsid w:val="0029385E"/>
    <w:rsid w:val="00293D90"/>
    <w:rsid w:val="00293FA3"/>
    <w:rsid w:val="002946DC"/>
    <w:rsid w:val="002947C6"/>
    <w:rsid w:val="002947EA"/>
    <w:rsid w:val="0029531D"/>
    <w:rsid w:val="002958F7"/>
    <w:rsid w:val="00295F5A"/>
    <w:rsid w:val="002965D6"/>
    <w:rsid w:val="0029677D"/>
    <w:rsid w:val="00296DB6"/>
    <w:rsid w:val="00297075"/>
    <w:rsid w:val="002970D8"/>
    <w:rsid w:val="002975EF"/>
    <w:rsid w:val="00297616"/>
    <w:rsid w:val="00297FFD"/>
    <w:rsid w:val="002A0146"/>
    <w:rsid w:val="002A0859"/>
    <w:rsid w:val="002A08FD"/>
    <w:rsid w:val="002A0A7A"/>
    <w:rsid w:val="002A0AC0"/>
    <w:rsid w:val="002A0B98"/>
    <w:rsid w:val="002A1412"/>
    <w:rsid w:val="002A1865"/>
    <w:rsid w:val="002A1CE5"/>
    <w:rsid w:val="002A2013"/>
    <w:rsid w:val="002A21E4"/>
    <w:rsid w:val="002A27CA"/>
    <w:rsid w:val="002A2B83"/>
    <w:rsid w:val="002A2C98"/>
    <w:rsid w:val="002A2DED"/>
    <w:rsid w:val="002A2E09"/>
    <w:rsid w:val="002A3267"/>
    <w:rsid w:val="002A3833"/>
    <w:rsid w:val="002A3EAC"/>
    <w:rsid w:val="002A4C59"/>
    <w:rsid w:val="002A4D4A"/>
    <w:rsid w:val="002A52D7"/>
    <w:rsid w:val="002A5384"/>
    <w:rsid w:val="002A5ABB"/>
    <w:rsid w:val="002A5C05"/>
    <w:rsid w:val="002A5C5F"/>
    <w:rsid w:val="002A5DA1"/>
    <w:rsid w:val="002A5DA6"/>
    <w:rsid w:val="002A6403"/>
    <w:rsid w:val="002A6A61"/>
    <w:rsid w:val="002A6C13"/>
    <w:rsid w:val="002A6CED"/>
    <w:rsid w:val="002A6E45"/>
    <w:rsid w:val="002A6F9F"/>
    <w:rsid w:val="002A739D"/>
    <w:rsid w:val="002A7D88"/>
    <w:rsid w:val="002A7E97"/>
    <w:rsid w:val="002A7F3A"/>
    <w:rsid w:val="002B035E"/>
    <w:rsid w:val="002B0559"/>
    <w:rsid w:val="002B071D"/>
    <w:rsid w:val="002B0726"/>
    <w:rsid w:val="002B0D2E"/>
    <w:rsid w:val="002B0E52"/>
    <w:rsid w:val="002B0EB7"/>
    <w:rsid w:val="002B109F"/>
    <w:rsid w:val="002B1DA3"/>
    <w:rsid w:val="002B2333"/>
    <w:rsid w:val="002B282E"/>
    <w:rsid w:val="002B294A"/>
    <w:rsid w:val="002B2B40"/>
    <w:rsid w:val="002B2C88"/>
    <w:rsid w:val="002B2D0B"/>
    <w:rsid w:val="002B302F"/>
    <w:rsid w:val="002B3117"/>
    <w:rsid w:val="002B321E"/>
    <w:rsid w:val="002B353B"/>
    <w:rsid w:val="002B3C7D"/>
    <w:rsid w:val="002B3D8F"/>
    <w:rsid w:val="002B4894"/>
    <w:rsid w:val="002B4955"/>
    <w:rsid w:val="002B4D79"/>
    <w:rsid w:val="002B5B31"/>
    <w:rsid w:val="002B5D7E"/>
    <w:rsid w:val="002B616F"/>
    <w:rsid w:val="002B6CDA"/>
    <w:rsid w:val="002B7226"/>
    <w:rsid w:val="002B7714"/>
    <w:rsid w:val="002B7803"/>
    <w:rsid w:val="002B7B2F"/>
    <w:rsid w:val="002B7DE9"/>
    <w:rsid w:val="002B7FB0"/>
    <w:rsid w:val="002C0123"/>
    <w:rsid w:val="002C041C"/>
    <w:rsid w:val="002C048F"/>
    <w:rsid w:val="002C0905"/>
    <w:rsid w:val="002C0F58"/>
    <w:rsid w:val="002C132C"/>
    <w:rsid w:val="002C13C8"/>
    <w:rsid w:val="002C1651"/>
    <w:rsid w:val="002C1B50"/>
    <w:rsid w:val="002C1B75"/>
    <w:rsid w:val="002C1CB6"/>
    <w:rsid w:val="002C212A"/>
    <w:rsid w:val="002C214E"/>
    <w:rsid w:val="002C2239"/>
    <w:rsid w:val="002C2322"/>
    <w:rsid w:val="002C241F"/>
    <w:rsid w:val="002C345A"/>
    <w:rsid w:val="002C34DD"/>
    <w:rsid w:val="002C3695"/>
    <w:rsid w:val="002C3CF7"/>
    <w:rsid w:val="002C42EA"/>
    <w:rsid w:val="002C4332"/>
    <w:rsid w:val="002C470B"/>
    <w:rsid w:val="002C47D6"/>
    <w:rsid w:val="002C481E"/>
    <w:rsid w:val="002C4E29"/>
    <w:rsid w:val="002C5184"/>
    <w:rsid w:val="002C5248"/>
    <w:rsid w:val="002C5D46"/>
    <w:rsid w:val="002C6009"/>
    <w:rsid w:val="002C6267"/>
    <w:rsid w:val="002C6778"/>
    <w:rsid w:val="002C6792"/>
    <w:rsid w:val="002C6B1B"/>
    <w:rsid w:val="002C6EC7"/>
    <w:rsid w:val="002C7519"/>
    <w:rsid w:val="002C7A98"/>
    <w:rsid w:val="002C7BE3"/>
    <w:rsid w:val="002C7FF9"/>
    <w:rsid w:val="002D00D3"/>
    <w:rsid w:val="002D08DD"/>
    <w:rsid w:val="002D09B9"/>
    <w:rsid w:val="002D0E94"/>
    <w:rsid w:val="002D1206"/>
    <w:rsid w:val="002D1478"/>
    <w:rsid w:val="002D1E8E"/>
    <w:rsid w:val="002D21F0"/>
    <w:rsid w:val="002D2AAC"/>
    <w:rsid w:val="002D3224"/>
    <w:rsid w:val="002D325C"/>
    <w:rsid w:val="002D3403"/>
    <w:rsid w:val="002D39DC"/>
    <w:rsid w:val="002D3B6C"/>
    <w:rsid w:val="002D40B0"/>
    <w:rsid w:val="002D43C9"/>
    <w:rsid w:val="002D466D"/>
    <w:rsid w:val="002D4703"/>
    <w:rsid w:val="002D48D9"/>
    <w:rsid w:val="002D4A15"/>
    <w:rsid w:val="002D4EAF"/>
    <w:rsid w:val="002D5334"/>
    <w:rsid w:val="002D5709"/>
    <w:rsid w:val="002D5843"/>
    <w:rsid w:val="002D585F"/>
    <w:rsid w:val="002D62D1"/>
    <w:rsid w:val="002D67BD"/>
    <w:rsid w:val="002D6B3A"/>
    <w:rsid w:val="002D6D57"/>
    <w:rsid w:val="002D70FE"/>
    <w:rsid w:val="002D7A80"/>
    <w:rsid w:val="002D7E88"/>
    <w:rsid w:val="002E02F9"/>
    <w:rsid w:val="002E06C9"/>
    <w:rsid w:val="002E085A"/>
    <w:rsid w:val="002E1330"/>
    <w:rsid w:val="002E1449"/>
    <w:rsid w:val="002E1462"/>
    <w:rsid w:val="002E1758"/>
    <w:rsid w:val="002E183D"/>
    <w:rsid w:val="002E1CED"/>
    <w:rsid w:val="002E1DCE"/>
    <w:rsid w:val="002E1E1B"/>
    <w:rsid w:val="002E1E76"/>
    <w:rsid w:val="002E2320"/>
    <w:rsid w:val="002E2378"/>
    <w:rsid w:val="002E2B65"/>
    <w:rsid w:val="002E2DF3"/>
    <w:rsid w:val="002E322A"/>
    <w:rsid w:val="002E370B"/>
    <w:rsid w:val="002E408B"/>
    <w:rsid w:val="002E561C"/>
    <w:rsid w:val="002E5870"/>
    <w:rsid w:val="002E59EA"/>
    <w:rsid w:val="002E6160"/>
    <w:rsid w:val="002E6581"/>
    <w:rsid w:val="002E6714"/>
    <w:rsid w:val="002E6844"/>
    <w:rsid w:val="002E711B"/>
    <w:rsid w:val="002E72FF"/>
    <w:rsid w:val="002E7374"/>
    <w:rsid w:val="002E7527"/>
    <w:rsid w:val="002E7FDC"/>
    <w:rsid w:val="002F01AB"/>
    <w:rsid w:val="002F01DD"/>
    <w:rsid w:val="002F0B1F"/>
    <w:rsid w:val="002F0EB5"/>
    <w:rsid w:val="002F0EDE"/>
    <w:rsid w:val="002F166E"/>
    <w:rsid w:val="002F17CE"/>
    <w:rsid w:val="002F1D63"/>
    <w:rsid w:val="002F2315"/>
    <w:rsid w:val="002F26EF"/>
    <w:rsid w:val="002F28A7"/>
    <w:rsid w:val="002F2D72"/>
    <w:rsid w:val="002F3D5F"/>
    <w:rsid w:val="002F47FF"/>
    <w:rsid w:val="002F4AC2"/>
    <w:rsid w:val="002F572E"/>
    <w:rsid w:val="002F6490"/>
    <w:rsid w:val="002F66C3"/>
    <w:rsid w:val="002F6E7C"/>
    <w:rsid w:val="002F6F8B"/>
    <w:rsid w:val="002F7384"/>
    <w:rsid w:val="002F772A"/>
    <w:rsid w:val="002F7D91"/>
    <w:rsid w:val="003004CF"/>
    <w:rsid w:val="00300908"/>
    <w:rsid w:val="00301A0D"/>
    <w:rsid w:val="00301B44"/>
    <w:rsid w:val="00301CEF"/>
    <w:rsid w:val="00301D30"/>
    <w:rsid w:val="00302132"/>
    <w:rsid w:val="00302871"/>
    <w:rsid w:val="003031F0"/>
    <w:rsid w:val="003034CD"/>
    <w:rsid w:val="00303885"/>
    <w:rsid w:val="00304233"/>
    <w:rsid w:val="00304988"/>
    <w:rsid w:val="00304E3C"/>
    <w:rsid w:val="003051CA"/>
    <w:rsid w:val="0030580F"/>
    <w:rsid w:val="00306256"/>
    <w:rsid w:val="0030629B"/>
    <w:rsid w:val="0030664E"/>
    <w:rsid w:val="0030697B"/>
    <w:rsid w:val="00306E68"/>
    <w:rsid w:val="003070FB"/>
    <w:rsid w:val="00307351"/>
    <w:rsid w:val="003078E3"/>
    <w:rsid w:val="003078F4"/>
    <w:rsid w:val="00307AB5"/>
    <w:rsid w:val="00307CC1"/>
    <w:rsid w:val="00307E2C"/>
    <w:rsid w:val="00310946"/>
    <w:rsid w:val="00310CA0"/>
    <w:rsid w:val="003111A0"/>
    <w:rsid w:val="00311456"/>
    <w:rsid w:val="0031152D"/>
    <w:rsid w:val="003115F6"/>
    <w:rsid w:val="00311F6F"/>
    <w:rsid w:val="00312004"/>
    <w:rsid w:val="00312526"/>
    <w:rsid w:val="00312A88"/>
    <w:rsid w:val="00312F87"/>
    <w:rsid w:val="00312FAC"/>
    <w:rsid w:val="00313CD6"/>
    <w:rsid w:val="00314203"/>
    <w:rsid w:val="0031489F"/>
    <w:rsid w:val="0031553F"/>
    <w:rsid w:val="00315644"/>
    <w:rsid w:val="003162F5"/>
    <w:rsid w:val="003164F0"/>
    <w:rsid w:val="0031664B"/>
    <w:rsid w:val="003167C2"/>
    <w:rsid w:val="003173A5"/>
    <w:rsid w:val="0031760D"/>
    <w:rsid w:val="00317BC5"/>
    <w:rsid w:val="00317CA2"/>
    <w:rsid w:val="003203D0"/>
    <w:rsid w:val="00320673"/>
    <w:rsid w:val="003206B6"/>
    <w:rsid w:val="0032071C"/>
    <w:rsid w:val="00320B41"/>
    <w:rsid w:val="003215AB"/>
    <w:rsid w:val="0032175F"/>
    <w:rsid w:val="00321902"/>
    <w:rsid w:val="00321948"/>
    <w:rsid w:val="00321A44"/>
    <w:rsid w:val="00322013"/>
    <w:rsid w:val="0032290C"/>
    <w:rsid w:val="003229F3"/>
    <w:rsid w:val="00323772"/>
    <w:rsid w:val="00323872"/>
    <w:rsid w:val="00323C6E"/>
    <w:rsid w:val="00323E21"/>
    <w:rsid w:val="00324458"/>
    <w:rsid w:val="0032499E"/>
    <w:rsid w:val="00324B9A"/>
    <w:rsid w:val="00325BF1"/>
    <w:rsid w:val="003267B2"/>
    <w:rsid w:val="00327411"/>
    <w:rsid w:val="00327462"/>
    <w:rsid w:val="00327705"/>
    <w:rsid w:val="00327BD6"/>
    <w:rsid w:val="00327DE2"/>
    <w:rsid w:val="00327FAA"/>
    <w:rsid w:val="003307FB"/>
    <w:rsid w:val="00330925"/>
    <w:rsid w:val="00330FAD"/>
    <w:rsid w:val="003311C9"/>
    <w:rsid w:val="00331571"/>
    <w:rsid w:val="00331699"/>
    <w:rsid w:val="003316A2"/>
    <w:rsid w:val="0033177C"/>
    <w:rsid w:val="00331A46"/>
    <w:rsid w:val="00332141"/>
    <w:rsid w:val="0033231E"/>
    <w:rsid w:val="0033253D"/>
    <w:rsid w:val="00332BDF"/>
    <w:rsid w:val="00332E8D"/>
    <w:rsid w:val="00332F7E"/>
    <w:rsid w:val="00333308"/>
    <w:rsid w:val="00333563"/>
    <w:rsid w:val="003336D7"/>
    <w:rsid w:val="00333A99"/>
    <w:rsid w:val="003345EB"/>
    <w:rsid w:val="00334893"/>
    <w:rsid w:val="00334F45"/>
    <w:rsid w:val="00334F60"/>
    <w:rsid w:val="003352FE"/>
    <w:rsid w:val="00335475"/>
    <w:rsid w:val="00335692"/>
    <w:rsid w:val="00335726"/>
    <w:rsid w:val="003357F7"/>
    <w:rsid w:val="00335959"/>
    <w:rsid w:val="00335C6F"/>
    <w:rsid w:val="00336382"/>
    <w:rsid w:val="003364FB"/>
    <w:rsid w:val="0033652D"/>
    <w:rsid w:val="0033663F"/>
    <w:rsid w:val="003368D4"/>
    <w:rsid w:val="00336E76"/>
    <w:rsid w:val="00336EBA"/>
    <w:rsid w:val="00337D9F"/>
    <w:rsid w:val="003406DF"/>
    <w:rsid w:val="003407D1"/>
    <w:rsid w:val="003408D7"/>
    <w:rsid w:val="00340F73"/>
    <w:rsid w:val="00341503"/>
    <w:rsid w:val="0034173A"/>
    <w:rsid w:val="00341810"/>
    <w:rsid w:val="00341AD4"/>
    <w:rsid w:val="00341BFA"/>
    <w:rsid w:val="00341F8B"/>
    <w:rsid w:val="00342179"/>
    <w:rsid w:val="003422B1"/>
    <w:rsid w:val="00342627"/>
    <w:rsid w:val="00342819"/>
    <w:rsid w:val="00343253"/>
    <w:rsid w:val="00343549"/>
    <w:rsid w:val="00343A13"/>
    <w:rsid w:val="00343A7C"/>
    <w:rsid w:val="00343E0D"/>
    <w:rsid w:val="00343F65"/>
    <w:rsid w:val="003440CE"/>
    <w:rsid w:val="003440E0"/>
    <w:rsid w:val="00344960"/>
    <w:rsid w:val="00344A8E"/>
    <w:rsid w:val="00345A72"/>
    <w:rsid w:val="00345B24"/>
    <w:rsid w:val="00345C78"/>
    <w:rsid w:val="00345D0D"/>
    <w:rsid w:val="00346086"/>
    <w:rsid w:val="00346094"/>
    <w:rsid w:val="00346099"/>
    <w:rsid w:val="00346164"/>
    <w:rsid w:val="00346A11"/>
    <w:rsid w:val="00346B79"/>
    <w:rsid w:val="00346C56"/>
    <w:rsid w:val="00346C67"/>
    <w:rsid w:val="00346E44"/>
    <w:rsid w:val="0034712C"/>
    <w:rsid w:val="0034729A"/>
    <w:rsid w:val="003472CC"/>
    <w:rsid w:val="003479F2"/>
    <w:rsid w:val="00347A6A"/>
    <w:rsid w:val="003509E4"/>
    <w:rsid w:val="00350C7F"/>
    <w:rsid w:val="0035149C"/>
    <w:rsid w:val="003518C8"/>
    <w:rsid w:val="00351928"/>
    <w:rsid w:val="0035247E"/>
    <w:rsid w:val="0035249F"/>
    <w:rsid w:val="00352921"/>
    <w:rsid w:val="00352DFD"/>
    <w:rsid w:val="003530BF"/>
    <w:rsid w:val="0035367F"/>
    <w:rsid w:val="00353A02"/>
    <w:rsid w:val="00353DEA"/>
    <w:rsid w:val="00353EC9"/>
    <w:rsid w:val="0035444B"/>
    <w:rsid w:val="0035454A"/>
    <w:rsid w:val="003546AC"/>
    <w:rsid w:val="003550F4"/>
    <w:rsid w:val="00355498"/>
    <w:rsid w:val="0035559A"/>
    <w:rsid w:val="003559F8"/>
    <w:rsid w:val="00355D12"/>
    <w:rsid w:val="00355E34"/>
    <w:rsid w:val="00355EFC"/>
    <w:rsid w:val="00355FA5"/>
    <w:rsid w:val="00356347"/>
    <w:rsid w:val="00356648"/>
    <w:rsid w:val="00356B4F"/>
    <w:rsid w:val="00356BAB"/>
    <w:rsid w:val="00356CD0"/>
    <w:rsid w:val="0035741B"/>
    <w:rsid w:val="00357608"/>
    <w:rsid w:val="00357694"/>
    <w:rsid w:val="00357B87"/>
    <w:rsid w:val="003607CA"/>
    <w:rsid w:val="003607F2"/>
    <w:rsid w:val="00360C27"/>
    <w:rsid w:val="003610DE"/>
    <w:rsid w:val="00361CC7"/>
    <w:rsid w:val="00361CF6"/>
    <w:rsid w:val="00362030"/>
    <w:rsid w:val="00362FF8"/>
    <w:rsid w:val="00363044"/>
    <w:rsid w:val="00363146"/>
    <w:rsid w:val="0036357D"/>
    <w:rsid w:val="003637BD"/>
    <w:rsid w:val="00363831"/>
    <w:rsid w:val="00363A8E"/>
    <w:rsid w:val="00363DD3"/>
    <w:rsid w:val="00364016"/>
    <w:rsid w:val="003640C8"/>
    <w:rsid w:val="0036450A"/>
    <w:rsid w:val="00364681"/>
    <w:rsid w:val="00364A11"/>
    <w:rsid w:val="00364E9A"/>
    <w:rsid w:val="00364EF2"/>
    <w:rsid w:val="003651D7"/>
    <w:rsid w:val="00365B00"/>
    <w:rsid w:val="00365B49"/>
    <w:rsid w:val="0036602B"/>
    <w:rsid w:val="00366576"/>
    <w:rsid w:val="003671A4"/>
    <w:rsid w:val="00367279"/>
    <w:rsid w:val="003672E1"/>
    <w:rsid w:val="00367884"/>
    <w:rsid w:val="00367AD9"/>
    <w:rsid w:val="00367B32"/>
    <w:rsid w:val="00367D11"/>
    <w:rsid w:val="0037000A"/>
    <w:rsid w:val="00370371"/>
    <w:rsid w:val="0037046E"/>
    <w:rsid w:val="00370553"/>
    <w:rsid w:val="00370BC1"/>
    <w:rsid w:val="00370CE2"/>
    <w:rsid w:val="00370D97"/>
    <w:rsid w:val="0037132D"/>
    <w:rsid w:val="003713AC"/>
    <w:rsid w:val="0037164D"/>
    <w:rsid w:val="00371878"/>
    <w:rsid w:val="00371D4D"/>
    <w:rsid w:val="003723D5"/>
    <w:rsid w:val="0037271A"/>
    <w:rsid w:val="00372E4D"/>
    <w:rsid w:val="0037303B"/>
    <w:rsid w:val="00373190"/>
    <w:rsid w:val="00373699"/>
    <w:rsid w:val="00373AC1"/>
    <w:rsid w:val="00373BF3"/>
    <w:rsid w:val="003741EF"/>
    <w:rsid w:val="0037493E"/>
    <w:rsid w:val="00374AF0"/>
    <w:rsid w:val="0037564F"/>
    <w:rsid w:val="00375C5D"/>
    <w:rsid w:val="00375D90"/>
    <w:rsid w:val="003765B2"/>
    <w:rsid w:val="00376941"/>
    <w:rsid w:val="00376D21"/>
    <w:rsid w:val="00376E2A"/>
    <w:rsid w:val="00376FAB"/>
    <w:rsid w:val="00377913"/>
    <w:rsid w:val="00377CE9"/>
    <w:rsid w:val="00380147"/>
    <w:rsid w:val="003801F3"/>
    <w:rsid w:val="0038079E"/>
    <w:rsid w:val="00380ED6"/>
    <w:rsid w:val="00381125"/>
    <w:rsid w:val="003814D6"/>
    <w:rsid w:val="003824F4"/>
    <w:rsid w:val="0038261D"/>
    <w:rsid w:val="00382DD9"/>
    <w:rsid w:val="00382F56"/>
    <w:rsid w:val="003830E8"/>
    <w:rsid w:val="00383B81"/>
    <w:rsid w:val="00384570"/>
    <w:rsid w:val="00384B8D"/>
    <w:rsid w:val="00384E04"/>
    <w:rsid w:val="00385801"/>
    <w:rsid w:val="00385ADA"/>
    <w:rsid w:val="00385D31"/>
    <w:rsid w:val="00385EA6"/>
    <w:rsid w:val="00386612"/>
    <w:rsid w:val="00386851"/>
    <w:rsid w:val="003868B1"/>
    <w:rsid w:val="00386ECE"/>
    <w:rsid w:val="00386ED4"/>
    <w:rsid w:val="00387995"/>
    <w:rsid w:val="00387AB7"/>
    <w:rsid w:val="00390870"/>
    <w:rsid w:val="00390959"/>
    <w:rsid w:val="00391110"/>
    <w:rsid w:val="00391291"/>
    <w:rsid w:val="003914EE"/>
    <w:rsid w:val="003919A3"/>
    <w:rsid w:val="00391A68"/>
    <w:rsid w:val="00391A9E"/>
    <w:rsid w:val="00391DA8"/>
    <w:rsid w:val="0039200C"/>
    <w:rsid w:val="003926E5"/>
    <w:rsid w:val="00392E08"/>
    <w:rsid w:val="0039342B"/>
    <w:rsid w:val="00394020"/>
    <w:rsid w:val="003949B6"/>
    <w:rsid w:val="00395441"/>
    <w:rsid w:val="003954C7"/>
    <w:rsid w:val="00395953"/>
    <w:rsid w:val="0039607A"/>
    <w:rsid w:val="0039642B"/>
    <w:rsid w:val="0039647F"/>
    <w:rsid w:val="003969E7"/>
    <w:rsid w:val="00396DE2"/>
    <w:rsid w:val="00396FC4"/>
    <w:rsid w:val="003970FD"/>
    <w:rsid w:val="0039713E"/>
    <w:rsid w:val="003972BB"/>
    <w:rsid w:val="003978AB"/>
    <w:rsid w:val="00397E7F"/>
    <w:rsid w:val="00397F7E"/>
    <w:rsid w:val="003A02BB"/>
    <w:rsid w:val="003A07CE"/>
    <w:rsid w:val="003A080C"/>
    <w:rsid w:val="003A0A63"/>
    <w:rsid w:val="003A13B8"/>
    <w:rsid w:val="003A1D8A"/>
    <w:rsid w:val="003A1F8F"/>
    <w:rsid w:val="003A230F"/>
    <w:rsid w:val="003A232E"/>
    <w:rsid w:val="003A24F7"/>
    <w:rsid w:val="003A2938"/>
    <w:rsid w:val="003A38EE"/>
    <w:rsid w:val="003A3B5F"/>
    <w:rsid w:val="003A3C65"/>
    <w:rsid w:val="003A3C77"/>
    <w:rsid w:val="003A432C"/>
    <w:rsid w:val="003A48D6"/>
    <w:rsid w:val="003A4A19"/>
    <w:rsid w:val="003A4B50"/>
    <w:rsid w:val="003A4E19"/>
    <w:rsid w:val="003A502F"/>
    <w:rsid w:val="003A5996"/>
    <w:rsid w:val="003A5DA9"/>
    <w:rsid w:val="003A5E8A"/>
    <w:rsid w:val="003A6242"/>
    <w:rsid w:val="003A6601"/>
    <w:rsid w:val="003A69AB"/>
    <w:rsid w:val="003A736E"/>
    <w:rsid w:val="003A7502"/>
    <w:rsid w:val="003A7897"/>
    <w:rsid w:val="003A7FA7"/>
    <w:rsid w:val="003B011F"/>
    <w:rsid w:val="003B0123"/>
    <w:rsid w:val="003B0134"/>
    <w:rsid w:val="003B02D3"/>
    <w:rsid w:val="003B0360"/>
    <w:rsid w:val="003B0B84"/>
    <w:rsid w:val="003B13F4"/>
    <w:rsid w:val="003B1842"/>
    <w:rsid w:val="003B1B03"/>
    <w:rsid w:val="003B1B20"/>
    <w:rsid w:val="003B1FB0"/>
    <w:rsid w:val="003B2174"/>
    <w:rsid w:val="003B24F1"/>
    <w:rsid w:val="003B2707"/>
    <w:rsid w:val="003B2C05"/>
    <w:rsid w:val="003B2D9E"/>
    <w:rsid w:val="003B3029"/>
    <w:rsid w:val="003B32A5"/>
    <w:rsid w:val="003B359A"/>
    <w:rsid w:val="003B3FAF"/>
    <w:rsid w:val="003B4573"/>
    <w:rsid w:val="003B4656"/>
    <w:rsid w:val="003B4741"/>
    <w:rsid w:val="003B4978"/>
    <w:rsid w:val="003B4998"/>
    <w:rsid w:val="003B4A4B"/>
    <w:rsid w:val="003B4D24"/>
    <w:rsid w:val="003B504F"/>
    <w:rsid w:val="003B52F4"/>
    <w:rsid w:val="003B54CE"/>
    <w:rsid w:val="003B59B8"/>
    <w:rsid w:val="003B5C20"/>
    <w:rsid w:val="003B5E5A"/>
    <w:rsid w:val="003B6006"/>
    <w:rsid w:val="003B62D1"/>
    <w:rsid w:val="003B656C"/>
    <w:rsid w:val="003B671A"/>
    <w:rsid w:val="003B727F"/>
    <w:rsid w:val="003B73EE"/>
    <w:rsid w:val="003B75BC"/>
    <w:rsid w:val="003B7D78"/>
    <w:rsid w:val="003C045F"/>
    <w:rsid w:val="003C06E6"/>
    <w:rsid w:val="003C0AA3"/>
    <w:rsid w:val="003C0D53"/>
    <w:rsid w:val="003C0E45"/>
    <w:rsid w:val="003C1272"/>
    <w:rsid w:val="003C17F5"/>
    <w:rsid w:val="003C1883"/>
    <w:rsid w:val="003C1B66"/>
    <w:rsid w:val="003C24A4"/>
    <w:rsid w:val="003C2BBA"/>
    <w:rsid w:val="003C2CE7"/>
    <w:rsid w:val="003C2DBF"/>
    <w:rsid w:val="003C2E2F"/>
    <w:rsid w:val="003C343D"/>
    <w:rsid w:val="003C3473"/>
    <w:rsid w:val="003C3921"/>
    <w:rsid w:val="003C3925"/>
    <w:rsid w:val="003C3953"/>
    <w:rsid w:val="003C39EC"/>
    <w:rsid w:val="003C3BD3"/>
    <w:rsid w:val="003C3D90"/>
    <w:rsid w:val="003C4A57"/>
    <w:rsid w:val="003C4A58"/>
    <w:rsid w:val="003C5160"/>
    <w:rsid w:val="003C5186"/>
    <w:rsid w:val="003C5498"/>
    <w:rsid w:val="003C5657"/>
    <w:rsid w:val="003C5D41"/>
    <w:rsid w:val="003C5E5D"/>
    <w:rsid w:val="003C6610"/>
    <w:rsid w:val="003C66FC"/>
    <w:rsid w:val="003C6BAE"/>
    <w:rsid w:val="003C6E44"/>
    <w:rsid w:val="003C70C4"/>
    <w:rsid w:val="003C73CC"/>
    <w:rsid w:val="003C7C63"/>
    <w:rsid w:val="003C7E19"/>
    <w:rsid w:val="003D0269"/>
    <w:rsid w:val="003D0429"/>
    <w:rsid w:val="003D0795"/>
    <w:rsid w:val="003D0A72"/>
    <w:rsid w:val="003D0CF9"/>
    <w:rsid w:val="003D0DBA"/>
    <w:rsid w:val="003D0E29"/>
    <w:rsid w:val="003D18A9"/>
    <w:rsid w:val="003D1A9D"/>
    <w:rsid w:val="003D2092"/>
    <w:rsid w:val="003D2296"/>
    <w:rsid w:val="003D2552"/>
    <w:rsid w:val="003D29E7"/>
    <w:rsid w:val="003D2BA7"/>
    <w:rsid w:val="003D2F75"/>
    <w:rsid w:val="003D30DF"/>
    <w:rsid w:val="003D33CA"/>
    <w:rsid w:val="003D3735"/>
    <w:rsid w:val="003D4070"/>
    <w:rsid w:val="003D41EA"/>
    <w:rsid w:val="003D44E2"/>
    <w:rsid w:val="003D46F8"/>
    <w:rsid w:val="003D4BEC"/>
    <w:rsid w:val="003D4C5A"/>
    <w:rsid w:val="003D4D03"/>
    <w:rsid w:val="003D4F75"/>
    <w:rsid w:val="003D54BC"/>
    <w:rsid w:val="003D5C49"/>
    <w:rsid w:val="003D62D8"/>
    <w:rsid w:val="003D688E"/>
    <w:rsid w:val="003D740A"/>
    <w:rsid w:val="003D7DCE"/>
    <w:rsid w:val="003E02F5"/>
    <w:rsid w:val="003E02FB"/>
    <w:rsid w:val="003E0784"/>
    <w:rsid w:val="003E0BCE"/>
    <w:rsid w:val="003E0EF4"/>
    <w:rsid w:val="003E13B2"/>
    <w:rsid w:val="003E159F"/>
    <w:rsid w:val="003E165C"/>
    <w:rsid w:val="003E17CE"/>
    <w:rsid w:val="003E1A6A"/>
    <w:rsid w:val="003E1B8C"/>
    <w:rsid w:val="003E2161"/>
    <w:rsid w:val="003E232B"/>
    <w:rsid w:val="003E24A3"/>
    <w:rsid w:val="003E2D06"/>
    <w:rsid w:val="003E2E3C"/>
    <w:rsid w:val="003E33A5"/>
    <w:rsid w:val="003E435C"/>
    <w:rsid w:val="003E4B01"/>
    <w:rsid w:val="003E4BFB"/>
    <w:rsid w:val="003E50D6"/>
    <w:rsid w:val="003E54F3"/>
    <w:rsid w:val="003E5A1F"/>
    <w:rsid w:val="003E5B0C"/>
    <w:rsid w:val="003E5D9C"/>
    <w:rsid w:val="003E621B"/>
    <w:rsid w:val="003E62E9"/>
    <w:rsid w:val="003E6499"/>
    <w:rsid w:val="003E6536"/>
    <w:rsid w:val="003E662B"/>
    <w:rsid w:val="003E6D1E"/>
    <w:rsid w:val="003E6DBF"/>
    <w:rsid w:val="003E7422"/>
    <w:rsid w:val="003E77FB"/>
    <w:rsid w:val="003E7AC0"/>
    <w:rsid w:val="003E7F85"/>
    <w:rsid w:val="003F00F1"/>
    <w:rsid w:val="003F0468"/>
    <w:rsid w:val="003F0CF0"/>
    <w:rsid w:val="003F1755"/>
    <w:rsid w:val="003F1B2B"/>
    <w:rsid w:val="003F1C04"/>
    <w:rsid w:val="003F1CDE"/>
    <w:rsid w:val="003F214B"/>
    <w:rsid w:val="003F21FB"/>
    <w:rsid w:val="003F237A"/>
    <w:rsid w:val="003F2972"/>
    <w:rsid w:val="003F2A15"/>
    <w:rsid w:val="003F2D80"/>
    <w:rsid w:val="003F2F3B"/>
    <w:rsid w:val="003F3003"/>
    <w:rsid w:val="003F39E5"/>
    <w:rsid w:val="003F39FC"/>
    <w:rsid w:val="003F3F23"/>
    <w:rsid w:val="003F40A0"/>
    <w:rsid w:val="003F435E"/>
    <w:rsid w:val="003F450B"/>
    <w:rsid w:val="003F48F6"/>
    <w:rsid w:val="003F4B76"/>
    <w:rsid w:val="003F5106"/>
    <w:rsid w:val="003F5453"/>
    <w:rsid w:val="003F58B6"/>
    <w:rsid w:val="003F58CB"/>
    <w:rsid w:val="003F591F"/>
    <w:rsid w:val="003F59F5"/>
    <w:rsid w:val="003F5AF6"/>
    <w:rsid w:val="003F5BBB"/>
    <w:rsid w:val="003F66EF"/>
    <w:rsid w:val="003F6DCA"/>
    <w:rsid w:val="003F703B"/>
    <w:rsid w:val="003F736D"/>
    <w:rsid w:val="003F757C"/>
    <w:rsid w:val="003F7B7E"/>
    <w:rsid w:val="003F7CBF"/>
    <w:rsid w:val="003F7EA3"/>
    <w:rsid w:val="00400A30"/>
    <w:rsid w:val="00400A3F"/>
    <w:rsid w:val="00400A88"/>
    <w:rsid w:val="00400AD9"/>
    <w:rsid w:val="00400B00"/>
    <w:rsid w:val="004010F5"/>
    <w:rsid w:val="0040189E"/>
    <w:rsid w:val="004018B7"/>
    <w:rsid w:val="00401C76"/>
    <w:rsid w:val="004020C8"/>
    <w:rsid w:val="00402AAE"/>
    <w:rsid w:val="00402ECE"/>
    <w:rsid w:val="004034F3"/>
    <w:rsid w:val="00403605"/>
    <w:rsid w:val="00403A87"/>
    <w:rsid w:val="0040457C"/>
    <w:rsid w:val="004045BE"/>
    <w:rsid w:val="00404EE6"/>
    <w:rsid w:val="004055A2"/>
    <w:rsid w:val="00405651"/>
    <w:rsid w:val="004057EB"/>
    <w:rsid w:val="0040625E"/>
    <w:rsid w:val="00406344"/>
    <w:rsid w:val="004064C4"/>
    <w:rsid w:val="00406501"/>
    <w:rsid w:val="00406B9C"/>
    <w:rsid w:val="00406C67"/>
    <w:rsid w:val="00410540"/>
    <w:rsid w:val="004106D3"/>
    <w:rsid w:val="0041083B"/>
    <w:rsid w:val="004108DF"/>
    <w:rsid w:val="00410B75"/>
    <w:rsid w:val="00410BDB"/>
    <w:rsid w:val="004110DD"/>
    <w:rsid w:val="0041157A"/>
    <w:rsid w:val="004118D3"/>
    <w:rsid w:val="00411A1F"/>
    <w:rsid w:val="00411B7C"/>
    <w:rsid w:val="00412D25"/>
    <w:rsid w:val="00412E51"/>
    <w:rsid w:val="004131BD"/>
    <w:rsid w:val="0041335F"/>
    <w:rsid w:val="004133A9"/>
    <w:rsid w:val="00413458"/>
    <w:rsid w:val="00413B44"/>
    <w:rsid w:val="0041440F"/>
    <w:rsid w:val="00414538"/>
    <w:rsid w:val="004147AA"/>
    <w:rsid w:val="004149C4"/>
    <w:rsid w:val="00414E52"/>
    <w:rsid w:val="0041500F"/>
    <w:rsid w:val="00415B79"/>
    <w:rsid w:val="00415E9F"/>
    <w:rsid w:val="0041630F"/>
    <w:rsid w:val="00416667"/>
    <w:rsid w:val="004167CC"/>
    <w:rsid w:val="004169C8"/>
    <w:rsid w:val="00417069"/>
    <w:rsid w:val="004177BA"/>
    <w:rsid w:val="00417C8D"/>
    <w:rsid w:val="004214A7"/>
    <w:rsid w:val="004216A3"/>
    <w:rsid w:val="004218AC"/>
    <w:rsid w:val="00421D16"/>
    <w:rsid w:val="00421DD3"/>
    <w:rsid w:val="00421E57"/>
    <w:rsid w:val="0042286A"/>
    <w:rsid w:val="004229C9"/>
    <w:rsid w:val="0042300B"/>
    <w:rsid w:val="0042322B"/>
    <w:rsid w:val="00423331"/>
    <w:rsid w:val="0042368D"/>
    <w:rsid w:val="00423895"/>
    <w:rsid w:val="004238CA"/>
    <w:rsid w:val="00423B05"/>
    <w:rsid w:val="004240FA"/>
    <w:rsid w:val="00424A23"/>
    <w:rsid w:val="00424BDD"/>
    <w:rsid w:val="00424E18"/>
    <w:rsid w:val="0042505F"/>
    <w:rsid w:val="00425086"/>
    <w:rsid w:val="00425BE3"/>
    <w:rsid w:val="0042605D"/>
    <w:rsid w:val="0042672E"/>
    <w:rsid w:val="00426D30"/>
    <w:rsid w:val="004278A7"/>
    <w:rsid w:val="004279B7"/>
    <w:rsid w:val="00430E8F"/>
    <w:rsid w:val="0043112D"/>
    <w:rsid w:val="004312AD"/>
    <w:rsid w:val="00431719"/>
    <w:rsid w:val="004318D4"/>
    <w:rsid w:val="00431A9B"/>
    <w:rsid w:val="00431BD6"/>
    <w:rsid w:val="00431E94"/>
    <w:rsid w:val="00431EA1"/>
    <w:rsid w:val="0043201F"/>
    <w:rsid w:val="00432351"/>
    <w:rsid w:val="0043238B"/>
    <w:rsid w:val="004325EF"/>
    <w:rsid w:val="0043277E"/>
    <w:rsid w:val="00432C71"/>
    <w:rsid w:val="00433707"/>
    <w:rsid w:val="00433DBF"/>
    <w:rsid w:val="004340AF"/>
    <w:rsid w:val="0043453A"/>
    <w:rsid w:val="00434994"/>
    <w:rsid w:val="00434BC3"/>
    <w:rsid w:val="00434E72"/>
    <w:rsid w:val="004355A1"/>
    <w:rsid w:val="00436A2B"/>
    <w:rsid w:val="00436A47"/>
    <w:rsid w:val="00436D64"/>
    <w:rsid w:val="004371FF"/>
    <w:rsid w:val="00437997"/>
    <w:rsid w:val="00437D44"/>
    <w:rsid w:val="004401C4"/>
    <w:rsid w:val="00440663"/>
    <w:rsid w:val="0044084C"/>
    <w:rsid w:val="00440C03"/>
    <w:rsid w:val="004412B6"/>
    <w:rsid w:val="00441745"/>
    <w:rsid w:val="00441C32"/>
    <w:rsid w:val="0044241C"/>
    <w:rsid w:val="00442B09"/>
    <w:rsid w:val="00442BED"/>
    <w:rsid w:val="00442CB9"/>
    <w:rsid w:val="00442D96"/>
    <w:rsid w:val="00442DE3"/>
    <w:rsid w:val="0044349C"/>
    <w:rsid w:val="0044379D"/>
    <w:rsid w:val="00443D18"/>
    <w:rsid w:val="00443F90"/>
    <w:rsid w:val="0044400F"/>
    <w:rsid w:val="00444AC8"/>
    <w:rsid w:val="00444B33"/>
    <w:rsid w:val="00444F5B"/>
    <w:rsid w:val="004459B5"/>
    <w:rsid w:val="00445BA9"/>
    <w:rsid w:val="00445DB7"/>
    <w:rsid w:val="00445E47"/>
    <w:rsid w:val="00445EF7"/>
    <w:rsid w:val="00446610"/>
    <w:rsid w:val="00446772"/>
    <w:rsid w:val="00446A0D"/>
    <w:rsid w:val="004471C3"/>
    <w:rsid w:val="00447750"/>
    <w:rsid w:val="00447BC2"/>
    <w:rsid w:val="00447C55"/>
    <w:rsid w:val="00450122"/>
    <w:rsid w:val="0045020D"/>
    <w:rsid w:val="00450769"/>
    <w:rsid w:val="0045086F"/>
    <w:rsid w:val="00450997"/>
    <w:rsid w:val="00450A67"/>
    <w:rsid w:val="00450FB5"/>
    <w:rsid w:val="004517F2"/>
    <w:rsid w:val="00451BBF"/>
    <w:rsid w:val="00451F13"/>
    <w:rsid w:val="00452352"/>
    <w:rsid w:val="0045249D"/>
    <w:rsid w:val="00452918"/>
    <w:rsid w:val="0045314E"/>
    <w:rsid w:val="004531FC"/>
    <w:rsid w:val="00453922"/>
    <w:rsid w:val="004539C4"/>
    <w:rsid w:val="00453D98"/>
    <w:rsid w:val="004543A9"/>
    <w:rsid w:val="00454436"/>
    <w:rsid w:val="00454BB5"/>
    <w:rsid w:val="00454EAE"/>
    <w:rsid w:val="004552AB"/>
    <w:rsid w:val="00455FD0"/>
    <w:rsid w:val="004568E6"/>
    <w:rsid w:val="00456927"/>
    <w:rsid w:val="0045698A"/>
    <w:rsid w:val="00456B1D"/>
    <w:rsid w:val="00456BCA"/>
    <w:rsid w:val="00456E76"/>
    <w:rsid w:val="00456EFB"/>
    <w:rsid w:val="004572FD"/>
    <w:rsid w:val="00457665"/>
    <w:rsid w:val="004576B5"/>
    <w:rsid w:val="00457785"/>
    <w:rsid w:val="004577F0"/>
    <w:rsid w:val="00460314"/>
    <w:rsid w:val="00460787"/>
    <w:rsid w:val="00460B25"/>
    <w:rsid w:val="00460D1D"/>
    <w:rsid w:val="00460E84"/>
    <w:rsid w:val="00461173"/>
    <w:rsid w:val="004615FD"/>
    <w:rsid w:val="00461DF6"/>
    <w:rsid w:val="004626EB"/>
    <w:rsid w:val="00462939"/>
    <w:rsid w:val="00462D6A"/>
    <w:rsid w:val="00462DAA"/>
    <w:rsid w:val="0046302A"/>
    <w:rsid w:val="00463159"/>
    <w:rsid w:val="00463C8B"/>
    <w:rsid w:val="00463C8E"/>
    <w:rsid w:val="00463D3A"/>
    <w:rsid w:val="00463E03"/>
    <w:rsid w:val="00464153"/>
    <w:rsid w:val="00464CD3"/>
    <w:rsid w:val="00464CEC"/>
    <w:rsid w:val="00464F41"/>
    <w:rsid w:val="0046522D"/>
    <w:rsid w:val="00465AD9"/>
    <w:rsid w:val="00466094"/>
    <w:rsid w:val="0046609B"/>
    <w:rsid w:val="0046656E"/>
    <w:rsid w:val="00466B5D"/>
    <w:rsid w:val="0046700E"/>
    <w:rsid w:val="0046730A"/>
    <w:rsid w:val="004677D6"/>
    <w:rsid w:val="0046795C"/>
    <w:rsid w:val="00467B23"/>
    <w:rsid w:val="0047065D"/>
    <w:rsid w:val="00470C48"/>
    <w:rsid w:val="004712FB"/>
    <w:rsid w:val="00471543"/>
    <w:rsid w:val="00471B10"/>
    <w:rsid w:val="00471BDE"/>
    <w:rsid w:val="00471C84"/>
    <w:rsid w:val="00471D1C"/>
    <w:rsid w:val="00471E26"/>
    <w:rsid w:val="00471E3D"/>
    <w:rsid w:val="0047211D"/>
    <w:rsid w:val="004729FF"/>
    <w:rsid w:val="00472B69"/>
    <w:rsid w:val="00472C40"/>
    <w:rsid w:val="00472CC0"/>
    <w:rsid w:val="004730A6"/>
    <w:rsid w:val="00473424"/>
    <w:rsid w:val="00473615"/>
    <w:rsid w:val="0047374A"/>
    <w:rsid w:val="00473BDF"/>
    <w:rsid w:val="00474075"/>
    <w:rsid w:val="00474143"/>
    <w:rsid w:val="00474428"/>
    <w:rsid w:val="004744F0"/>
    <w:rsid w:val="0047471B"/>
    <w:rsid w:val="004747D4"/>
    <w:rsid w:val="00474D44"/>
    <w:rsid w:val="00475407"/>
    <w:rsid w:val="00475813"/>
    <w:rsid w:val="00475A49"/>
    <w:rsid w:val="00475AC4"/>
    <w:rsid w:val="00475FDB"/>
    <w:rsid w:val="0047642F"/>
    <w:rsid w:val="00476996"/>
    <w:rsid w:val="00476A75"/>
    <w:rsid w:val="00476C6C"/>
    <w:rsid w:val="00476DE0"/>
    <w:rsid w:val="00477184"/>
    <w:rsid w:val="00477302"/>
    <w:rsid w:val="004777B8"/>
    <w:rsid w:val="004779A6"/>
    <w:rsid w:val="00477A32"/>
    <w:rsid w:val="004805A3"/>
    <w:rsid w:val="00480698"/>
    <w:rsid w:val="004810BC"/>
    <w:rsid w:val="00481B9C"/>
    <w:rsid w:val="00481CE1"/>
    <w:rsid w:val="00481E1B"/>
    <w:rsid w:val="00481F9A"/>
    <w:rsid w:val="00482042"/>
    <w:rsid w:val="004822AB"/>
    <w:rsid w:val="004824EE"/>
    <w:rsid w:val="00482D36"/>
    <w:rsid w:val="00482F49"/>
    <w:rsid w:val="004831B1"/>
    <w:rsid w:val="004838E2"/>
    <w:rsid w:val="00483F1D"/>
    <w:rsid w:val="0048451A"/>
    <w:rsid w:val="00484A86"/>
    <w:rsid w:val="004852A5"/>
    <w:rsid w:val="00485539"/>
    <w:rsid w:val="00485991"/>
    <w:rsid w:val="00485AE7"/>
    <w:rsid w:val="004860B4"/>
    <w:rsid w:val="004861AA"/>
    <w:rsid w:val="0048658E"/>
    <w:rsid w:val="00486BAA"/>
    <w:rsid w:val="00486E11"/>
    <w:rsid w:val="00487285"/>
    <w:rsid w:val="004872D6"/>
    <w:rsid w:val="00487616"/>
    <w:rsid w:val="0048797C"/>
    <w:rsid w:val="00487BAD"/>
    <w:rsid w:val="0049012C"/>
    <w:rsid w:val="00490F11"/>
    <w:rsid w:val="00490F81"/>
    <w:rsid w:val="004915A3"/>
    <w:rsid w:val="00491C22"/>
    <w:rsid w:val="0049207A"/>
    <w:rsid w:val="0049263F"/>
    <w:rsid w:val="004926A7"/>
    <w:rsid w:val="004945B1"/>
    <w:rsid w:val="00494DDE"/>
    <w:rsid w:val="0049503F"/>
    <w:rsid w:val="00495405"/>
    <w:rsid w:val="0049554D"/>
    <w:rsid w:val="004956F0"/>
    <w:rsid w:val="004959E7"/>
    <w:rsid w:val="00495A69"/>
    <w:rsid w:val="00495BB6"/>
    <w:rsid w:val="004964AA"/>
    <w:rsid w:val="00496AA5"/>
    <w:rsid w:val="00496C79"/>
    <w:rsid w:val="00496CDC"/>
    <w:rsid w:val="00496FD0"/>
    <w:rsid w:val="0049754F"/>
    <w:rsid w:val="004A0139"/>
    <w:rsid w:val="004A06FC"/>
    <w:rsid w:val="004A086B"/>
    <w:rsid w:val="004A0901"/>
    <w:rsid w:val="004A1070"/>
    <w:rsid w:val="004A149B"/>
    <w:rsid w:val="004A1723"/>
    <w:rsid w:val="004A195F"/>
    <w:rsid w:val="004A1D0E"/>
    <w:rsid w:val="004A1D31"/>
    <w:rsid w:val="004A1D78"/>
    <w:rsid w:val="004A1E9A"/>
    <w:rsid w:val="004A2261"/>
    <w:rsid w:val="004A2280"/>
    <w:rsid w:val="004A2311"/>
    <w:rsid w:val="004A2452"/>
    <w:rsid w:val="004A2534"/>
    <w:rsid w:val="004A25F1"/>
    <w:rsid w:val="004A34B5"/>
    <w:rsid w:val="004A3C5B"/>
    <w:rsid w:val="004A47FA"/>
    <w:rsid w:val="004A4878"/>
    <w:rsid w:val="004A4BF5"/>
    <w:rsid w:val="004A4DCF"/>
    <w:rsid w:val="004A4F99"/>
    <w:rsid w:val="004A5038"/>
    <w:rsid w:val="004A5132"/>
    <w:rsid w:val="004A5284"/>
    <w:rsid w:val="004A54E8"/>
    <w:rsid w:val="004A653E"/>
    <w:rsid w:val="004A7191"/>
    <w:rsid w:val="004A74C2"/>
    <w:rsid w:val="004A7D99"/>
    <w:rsid w:val="004B0533"/>
    <w:rsid w:val="004B068F"/>
    <w:rsid w:val="004B081F"/>
    <w:rsid w:val="004B16DF"/>
    <w:rsid w:val="004B17D0"/>
    <w:rsid w:val="004B1987"/>
    <w:rsid w:val="004B1D12"/>
    <w:rsid w:val="004B1F48"/>
    <w:rsid w:val="004B202F"/>
    <w:rsid w:val="004B27D7"/>
    <w:rsid w:val="004B2B9F"/>
    <w:rsid w:val="004B358A"/>
    <w:rsid w:val="004B36DE"/>
    <w:rsid w:val="004B3BBA"/>
    <w:rsid w:val="004B3C14"/>
    <w:rsid w:val="004B4202"/>
    <w:rsid w:val="004B44FF"/>
    <w:rsid w:val="004B46D2"/>
    <w:rsid w:val="004B4A7B"/>
    <w:rsid w:val="004B4B2E"/>
    <w:rsid w:val="004B4E35"/>
    <w:rsid w:val="004B50B9"/>
    <w:rsid w:val="004B5103"/>
    <w:rsid w:val="004B5192"/>
    <w:rsid w:val="004B54C3"/>
    <w:rsid w:val="004B55D5"/>
    <w:rsid w:val="004B56C9"/>
    <w:rsid w:val="004B5C2B"/>
    <w:rsid w:val="004B5D6E"/>
    <w:rsid w:val="004B5D7E"/>
    <w:rsid w:val="004B5DED"/>
    <w:rsid w:val="004B6002"/>
    <w:rsid w:val="004B639A"/>
    <w:rsid w:val="004B6519"/>
    <w:rsid w:val="004B6596"/>
    <w:rsid w:val="004B65BE"/>
    <w:rsid w:val="004B66E8"/>
    <w:rsid w:val="004B68B0"/>
    <w:rsid w:val="004B6BE1"/>
    <w:rsid w:val="004B7464"/>
    <w:rsid w:val="004B7605"/>
    <w:rsid w:val="004B76C1"/>
    <w:rsid w:val="004B7C1F"/>
    <w:rsid w:val="004B7E7D"/>
    <w:rsid w:val="004C0004"/>
    <w:rsid w:val="004C0736"/>
    <w:rsid w:val="004C07CF"/>
    <w:rsid w:val="004C09A8"/>
    <w:rsid w:val="004C0C85"/>
    <w:rsid w:val="004C0CA1"/>
    <w:rsid w:val="004C0FB2"/>
    <w:rsid w:val="004C1737"/>
    <w:rsid w:val="004C1813"/>
    <w:rsid w:val="004C2270"/>
    <w:rsid w:val="004C230B"/>
    <w:rsid w:val="004C255F"/>
    <w:rsid w:val="004C25DF"/>
    <w:rsid w:val="004C2EED"/>
    <w:rsid w:val="004C2F74"/>
    <w:rsid w:val="004C2FBB"/>
    <w:rsid w:val="004C3874"/>
    <w:rsid w:val="004C3B5E"/>
    <w:rsid w:val="004C3C5A"/>
    <w:rsid w:val="004C4129"/>
    <w:rsid w:val="004C4392"/>
    <w:rsid w:val="004C5B45"/>
    <w:rsid w:val="004C5C3B"/>
    <w:rsid w:val="004C5C6D"/>
    <w:rsid w:val="004C5F1E"/>
    <w:rsid w:val="004C6000"/>
    <w:rsid w:val="004C6752"/>
    <w:rsid w:val="004C7496"/>
    <w:rsid w:val="004C78D2"/>
    <w:rsid w:val="004C7ADB"/>
    <w:rsid w:val="004C7DE1"/>
    <w:rsid w:val="004D057B"/>
    <w:rsid w:val="004D059D"/>
    <w:rsid w:val="004D060A"/>
    <w:rsid w:val="004D083D"/>
    <w:rsid w:val="004D08F8"/>
    <w:rsid w:val="004D12CA"/>
    <w:rsid w:val="004D1BCC"/>
    <w:rsid w:val="004D1D08"/>
    <w:rsid w:val="004D1FD2"/>
    <w:rsid w:val="004D2439"/>
    <w:rsid w:val="004D2714"/>
    <w:rsid w:val="004D36A5"/>
    <w:rsid w:val="004D3729"/>
    <w:rsid w:val="004D381B"/>
    <w:rsid w:val="004D4135"/>
    <w:rsid w:val="004D49CD"/>
    <w:rsid w:val="004D4A51"/>
    <w:rsid w:val="004D4DDB"/>
    <w:rsid w:val="004D5128"/>
    <w:rsid w:val="004D5CEF"/>
    <w:rsid w:val="004D5F9C"/>
    <w:rsid w:val="004D5FA0"/>
    <w:rsid w:val="004D6C75"/>
    <w:rsid w:val="004D714D"/>
    <w:rsid w:val="004D7595"/>
    <w:rsid w:val="004D75B7"/>
    <w:rsid w:val="004D770E"/>
    <w:rsid w:val="004D773F"/>
    <w:rsid w:val="004D78FF"/>
    <w:rsid w:val="004D793D"/>
    <w:rsid w:val="004D7F49"/>
    <w:rsid w:val="004E0725"/>
    <w:rsid w:val="004E072E"/>
    <w:rsid w:val="004E09DF"/>
    <w:rsid w:val="004E0D40"/>
    <w:rsid w:val="004E0F9B"/>
    <w:rsid w:val="004E1058"/>
    <w:rsid w:val="004E18C2"/>
    <w:rsid w:val="004E1D5C"/>
    <w:rsid w:val="004E223C"/>
    <w:rsid w:val="004E2D94"/>
    <w:rsid w:val="004E2FAA"/>
    <w:rsid w:val="004E3414"/>
    <w:rsid w:val="004E371D"/>
    <w:rsid w:val="004E3773"/>
    <w:rsid w:val="004E37AB"/>
    <w:rsid w:val="004E3DEC"/>
    <w:rsid w:val="004E3E8D"/>
    <w:rsid w:val="004E40E1"/>
    <w:rsid w:val="004E4257"/>
    <w:rsid w:val="004E44C1"/>
    <w:rsid w:val="004E45DF"/>
    <w:rsid w:val="004E4707"/>
    <w:rsid w:val="004E583B"/>
    <w:rsid w:val="004E5C4E"/>
    <w:rsid w:val="004E6040"/>
    <w:rsid w:val="004E60B5"/>
    <w:rsid w:val="004E62E4"/>
    <w:rsid w:val="004E6317"/>
    <w:rsid w:val="004E6350"/>
    <w:rsid w:val="004E6AD1"/>
    <w:rsid w:val="004E6DA9"/>
    <w:rsid w:val="004E7631"/>
    <w:rsid w:val="004E7692"/>
    <w:rsid w:val="004E76B6"/>
    <w:rsid w:val="004E7A74"/>
    <w:rsid w:val="004E7E7E"/>
    <w:rsid w:val="004E7EA1"/>
    <w:rsid w:val="004E7FA6"/>
    <w:rsid w:val="004F013A"/>
    <w:rsid w:val="004F051B"/>
    <w:rsid w:val="004F0723"/>
    <w:rsid w:val="004F0ED9"/>
    <w:rsid w:val="004F1BDD"/>
    <w:rsid w:val="004F1CD7"/>
    <w:rsid w:val="004F1E81"/>
    <w:rsid w:val="004F2625"/>
    <w:rsid w:val="004F266B"/>
    <w:rsid w:val="004F2CCD"/>
    <w:rsid w:val="004F34D7"/>
    <w:rsid w:val="004F359C"/>
    <w:rsid w:val="004F3876"/>
    <w:rsid w:val="004F3DBE"/>
    <w:rsid w:val="004F3DFE"/>
    <w:rsid w:val="004F4444"/>
    <w:rsid w:val="004F474F"/>
    <w:rsid w:val="004F5527"/>
    <w:rsid w:val="004F58E5"/>
    <w:rsid w:val="004F5C27"/>
    <w:rsid w:val="004F5CCD"/>
    <w:rsid w:val="004F68AB"/>
    <w:rsid w:val="004F7167"/>
    <w:rsid w:val="004F7229"/>
    <w:rsid w:val="004F794D"/>
    <w:rsid w:val="004F7D8B"/>
    <w:rsid w:val="004F7EFC"/>
    <w:rsid w:val="005002C3"/>
    <w:rsid w:val="005002E8"/>
    <w:rsid w:val="005003F5"/>
    <w:rsid w:val="005005B8"/>
    <w:rsid w:val="005006B2"/>
    <w:rsid w:val="005009EC"/>
    <w:rsid w:val="00500C15"/>
    <w:rsid w:val="00500E62"/>
    <w:rsid w:val="00500E7D"/>
    <w:rsid w:val="00500F42"/>
    <w:rsid w:val="00501041"/>
    <w:rsid w:val="005011DC"/>
    <w:rsid w:val="005011F2"/>
    <w:rsid w:val="00501253"/>
    <w:rsid w:val="005020E2"/>
    <w:rsid w:val="005024BA"/>
    <w:rsid w:val="00503321"/>
    <w:rsid w:val="00503899"/>
    <w:rsid w:val="00503BA2"/>
    <w:rsid w:val="0050403A"/>
    <w:rsid w:val="00504289"/>
    <w:rsid w:val="005047A9"/>
    <w:rsid w:val="00504909"/>
    <w:rsid w:val="00504AB9"/>
    <w:rsid w:val="00504E20"/>
    <w:rsid w:val="00505867"/>
    <w:rsid w:val="00505D5B"/>
    <w:rsid w:val="00505DCD"/>
    <w:rsid w:val="00505E03"/>
    <w:rsid w:val="0050607A"/>
    <w:rsid w:val="00506678"/>
    <w:rsid w:val="00506B6E"/>
    <w:rsid w:val="00506D67"/>
    <w:rsid w:val="005104D2"/>
    <w:rsid w:val="005104E7"/>
    <w:rsid w:val="0051090B"/>
    <w:rsid w:val="00510987"/>
    <w:rsid w:val="00510A9F"/>
    <w:rsid w:val="0051126E"/>
    <w:rsid w:val="00511632"/>
    <w:rsid w:val="005119D8"/>
    <w:rsid w:val="00511B11"/>
    <w:rsid w:val="00511DCB"/>
    <w:rsid w:val="00511F3F"/>
    <w:rsid w:val="00512102"/>
    <w:rsid w:val="005121B2"/>
    <w:rsid w:val="005127B8"/>
    <w:rsid w:val="00512D4B"/>
    <w:rsid w:val="005131F5"/>
    <w:rsid w:val="0051365B"/>
    <w:rsid w:val="00513E64"/>
    <w:rsid w:val="0051404E"/>
    <w:rsid w:val="005140AC"/>
    <w:rsid w:val="005140FD"/>
    <w:rsid w:val="00514404"/>
    <w:rsid w:val="005147CC"/>
    <w:rsid w:val="00514974"/>
    <w:rsid w:val="00514B8F"/>
    <w:rsid w:val="005150D4"/>
    <w:rsid w:val="005151CB"/>
    <w:rsid w:val="005152E7"/>
    <w:rsid w:val="005155DB"/>
    <w:rsid w:val="00515702"/>
    <w:rsid w:val="00515A5E"/>
    <w:rsid w:val="00516094"/>
    <w:rsid w:val="005160D5"/>
    <w:rsid w:val="00516812"/>
    <w:rsid w:val="00516B76"/>
    <w:rsid w:val="00516ED8"/>
    <w:rsid w:val="00520960"/>
    <w:rsid w:val="00520B97"/>
    <w:rsid w:val="00520E9B"/>
    <w:rsid w:val="00520FC1"/>
    <w:rsid w:val="005214AD"/>
    <w:rsid w:val="00521527"/>
    <w:rsid w:val="00521693"/>
    <w:rsid w:val="0052177B"/>
    <w:rsid w:val="00521849"/>
    <w:rsid w:val="00521B4F"/>
    <w:rsid w:val="00521F1B"/>
    <w:rsid w:val="00521F93"/>
    <w:rsid w:val="0052229A"/>
    <w:rsid w:val="00522C10"/>
    <w:rsid w:val="00522CA3"/>
    <w:rsid w:val="00522E01"/>
    <w:rsid w:val="00522E3E"/>
    <w:rsid w:val="00523106"/>
    <w:rsid w:val="0052349B"/>
    <w:rsid w:val="00523AC9"/>
    <w:rsid w:val="00523B4A"/>
    <w:rsid w:val="00523F5F"/>
    <w:rsid w:val="0052416B"/>
    <w:rsid w:val="005246F4"/>
    <w:rsid w:val="00524E90"/>
    <w:rsid w:val="00524F6F"/>
    <w:rsid w:val="005250BB"/>
    <w:rsid w:val="005254F8"/>
    <w:rsid w:val="00525505"/>
    <w:rsid w:val="0052598C"/>
    <w:rsid w:val="00525E95"/>
    <w:rsid w:val="00526227"/>
    <w:rsid w:val="0052629D"/>
    <w:rsid w:val="0052636E"/>
    <w:rsid w:val="005268B8"/>
    <w:rsid w:val="00526AC7"/>
    <w:rsid w:val="00526CA1"/>
    <w:rsid w:val="00526E97"/>
    <w:rsid w:val="00527869"/>
    <w:rsid w:val="00527AD5"/>
    <w:rsid w:val="0053017A"/>
    <w:rsid w:val="005306EC"/>
    <w:rsid w:val="00530F96"/>
    <w:rsid w:val="005312EF"/>
    <w:rsid w:val="0053190D"/>
    <w:rsid w:val="0053197E"/>
    <w:rsid w:val="00531A7D"/>
    <w:rsid w:val="00531C33"/>
    <w:rsid w:val="0053253F"/>
    <w:rsid w:val="0053266B"/>
    <w:rsid w:val="00532B07"/>
    <w:rsid w:val="00532E29"/>
    <w:rsid w:val="0053332E"/>
    <w:rsid w:val="00533509"/>
    <w:rsid w:val="00533A18"/>
    <w:rsid w:val="005341A7"/>
    <w:rsid w:val="00534869"/>
    <w:rsid w:val="00534B2E"/>
    <w:rsid w:val="00534BC4"/>
    <w:rsid w:val="00534D56"/>
    <w:rsid w:val="0053500F"/>
    <w:rsid w:val="005354E4"/>
    <w:rsid w:val="0053588E"/>
    <w:rsid w:val="00535AF9"/>
    <w:rsid w:val="00535B18"/>
    <w:rsid w:val="00535D1A"/>
    <w:rsid w:val="00535F6D"/>
    <w:rsid w:val="005364F2"/>
    <w:rsid w:val="00536C52"/>
    <w:rsid w:val="00536D89"/>
    <w:rsid w:val="005372DF"/>
    <w:rsid w:val="005374EF"/>
    <w:rsid w:val="00537504"/>
    <w:rsid w:val="00537549"/>
    <w:rsid w:val="00537CD5"/>
    <w:rsid w:val="005403B7"/>
    <w:rsid w:val="00540409"/>
    <w:rsid w:val="005404EB"/>
    <w:rsid w:val="005409FD"/>
    <w:rsid w:val="0054260A"/>
    <w:rsid w:val="005426D8"/>
    <w:rsid w:val="00542A1A"/>
    <w:rsid w:val="00542FCB"/>
    <w:rsid w:val="005431F7"/>
    <w:rsid w:val="00543522"/>
    <w:rsid w:val="00543DE3"/>
    <w:rsid w:val="00543EA2"/>
    <w:rsid w:val="0054431C"/>
    <w:rsid w:val="005445A4"/>
    <w:rsid w:val="005445AF"/>
    <w:rsid w:val="005447A3"/>
    <w:rsid w:val="00544ACF"/>
    <w:rsid w:val="00544AE4"/>
    <w:rsid w:val="00544AF2"/>
    <w:rsid w:val="00544C23"/>
    <w:rsid w:val="00544DE5"/>
    <w:rsid w:val="00544E18"/>
    <w:rsid w:val="005450F5"/>
    <w:rsid w:val="00545467"/>
    <w:rsid w:val="00545541"/>
    <w:rsid w:val="005457DC"/>
    <w:rsid w:val="0054588C"/>
    <w:rsid w:val="0054592A"/>
    <w:rsid w:val="00545BD5"/>
    <w:rsid w:val="00545C66"/>
    <w:rsid w:val="00545DE4"/>
    <w:rsid w:val="005465D3"/>
    <w:rsid w:val="00546658"/>
    <w:rsid w:val="005471B8"/>
    <w:rsid w:val="00547243"/>
    <w:rsid w:val="00547464"/>
    <w:rsid w:val="00547E63"/>
    <w:rsid w:val="00550265"/>
    <w:rsid w:val="0055044B"/>
    <w:rsid w:val="00550767"/>
    <w:rsid w:val="00550933"/>
    <w:rsid w:val="00551130"/>
    <w:rsid w:val="00551675"/>
    <w:rsid w:val="0055195A"/>
    <w:rsid w:val="0055235D"/>
    <w:rsid w:val="005523D0"/>
    <w:rsid w:val="00552441"/>
    <w:rsid w:val="005525F3"/>
    <w:rsid w:val="005527BF"/>
    <w:rsid w:val="00552B77"/>
    <w:rsid w:val="00552C6C"/>
    <w:rsid w:val="0055329C"/>
    <w:rsid w:val="00553B37"/>
    <w:rsid w:val="00553C0E"/>
    <w:rsid w:val="00553C52"/>
    <w:rsid w:val="00553F08"/>
    <w:rsid w:val="00554C09"/>
    <w:rsid w:val="005551F1"/>
    <w:rsid w:val="00555334"/>
    <w:rsid w:val="00555EC4"/>
    <w:rsid w:val="00556001"/>
    <w:rsid w:val="005560A0"/>
    <w:rsid w:val="00556DC8"/>
    <w:rsid w:val="00556F35"/>
    <w:rsid w:val="00557016"/>
    <w:rsid w:val="00557BFA"/>
    <w:rsid w:val="00557FEF"/>
    <w:rsid w:val="0056085E"/>
    <w:rsid w:val="0056090A"/>
    <w:rsid w:val="00560B3A"/>
    <w:rsid w:val="005610B7"/>
    <w:rsid w:val="00561999"/>
    <w:rsid w:val="00561A7D"/>
    <w:rsid w:val="005624C9"/>
    <w:rsid w:val="00562CE4"/>
    <w:rsid w:val="00562E0B"/>
    <w:rsid w:val="00562FCB"/>
    <w:rsid w:val="0056369A"/>
    <w:rsid w:val="0056383B"/>
    <w:rsid w:val="00563EDD"/>
    <w:rsid w:val="00563F38"/>
    <w:rsid w:val="00563F7A"/>
    <w:rsid w:val="00564470"/>
    <w:rsid w:val="00564B3C"/>
    <w:rsid w:val="005651AE"/>
    <w:rsid w:val="005658E3"/>
    <w:rsid w:val="00565A52"/>
    <w:rsid w:val="00565F93"/>
    <w:rsid w:val="0056631E"/>
    <w:rsid w:val="005669D6"/>
    <w:rsid w:val="00566D71"/>
    <w:rsid w:val="00567019"/>
    <w:rsid w:val="00567025"/>
    <w:rsid w:val="005670C2"/>
    <w:rsid w:val="00567AB2"/>
    <w:rsid w:val="00567ACB"/>
    <w:rsid w:val="00567CD4"/>
    <w:rsid w:val="00567E11"/>
    <w:rsid w:val="00570127"/>
    <w:rsid w:val="0057055E"/>
    <w:rsid w:val="00570807"/>
    <w:rsid w:val="00570D16"/>
    <w:rsid w:val="00570DE9"/>
    <w:rsid w:val="0057148E"/>
    <w:rsid w:val="005714D3"/>
    <w:rsid w:val="0057157C"/>
    <w:rsid w:val="00572455"/>
    <w:rsid w:val="0057251D"/>
    <w:rsid w:val="00572AF2"/>
    <w:rsid w:val="00572E3E"/>
    <w:rsid w:val="005734C6"/>
    <w:rsid w:val="00573585"/>
    <w:rsid w:val="00573868"/>
    <w:rsid w:val="00573A3F"/>
    <w:rsid w:val="005752EC"/>
    <w:rsid w:val="005754D0"/>
    <w:rsid w:val="00575E35"/>
    <w:rsid w:val="005761F9"/>
    <w:rsid w:val="005762A8"/>
    <w:rsid w:val="00576721"/>
    <w:rsid w:val="00576739"/>
    <w:rsid w:val="005767ED"/>
    <w:rsid w:val="00576EAF"/>
    <w:rsid w:val="005776AA"/>
    <w:rsid w:val="005778AB"/>
    <w:rsid w:val="00577AEC"/>
    <w:rsid w:val="00577E15"/>
    <w:rsid w:val="005804D1"/>
    <w:rsid w:val="0058059C"/>
    <w:rsid w:val="00580603"/>
    <w:rsid w:val="00580E57"/>
    <w:rsid w:val="00581137"/>
    <w:rsid w:val="0058117F"/>
    <w:rsid w:val="00581523"/>
    <w:rsid w:val="0058233B"/>
    <w:rsid w:val="0058281B"/>
    <w:rsid w:val="00583058"/>
    <w:rsid w:val="00583195"/>
    <w:rsid w:val="0058334E"/>
    <w:rsid w:val="00583641"/>
    <w:rsid w:val="00583701"/>
    <w:rsid w:val="00583F71"/>
    <w:rsid w:val="005845FD"/>
    <w:rsid w:val="00584C6F"/>
    <w:rsid w:val="005851B4"/>
    <w:rsid w:val="005855CF"/>
    <w:rsid w:val="00585626"/>
    <w:rsid w:val="005858D0"/>
    <w:rsid w:val="005858D1"/>
    <w:rsid w:val="00585A08"/>
    <w:rsid w:val="00585B9F"/>
    <w:rsid w:val="00585C6B"/>
    <w:rsid w:val="00586110"/>
    <w:rsid w:val="0058625B"/>
    <w:rsid w:val="005863CB"/>
    <w:rsid w:val="005865B9"/>
    <w:rsid w:val="005867DD"/>
    <w:rsid w:val="00586B1E"/>
    <w:rsid w:val="005877F4"/>
    <w:rsid w:val="00590A9A"/>
    <w:rsid w:val="00590E95"/>
    <w:rsid w:val="005913DE"/>
    <w:rsid w:val="00591BE2"/>
    <w:rsid w:val="00591F24"/>
    <w:rsid w:val="00591FE3"/>
    <w:rsid w:val="005921CA"/>
    <w:rsid w:val="005929F4"/>
    <w:rsid w:val="00592B79"/>
    <w:rsid w:val="00592C10"/>
    <w:rsid w:val="00592C7C"/>
    <w:rsid w:val="00592D30"/>
    <w:rsid w:val="005939CE"/>
    <w:rsid w:val="00593E26"/>
    <w:rsid w:val="00593ED7"/>
    <w:rsid w:val="00594E22"/>
    <w:rsid w:val="00594E89"/>
    <w:rsid w:val="00594FA0"/>
    <w:rsid w:val="0059505C"/>
    <w:rsid w:val="00595677"/>
    <w:rsid w:val="005958C0"/>
    <w:rsid w:val="00595E26"/>
    <w:rsid w:val="00596A08"/>
    <w:rsid w:val="00596DC6"/>
    <w:rsid w:val="005972B5"/>
    <w:rsid w:val="00597394"/>
    <w:rsid w:val="00597515"/>
    <w:rsid w:val="00597787"/>
    <w:rsid w:val="00597C65"/>
    <w:rsid w:val="00597EED"/>
    <w:rsid w:val="005A07A8"/>
    <w:rsid w:val="005A0CAB"/>
    <w:rsid w:val="005A0DAC"/>
    <w:rsid w:val="005A0E40"/>
    <w:rsid w:val="005A1C2B"/>
    <w:rsid w:val="005A1DC0"/>
    <w:rsid w:val="005A2465"/>
    <w:rsid w:val="005A25D3"/>
    <w:rsid w:val="005A274C"/>
    <w:rsid w:val="005A2923"/>
    <w:rsid w:val="005A2AC0"/>
    <w:rsid w:val="005A2B39"/>
    <w:rsid w:val="005A315C"/>
    <w:rsid w:val="005A32BF"/>
    <w:rsid w:val="005A3698"/>
    <w:rsid w:val="005A379C"/>
    <w:rsid w:val="005A3C0E"/>
    <w:rsid w:val="005A4396"/>
    <w:rsid w:val="005A4737"/>
    <w:rsid w:val="005A4A1F"/>
    <w:rsid w:val="005A4B96"/>
    <w:rsid w:val="005A5D8C"/>
    <w:rsid w:val="005A6A35"/>
    <w:rsid w:val="005A6A6E"/>
    <w:rsid w:val="005A6BC6"/>
    <w:rsid w:val="005A7637"/>
    <w:rsid w:val="005A79B0"/>
    <w:rsid w:val="005A7EAF"/>
    <w:rsid w:val="005A7EFA"/>
    <w:rsid w:val="005B01EE"/>
    <w:rsid w:val="005B0712"/>
    <w:rsid w:val="005B0895"/>
    <w:rsid w:val="005B0934"/>
    <w:rsid w:val="005B13D8"/>
    <w:rsid w:val="005B1BB0"/>
    <w:rsid w:val="005B1CED"/>
    <w:rsid w:val="005B256E"/>
    <w:rsid w:val="005B2983"/>
    <w:rsid w:val="005B2AE7"/>
    <w:rsid w:val="005B2C14"/>
    <w:rsid w:val="005B2E0B"/>
    <w:rsid w:val="005B32CD"/>
    <w:rsid w:val="005B36C6"/>
    <w:rsid w:val="005B3756"/>
    <w:rsid w:val="005B375C"/>
    <w:rsid w:val="005B397C"/>
    <w:rsid w:val="005B3A8D"/>
    <w:rsid w:val="005B4274"/>
    <w:rsid w:val="005B431D"/>
    <w:rsid w:val="005B4AC1"/>
    <w:rsid w:val="005B4CF7"/>
    <w:rsid w:val="005B4DFF"/>
    <w:rsid w:val="005B5053"/>
    <w:rsid w:val="005B50AC"/>
    <w:rsid w:val="005B553F"/>
    <w:rsid w:val="005B5944"/>
    <w:rsid w:val="005B5B79"/>
    <w:rsid w:val="005B617C"/>
    <w:rsid w:val="005B6368"/>
    <w:rsid w:val="005B681A"/>
    <w:rsid w:val="005B6DDE"/>
    <w:rsid w:val="005B6F30"/>
    <w:rsid w:val="005B7159"/>
    <w:rsid w:val="005B75CA"/>
    <w:rsid w:val="005B7949"/>
    <w:rsid w:val="005B7AAA"/>
    <w:rsid w:val="005B7AE8"/>
    <w:rsid w:val="005B7F1D"/>
    <w:rsid w:val="005C10C2"/>
    <w:rsid w:val="005C22A8"/>
    <w:rsid w:val="005C2380"/>
    <w:rsid w:val="005C2F53"/>
    <w:rsid w:val="005C3635"/>
    <w:rsid w:val="005C3644"/>
    <w:rsid w:val="005C3645"/>
    <w:rsid w:val="005C36B7"/>
    <w:rsid w:val="005C3FDC"/>
    <w:rsid w:val="005C4032"/>
    <w:rsid w:val="005C40B2"/>
    <w:rsid w:val="005C44A6"/>
    <w:rsid w:val="005C4D62"/>
    <w:rsid w:val="005C541D"/>
    <w:rsid w:val="005C58D8"/>
    <w:rsid w:val="005C5922"/>
    <w:rsid w:val="005C60F9"/>
    <w:rsid w:val="005C63F5"/>
    <w:rsid w:val="005C66C5"/>
    <w:rsid w:val="005C743D"/>
    <w:rsid w:val="005C7613"/>
    <w:rsid w:val="005C7673"/>
    <w:rsid w:val="005C7926"/>
    <w:rsid w:val="005D0DC6"/>
    <w:rsid w:val="005D0FEC"/>
    <w:rsid w:val="005D17C1"/>
    <w:rsid w:val="005D2238"/>
    <w:rsid w:val="005D2858"/>
    <w:rsid w:val="005D35CE"/>
    <w:rsid w:val="005D3679"/>
    <w:rsid w:val="005D379C"/>
    <w:rsid w:val="005D37D3"/>
    <w:rsid w:val="005D3A41"/>
    <w:rsid w:val="005D3D43"/>
    <w:rsid w:val="005D3DC2"/>
    <w:rsid w:val="005D424C"/>
    <w:rsid w:val="005D42A8"/>
    <w:rsid w:val="005D43EC"/>
    <w:rsid w:val="005D4841"/>
    <w:rsid w:val="005D4913"/>
    <w:rsid w:val="005D4E55"/>
    <w:rsid w:val="005D505E"/>
    <w:rsid w:val="005D585F"/>
    <w:rsid w:val="005D5B85"/>
    <w:rsid w:val="005D645B"/>
    <w:rsid w:val="005D68B8"/>
    <w:rsid w:val="005D6A14"/>
    <w:rsid w:val="005D6D90"/>
    <w:rsid w:val="005D6FE2"/>
    <w:rsid w:val="005D72CD"/>
    <w:rsid w:val="005D7773"/>
    <w:rsid w:val="005D7977"/>
    <w:rsid w:val="005D7BB3"/>
    <w:rsid w:val="005D7C59"/>
    <w:rsid w:val="005E0173"/>
    <w:rsid w:val="005E056D"/>
    <w:rsid w:val="005E06FB"/>
    <w:rsid w:val="005E0AE0"/>
    <w:rsid w:val="005E127C"/>
    <w:rsid w:val="005E1AD6"/>
    <w:rsid w:val="005E20F4"/>
    <w:rsid w:val="005E3085"/>
    <w:rsid w:val="005E3B74"/>
    <w:rsid w:val="005E3EB2"/>
    <w:rsid w:val="005E4053"/>
    <w:rsid w:val="005E42E1"/>
    <w:rsid w:val="005E43AD"/>
    <w:rsid w:val="005E441A"/>
    <w:rsid w:val="005E475A"/>
    <w:rsid w:val="005E475F"/>
    <w:rsid w:val="005E4DEA"/>
    <w:rsid w:val="005E5497"/>
    <w:rsid w:val="005E55A1"/>
    <w:rsid w:val="005E5A34"/>
    <w:rsid w:val="005E6EF8"/>
    <w:rsid w:val="005E6FD9"/>
    <w:rsid w:val="005E7131"/>
    <w:rsid w:val="005E7537"/>
    <w:rsid w:val="005E7666"/>
    <w:rsid w:val="005E7F17"/>
    <w:rsid w:val="005F01CB"/>
    <w:rsid w:val="005F05A0"/>
    <w:rsid w:val="005F06A4"/>
    <w:rsid w:val="005F082B"/>
    <w:rsid w:val="005F1216"/>
    <w:rsid w:val="005F1318"/>
    <w:rsid w:val="005F147D"/>
    <w:rsid w:val="005F14F8"/>
    <w:rsid w:val="005F180E"/>
    <w:rsid w:val="005F1F3A"/>
    <w:rsid w:val="005F237A"/>
    <w:rsid w:val="005F25AB"/>
    <w:rsid w:val="005F25D3"/>
    <w:rsid w:val="005F2697"/>
    <w:rsid w:val="005F27B1"/>
    <w:rsid w:val="005F2940"/>
    <w:rsid w:val="005F3660"/>
    <w:rsid w:val="005F3B3D"/>
    <w:rsid w:val="005F3ECE"/>
    <w:rsid w:val="005F3F61"/>
    <w:rsid w:val="005F468D"/>
    <w:rsid w:val="005F473C"/>
    <w:rsid w:val="005F47F9"/>
    <w:rsid w:val="005F4D52"/>
    <w:rsid w:val="005F4DDC"/>
    <w:rsid w:val="005F5075"/>
    <w:rsid w:val="005F50F5"/>
    <w:rsid w:val="005F50FC"/>
    <w:rsid w:val="005F5585"/>
    <w:rsid w:val="005F5658"/>
    <w:rsid w:val="005F5CEA"/>
    <w:rsid w:val="005F5EA5"/>
    <w:rsid w:val="005F6540"/>
    <w:rsid w:val="005F67E7"/>
    <w:rsid w:val="005F6878"/>
    <w:rsid w:val="005F6D0E"/>
    <w:rsid w:val="005F6D97"/>
    <w:rsid w:val="005F6F60"/>
    <w:rsid w:val="005F6FF6"/>
    <w:rsid w:val="005F70B9"/>
    <w:rsid w:val="005F7CD0"/>
    <w:rsid w:val="005F7DDF"/>
    <w:rsid w:val="00600577"/>
    <w:rsid w:val="00600CEE"/>
    <w:rsid w:val="006012CB"/>
    <w:rsid w:val="0060159E"/>
    <w:rsid w:val="006016C8"/>
    <w:rsid w:val="00601BDB"/>
    <w:rsid w:val="00601CA3"/>
    <w:rsid w:val="00602441"/>
    <w:rsid w:val="00602612"/>
    <w:rsid w:val="00602666"/>
    <w:rsid w:val="00602688"/>
    <w:rsid w:val="00602927"/>
    <w:rsid w:val="00602A15"/>
    <w:rsid w:val="00602B03"/>
    <w:rsid w:val="00602C1D"/>
    <w:rsid w:val="00602D94"/>
    <w:rsid w:val="00603A5C"/>
    <w:rsid w:val="00604100"/>
    <w:rsid w:val="00604603"/>
    <w:rsid w:val="00604A1A"/>
    <w:rsid w:val="00605715"/>
    <w:rsid w:val="00605E0E"/>
    <w:rsid w:val="00606013"/>
    <w:rsid w:val="0060606A"/>
    <w:rsid w:val="00606E50"/>
    <w:rsid w:val="00606FCA"/>
    <w:rsid w:val="006078BB"/>
    <w:rsid w:val="00607A17"/>
    <w:rsid w:val="00607F33"/>
    <w:rsid w:val="00610018"/>
    <w:rsid w:val="006108BF"/>
    <w:rsid w:val="00610CC9"/>
    <w:rsid w:val="00610CD9"/>
    <w:rsid w:val="00611096"/>
    <w:rsid w:val="00611648"/>
    <w:rsid w:val="006118CC"/>
    <w:rsid w:val="00611902"/>
    <w:rsid w:val="00611978"/>
    <w:rsid w:val="00611CA8"/>
    <w:rsid w:val="00611E50"/>
    <w:rsid w:val="00611F45"/>
    <w:rsid w:val="00612207"/>
    <w:rsid w:val="0061223D"/>
    <w:rsid w:val="006127AF"/>
    <w:rsid w:val="00612B8F"/>
    <w:rsid w:val="00612C6B"/>
    <w:rsid w:val="006132BB"/>
    <w:rsid w:val="0061372D"/>
    <w:rsid w:val="00613A49"/>
    <w:rsid w:val="00613C96"/>
    <w:rsid w:val="00613D23"/>
    <w:rsid w:val="00613E0F"/>
    <w:rsid w:val="00613E7D"/>
    <w:rsid w:val="00613FDF"/>
    <w:rsid w:val="00614272"/>
    <w:rsid w:val="0061450F"/>
    <w:rsid w:val="006147D7"/>
    <w:rsid w:val="00614B04"/>
    <w:rsid w:val="00614CAF"/>
    <w:rsid w:val="00615821"/>
    <w:rsid w:val="00615841"/>
    <w:rsid w:val="00615BD2"/>
    <w:rsid w:val="00615D27"/>
    <w:rsid w:val="006169E3"/>
    <w:rsid w:val="00616DEC"/>
    <w:rsid w:val="00616EBB"/>
    <w:rsid w:val="006173C2"/>
    <w:rsid w:val="006178F8"/>
    <w:rsid w:val="00617B15"/>
    <w:rsid w:val="00617EC2"/>
    <w:rsid w:val="00620409"/>
    <w:rsid w:val="00620428"/>
    <w:rsid w:val="00620EEE"/>
    <w:rsid w:val="006217F0"/>
    <w:rsid w:val="00621CC1"/>
    <w:rsid w:val="00622757"/>
    <w:rsid w:val="00622FD4"/>
    <w:rsid w:val="00623048"/>
    <w:rsid w:val="00623A65"/>
    <w:rsid w:val="00623AB5"/>
    <w:rsid w:val="00623BB6"/>
    <w:rsid w:val="00624234"/>
    <w:rsid w:val="00624747"/>
    <w:rsid w:val="0062474F"/>
    <w:rsid w:val="006248CE"/>
    <w:rsid w:val="00624C8E"/>
    <w:rsid w:val="006255AB"/>
    <w:rsid w:val="0062585D"/>
    <w:rsid w:val="006259E4"/>
    <w:rsid w:val="00625B4B"/>
    <w:rsid w:val="00625D8B"/>
    <w:rsid w:val="00625D98"/>
    <w:rsid w:val="00626267"/>
    <w:rsid w:val="00626324"/>
    <w:rsid w:val="0062635C"/>
    <w:rsid w:val="00626397"/>
    <w:rsid w:val="006268E3"/>
    <w:rsid w:val="00626BB7"/>
    <w:rsid w:val="00626F86"/>
    <w:rsid w:val="00627030"/>
    <w:rsid w:val="0062716C"/>
    <w:rsid w:val="0062748D"/>
    <w:rsid w:val="00627C9B"/>
    <w:rsid w:val="00630230"/>
    <w:rsid w:val="0063099A"/>
    <w:rsid w:val="00631442"/>
    <w:rsid w:val="0063150A"/>
    <w:rsid w:val="00631E32"/>
    <w:rsid w:val="00631FA3"/>
    <w:rsid w:val="00632071"/>
    <w:rsid w:val="00632CE8"/>
    <w:rsid w:val="00632D37"/>
    <w:rsid w:val="00632E84"/>
    <w:rsid w:val="0063305C"/>
    <w:rsid w:val="0063324E"/>
    <w:rsid w:val="006332D0"/>
    <w:rsid w:val="006337AA"/>
    <w:rsid w:val="006338B6"/>
    <w:rsid w:val="0063392B"/>
    <w:rsid w:val="00633CA8"/>
    <w:rsid w:val="00633D86"/>
    <w:rsid w:val="00633D97"/>
    <w:rsid w:val="0063429A"/>
    <w:rsid w:val="006348D2"/>
    <w:rsid w:val="00634C2A"/>
    <w:rsid w:val="00635E55"/>
    <w:rsid w:val="006362A2"/>
    <w:rsid w:val="00636383"/>
    <w:rsid w:val="00636615"/>
    <w:rsid w:val="00636641"/>
    <w:rsid w:val="006372AF"/>
    <w:rsid w:val="00637F38"/>
    <w:rsid w:val="00637F49"/>
    <w:rsid w:val="006402CE"/>
    <w:rsid w:val="00640335"/>
    <w:rsid w:val="006409AC"/>
    <w:rsid w:val="00640A1F"/>
    <w:rsid w:val="00640FA1"/>
    <w:rsid w:val="00640FFC"/>
    <w:rsid w:val="00641028"/>
    <w:rsid w:val="0064103D"/>
    <w:rsid w:val="0064123E"/>
    <w:rsid w:val="0064135A"/>
    <w:rsid w:val="006415DB"/>
    <w:rsid w:val="006415EE"/>
    <w:rsid w:val="0064254E"/>
    <w:rsid w:val="006426D8"/>
    <w:rsid w:val="0064295D"/>
    <w:rsid w:val="00642A98"/>
    <w:rsid w:val="00642CE4"/>
    <w:rsid w:val="00642D21"/>
    <w:rsid w:val="00642FDD"/>
    <w:rsid w:val="006431F6"/>
    <w:rsid w:val="006438A9"/>
    <w:rsid w:val="006438AB"/>
    <w:rsid w:val="00644685"/>
    <w:rsid w:val="0064498A"/>
    <w:rsid w:val="006455FE"/>
    <w:rsid w:val="0064564F"/>
    <w:rsid w:val="00645ABC"/>
    <w:rsid w:val="00645BF5"/>
    <w:rsid w:val="00645C9E"/>
    <w:rsid w:val="00645D1F"/>
    <w:rsid w:val="00645EE8"/>
    <w:rsid w:val="00645FBF"/>
    <w:rsid w:val="00645FE3"/>
    <w:rsid w:val="00646056"/>
    <w:rsid w:val="00646EDF"/>
    <w:rsid w:val="0064751B"/>
    <w:rsid w:val="00647521"/>
    <w:rsid w:val="00647A6E"/>
    <w:rsid w:val="00647AF2"/>
    <w:rsid w:val="00650AD7"/>
    <w:rsid w:val="006511C4"/>
    <w:rsid w:val="0065167D"/>
    <w:rsid w:val="00651EA6"/>
    <w:rsid w:val="00652028"/>
    <w:rsid w:val="00652C18"/>
    <w:rsid w:val="00652F5D"/>
    <w:rsid w:val="00653013"/>
    <w:rsid w:val="006530F4"/>
    <w:rsid w:val="0065370D"/>
    <w:rsid w:val="006537FB"/>
    <w:rsid w:val="00653A90"/>
    <w:rsid w:val="0065420A"/>
    <w:rsid w:val="00654CC2"/>
    <w:rsid w:val="00654E2D"/>
    <w:rsid w:val="00654EBF"/>
    <w:rsid w:val="006551DB"/>
    <w:rsid w:val="0065591B"/>
    <w:rsid w:val="00656119"/>
    <w:rsid w:val="006561A6"/>
    <w:rsid w:val="0065674A"/>
    <w:rsid w:val="0065686C"/>
    <w:rsid w:val="00656E55"/>
    <w:rsid w:val="00657209"/>
    <w:rsid w:val="006572CE"/>
    <w:rsid w:val="0065739C"/>
    <w:rsid w:val="00657716"/>
    <w:rsid w:val="00657DB7"/>
    <w:rsid w:val="006604CD"/>
    <w:rsid w:val="00660817"/>
    <w:rsid w:val="00660970"/>
    <w:rsid w:val="00660E9C"/>
    <w:rsid w:val="00660EC9"/>
    <w:rsid w:val="00660EF1"/>
    <w:rsid w:val="006615E3"/>
    <w:rsid w:val="00661F44"/>
    <w:rsid w:val="00662007"/>
    <w:rsid w:val="006628B0"/>
    <w:rsid w:val="0066292D"/>
    <w:rsid w:val="00662B14"/>
    <w:rsid w:val="006634B7"/>
    <w:rsid w:val="006634FF"/>
    <w:rsid w:val="006635FA"/>
    <w:rsid w:val="006639EE"/>
    <w:rsid w:val="00664ABB"/>
    <w:rsid w:val="00665234"/>
    <w:rsid w:val="006657B4"/>
    <w:rsid w:val="00665812"/>
    <w:rsid w:val="00665842"/>
    <w:rsid w:val="00665996"/>
    <w:rsid w:val="006659CB"/>
    <w:rsid w:val="00665F2A"/>
    <w:rsid w:val="006661CE"/>
    <w:rsid w:val="0066647A"/>
    <w:rsid w:val="006665A3"/>
    <w:rsid w:val="00666626"/>
    <w:rsid w:val="00666E4E"/>
    <w:rsid w:val="00667144"/>
    <w:rsid w:val="0066740C"/>
    <w:rsid w:val="00667937"/>
    <w:rsid w:val="00667B2D"/>
    <w:rsid w:val="00667D84"/>
    <w:rsid w:val="00670117"/>
    <w:rsid w:val="0067076C"/>
    <w:rsid w:val="00670AFC"/>
    <w:rsid w:val="00670BE3"/>
    <w:rsid w:val="00670C13"/>
    <w:rsid w:val="00670D4D"/>
    <w:rsid w:val="00670E8D"/>
    <w:rsid w:val="00671390"/>
    <w:rsid w:val="00671BFB"/>
    <w:rsid w:val="00671CD3"/>
    <w:rsid w:val="00671EFE"/>
    <w:rsid w:val="0067242B"/>
    <w:rsid w:val="00672987"/>
    <w:rsid w:val="00672EDB"/>
    <w:rsid w:val="006736B4"/>
    <w:rsid w:val="00673AA2"/>
    <w:rsid w:val="0067408C"/>
    <w:rsid w:val="0067422F"/>
    <w:rsid w:val="00674A76"/>
    <w:rsid w:val="006758F6"/>
    <w:rsid w:val="00675909"/>
    <w:rsid w:val="006759BE"/>
    <w:rsid w:val="00675F40"/>
    <w:rsid w:val="0067630C"/>
    <w:rsid w:val="00676917"/>
    <w:rsid w:val="00676ADA"/>
    <w:rsid w:val="0067749C"/>
    <w:rsid w:val="006778D2"/>
    <w:rsid w:val="006779D3"/>
    <w:rsid w:val="00677F46"/>
    <w:rsid w:val="00677FF0"/>
    <w:rsid w:val="0068062A"/>
    <w:rsid w:val="00680D8C"/>
    <w:rsid w:val="006816CA"/>
    <w:rsid w:val="006822D9"/>
    <w:rsid w:val="006822DE"/>
    <w:rsid w:val="0068252A"/>
    <w:rsid w:val="00682825"/>
    <w:rsid w:val="00682936"/>
    <w:rsid w:val="00682A77"/>
    <w:rsid w:val="00682AA7"/>
    <w:rsid w:val="00682B01"/>
    <w:rsid w:val="00683CD2"/>
    <w:rsid w:val="00683DBC"/>
    <w:rsid w:val="00683F8B"/>
    <w:rsid w:val="006845A0"/>
    <w:rsid w:val="00684852"/>
    <w:rsid w:val="00684AD7"/>
    <w:rsid w:val="00684DA6"/>
    <w:rsid w:val="00684E58"/>
    <w:rsid w:val="00684E67"/>
    <w:rsid w:val="00685045"/>
    <w:rsid w:val="0068543C"/>
    <w:rsid w:val="00685E18"/>
    <w:rsid w:val="0068609F"/>
    <w:rsid w:val="006862B6"/>
    <w:rsid w:val="006866D7"/>
    <w:rsid w:val="006872D1"/>
    <w:rsid w:val="00687929"/>
    <w:rsid w:val="00687A92"/>
    <w:rsid w:val="00687E00"/>
    <w:rsid w:val="006902A6"/>
    <w:rsid w:val="006902E6"/>
    <w:rsid w:val="00690533"/>
    <w:rsid w:val="00690567"/>
    <w:rsid w:val="00690A4C"/>
    <w:rsid w:val="00690B28"/>
    <w:rsid w:val="00690BC3"/>
    <w:rsid w:val="00690C31"/>
    <w:rsid w:val="00690DBB"/>
    <w:rsid w:val="006912DF"/>
    <w:rsid w:val="0069134D"/>
    <w:rsid w:val="00691654"/>
    <w:rsid w:val="006919F9"/>
    <w:rsid w:val="00691E92"/>
    <w:rsid w:val="00691ED5"/>
    <w:rsid w:val="00692133"/>
    <w:rsid w:val="006927CA"/>
    <w:rsid w:val="00693811"/>
    <w:rsid w:val="006944A4"/>
    <w:rsid w:val="006949A0"/>
    <w:rsid w:val="00694AFA"/>
    <w:rsid w:val="00694C22"/>
    <w:rsid w:val="00694E1F"/>
    <w:rsid w:val="00694F23"/>
    <w:rsid w:val="00695040"/>
    <w:rsid w:val="0069504B"/>
    <w:rsid w:val="00695867"/>
    <w:rsid w:val="00695875"/>
    <w:rsid w:val="00695F06"/>
    <w:rsid w:val="006964A3"/>
    <w:rsid w:val="00696580"/>
    <w:rsid w:val="00696A43"/>
    <w:rsid w:val="00696AC3"/>
    <w:rsid w:val="00697468"/>
    <w:rsid w:val="00697698"/>
    <w:rsid w:val="006A007A"/>
    <w:rsid w:val="006A00BC"/>
    <w:rsid w:val="006A05A5"/>
    <w:rsid w:val="006A074E"/>
    <w:rsid w:val="006A0D6A"/>
    <w:rsid w:val="006A1556"/>
    <w:rsid w:val="006A18CF"/>
    <w:rsid w:val="006A1B46"/>
    <w:rsid w:val="006A1CA3"/>
    <w:rsid w:val="006A1FEC"/>
    <w:rsid w:val="006A3324"/>
    <w:rsid w:val="006A3B4A"/>
    <w:rsid w:val="006A3E8A"/>
    <w:rsid w:val="006A4156"/>
    <w:rsid w:val="006A52E7"/>
    <w:rsid w:val="006A6158"/>
    <w:rsid w:val="006A6319"/>
    <w:rsid w:val="006A6B43"/>
    <w:rsid w:val="006A6D42"/>
    <w:rsid w:val="006A6EC8"/>
    <w:rsid w:val="006A70D2"/>
    <w:rsid w:val="006A73B4"/>
    <w:rsid w:val="006A76C7"/>
    <w:rsid w:val="006A7B7A"/>
    <w:rsid w:val="006A7DCD"/>
    <w:rsid w:val="006B01D6"/>
    <w:rsid w:val="006B039D"/>
    <w:rsid w:val="006B089A"/>
    <w:rsid w:val="006B0CD6"/>
    <w:rsid w:val="006B0E57"/>
    <w:rsid w:val="006B1BBA"/>
    <w:rsid w:val="006B219E"/>
    <w:rsid w:val="006B272A"/>
    <w:rsid w:val="006B28B6"/>
    <w:rsid w:val="006B2C1C"/>
    <w:rsid w:val="006B3091"/>
    <w:rsid w:val="006B39DD"/>
    <w:rsid w:val="006B4203"/>
    <w:rsid w:val="006B4B34"/>
    <w:rsid w:val="006B4C84"/>
    <w:rsid w:val="006B57FB"/>
    <w:rsid w:val="006B6406"/>
    <w:rsid w:val="006B6428"/>
    <w:rsid w:val="006B65D6"/>
    <w:rsid w:val="006B675C"/>
    <w:rsid w:val="006B698C"/>
    <w:rsid w:val="006B69D6"/>
    <w:rsid w:val="006B6A8F"/>
    <w:rsid w:val="006B6DEA"/>
    <w:rsid w:val="006B6EB0"/>
    <w:rsid w:val="006B7105"/>
    <w:rsid w:val="006B7350"/>
    <w:rsid w:val="006B74C4"/>
    <w:rsid w:val="006B7B67"/>
    <w:rsid w:val="006B7B88"/>
    <w:rsid w:val="006C0A10"/>
    <w:rsid w:val="006C0AB1"/>
    <w:rsid w:val="006C0B88"/>
    <w:rsid w:val="006C1322"/>
    <w:rsid w:val="006C176F"/>
    <w:rsid w:val="006C18F4"/>
    <w:rsid w:val="006C1F11"/>
    <w:rsid w:val="006C2190"/>
    <w:rsid w:val="006C2887"/>
    <w:rsid w:val="006C2EB3"/>
    <w:rsid w:val="006C30E3"/>
    <w:rsid w:val="006C37B7"/>
    <w:rsid w:val="006C395D"/>
    <w:rsid w:val="006C3F07"/>
    <w:rsid w:val="006C44F3"/>
    <w:rsid w:val="006C4607"/>
    <w:rsid w:val="006C46D0"/>
    <w:rsid w:val="006C4BE0"/>
    <w:rsid w:val="006C507D"/>
    <w:rsid w:val="006C640F"/>
    <w:rsid w:val="006C6854"/>
    <w:rsid w:val="006C6FAE"/>
    <w:rsid w:val="006C78E7"/>
    <w:rsid w:val="006C7A26"/>
    <w:rsid w:val="006C7ADF"/>
    <w:rsid w:val="006C7DFE"/>
    <w:rsid w:val="006D00CE"/>
    <w:rsid w:val="006D051D"/>
    <w:rsid w:val="006D0BD7"/>
    <w:rsid w:val="006D0D61"/>
    <w:rsid w:val="006D1302"/>
    <w:rsid w:val="006D1C75"/>
    <w:rsid w:val="006D1EC4"/>
    <w:rsid w:val="006D1ED8"/>
    <w:rsid w:val="006D2458"/>
    <w:rsid w:val="006D31CD"/>
    <w:rsid w:val="006D3A8C"/>
    <w:rsid w:val="006D3C76"/>
    <w:rsid w:val="006D3E16"/>
    <w:rsid w:val="006D3EDB"/>
    <w:rsid w:val="006D4833"/>
    <w:rsid w:val="006D4864"/>
    <w:rsid w:val="006D4BB2"/>
    <w:rsid w:val="006D534E"/>
    <w:rsid w:val="006D5A58"/>
    <w:rsid w:val="006D5B7A"/>
    <w:rsid w:val="006D5F8D"/>
    <w:rsid w:val="006D65CF"/>
    <w:rsid w:val="006D6AC9"/>
    <w:rsid w:val="006D6D5D"/>
    <w:rsid w:val="006D7037"/>
    <w:rsid w:val="006D7818"/>
    <w:rsid w:val="006D79DE"/>
    <w:rsid w:val="006D7A83"/>
    <w:rsid w:val="006D7B89"/>
    <w:rsid w:val="006D7E29"/>
    <w:rsid w:val="006E0603"/>
    <w:rsid w:val="006E0B92"/>
    <w:rsid w:val="006E12AC"/>
    <w:rsid w:val="006E1686"/>
    <w:rsid w:val="006E19A6"/>
    <w:rsid w:val="006E1F1D"/>
    <w:rsid w:val="006E22E7"/>
    <w:rsid w:val="006E2315"/>
    <w:rsid w:val="006E2543"/>
    <w:rsid w:val="006E2585"/>
    <w:rsid w:val="006E2686"/>
    <w:rsid w:val="006E2917"/>
    <w:rsid w:val="006E2A21"/>
    <w:rsid w:val="006E2B3F"/>
    <w:rsid w:val="006E2BC1"/>
    <w:rsid w:val="006E2F96"/>
    <w:rsid w:val="006E363E"/>
    <w:rsid w:val="006E3BED"/>
    <w:rsid w:val="006E3C51"/>
    <w:rsid w:val="006E3DB0"/>
    <w:rsid w:val="006E4696"/>
    <w:rsid w:val="006E531B"/>
    <w:rsid w:val="006E5435"/>
    <w:rsid w:val="006E59AB"/>
    <w:rsid w:val="006E62D3"/>
    <w:rsid w:val="006E691B"/>
    <w:rsid w:val="006E6E67"/>
    <w:rsid w:val="006E76E0"/>
    <w:rsid w:val="006E7EEE"/>
    <w:rsid w:val="006F029B"/>
    <w:rsid w:val="006F05B3"/>
    <w:rsid w:val="006F08FF"/>
    <w:rsid w:val="006F1592"/>
    <w:rsid w:val="006F1B5D"/>
    <w:rsid w:val="006F1C18"/>
    <w:rsid w:val="006F1C27"/>
    <w:rsid w:val="006F2821"/>
    <w:rsid w:val="006F286F"/>
    <w:rsid w:val="006F2C0D"/>
    <w:rsid w:val="006F4F5F"/>
    <w:rsid w:val="006F5870"/>
    <w:rsid w:val="006F59BC"/>
    <w:rsid w:val="006F5BCB"/>
    <w:rsid w:val="006F5D77"/>
    <w:rsid w:val="006F5EB0"/>
    <w:rsid w:val="006F5F43"/>
    <w:rsid w:val="006F6175"/>
    <w:rsid w:val="006F62E1"/>
    <w:rsid w:val="006F64AC"/>
    <w:rsid w:val="006F66F0"/>
    <w:rsid w:val="006F6C46"/>
    <w:rsid w:val="006F6CE5"/>
    <w:rsid w:val="006F7A60"/>
    <w:rsid w:val="007001D0"/>
    <w:rsid w:val="0070030C"/>
    <w:rsid w:val="007003FC"/>
    <w:rsid w:val="00700479"/>
    <w:rsid w:val="00700B8D"/>
    <w:rsid w:val="00700E27"/>
    <w:rsid w:val="0070111E"/>
    <w:rsid w:val="007012BD"/>
    <w:rsid w:val="00701538"/>
    <w:rsid w:val="00701A02"/>
    <w:rsid w:val="00701ADF"/>
    <w:rsid w:val="00701D23"/>
    <w:rsid w:val="00702088"/>
    <w:rsid w:val="0070226D"/>
    <w:rsid w:val="00702439"/>
    <w:rsid w:val="00702718"/>
    <w:rsid w:val="007027D4"/>
    <w:rsid w:val="00702991"/>
    <w:rsid w:val="00702A52"/>
    <w:rsid w:val="00702ACF"/>
    <w:rsid w:val="00702E37"/>
    <w:rsid w:val="00702ED3"/>
    <w:rsid w:val="007031E3"/>
    <w:rsid w:val="007033EA"/>
    <w:rsid w:val="007037F0"/>
    <w:rsid w:val="00703B16"/>
    <w:rsid w:val="00703EFD"/>
    <w:rsid w:val="00704219"/>
    <w:rsid w:val="0070454A"/>
    <w:rsid w:val="00704723"/>
    <w:rsid w:val="0070485C"/>
    <w:rsid w:val="00704B07"/>
    <w:rsid w:val="00705188"/>
    <w:rsid w:val="0070590E"/>
    <w:rsid w:val="00705BFB"/>
    <w:rsid w:val="00705E92"/>
    <w:rsid w:val="0070623C"/>
    <w:rsid w:val="00706716"/>
    <w:rsid w:val="00707078"/>
    <w:rsid w:val="007070E2"/>
    <w:rsid w:val="007071DB"/>
    <w:rsid w:val="00707479"/>
    <w:rsid w:val="007074BE"/>
    <w:rsid w:val="0070751D"/>
    <w:rsid w:val="007075EF"/>
    <w:rsid w:val="007076B5"/>
    <w:rsid w:val="00707F3C"/>
    <w:rsid w:val="00710485"/>
    <w:rsid w:val="00710838"/>
    <w:rsid w:val="00710E84"/>
    <w:rsid w:val="00711018"/>
    <w:rsid w:val="007110AB"/>
    <w:rsid w:val="0071168D"/>
    <w:rsid w:val="00711C56"/>
    <w:rsid w:val="00711CAC"/>
    <w:rsid w:val="00711D23"/>
    <w:rsid w:val="00711E5A"/>
    <w:rsid w:val="00712066"/>
    <w:rsid w:val="0071213C"/>
    <w:rsid w:val="00712422"/>
    <w:rsid w:val="0071251D"/>
    <w:rsid w:val="007125BF"/>
    <w:rsid w:val="00712C6B"/>
    <w:rsid w:val="00712F2E"/>
    <w:rsid w:val="00712F45"/>
    <w:rsid w:val="0071304B"/>
    <w:rsid w:val="007131AA"/>
    <w:rsid w:val="007134E1"/>
    <w:rsid w:val="00713B93"/>
    <w:rsid w:val="00713CB6"/>
    <w:rsid w:val="00713F36"/>
    <w:rsid w:val="0071421E"/>
    <w:rsid w:val="00714AC2"/>
    <w:rsid w:val="00714D6C"/>
    <w:rsid w:val="00714F32"/>
    <w:rsid w:val="0071533A"/>
    <w:rsid w:val="0071565E"/>
    <w:rsid w:val="00715660"/>
    <w:rsid w:val="00716618"/>
    <w:rsid w:val="007166BB"/>
    <w:rsid w:val="00716EAD"/>
    <w:rsid w:val="00716F2D"/>
    <w:rsid w:val="00717404"/>
    <w:rsid w:val="007176CE"/>
    <w:rsid w:val="00717994"/>
    <w:rsid w:val="00717E69"/>
    <w:rsid w:val="00720384"/>
    <w:rsid w:val="00720B38"/>
    <w:rsid w:val="0072139D"/>
    <w:rsid w:val="00721777"/>
    <w:rsid w:val="00721DB5"/>
    <w:rsid w:val="00722A98"/>
    <w:rsid w:val="00722BA6"/>
    <w:rsid w:val="00723160"/>
    <w:rsid w:val="007232E1"/>
    <w:rsid w:val="00723589"/>
    <w:rsid w:val="00723CCC"/>
    <w:rsid w:val="00723DA8"/>
    <w:rsid w:val="007245E2"/>
    <w:rsid w:val="0072482F"/>
    <w:rsid w:val="00724C57"/>
    <w:rsid w:val="00724DD7"/>
    <w:rsid w:val="00725686"/>
    <w:rsid w:val="00725947"/>
    <w:rsid w:val="00725E5C"/>
    <w:rsid w:val="0072606E"/>
    <w:rsid w:val="0072622D"/>
    <w:rsid w:val="00726B01"/>
    <w:rsid w:val="00726C66"/>
    <w:rsid w:val="007274FC"/>
    <w:rsid w:val="007278A1"/>
    <w:rsid w:val="00730492"/>
    <w:rsid w:val="00730BA9"/>
    <w:rsid w:val="0073118D"/>
    <w:rsid w:val="00731C77"/>
    <w:rsid w:val="00731DBA"/>
    <w:rsid w:val="007324B1"/>
    <w:rsid w:val="0073290C"/>
    <w:rsid w:val="00732C8D"/>
    <w:rsid w:val="00732D64"/>
    <w:rsid w:val="00732EE4"/>
    <w:rsid w:val="00733060"/>
    <w:rsid w:val="007331F7"/>
    <w:rsid w:val="007335BD"/>
    <w:rsid w:val="007339C7"/>
    <w:rsid w:val="00733D08"/>
    <w:rsid w:val="00733D1E"/>
    <w:rsid w:val="00733E6B"/>
    <w:rsid w:val="00734440"/>
    <w:rsid w:val="00734521"/>
    <w:rsid w:val="00734797"/>
    <w:rsid w:val="007347EC"/>
    <w:rsid w:val="00734D82"/>
    <w:rsid w:val="00734EBE"/>
    <w:rsid w:val="00734F04"/>
    <w:rsid w:val="00735B8D"/>
    <w:rsid w:val="00736006"/>
    <w:rsid w:val="007361A9"/>
    <w:rsid w:val="0073620C"/>
    <w:rsid w:val="00736327"/>
    <w:rsid w:val="0073728D"/>
    <w:rsid w:val="0073728F"/>
    <w:rsid w:val="007372B6"/>
    <w:rsid w:val="0073730E"/>
    <w:rsid w:val="00737E60"/>
    <w:rsid w:val="00740167"/>
    <w:rsid w:val="007401F3"/>
    <w:rsid w:val="0074050C"/>
    <w:rsid w:val="007409E5"/>
    <w:rsid w:val="00740C5D"/>
    <w:rsid w:val="007414A2"/>
    <w:rsid w:val="007414EB"/>
    <w:rsid w:val="0074176E"/>
    <w:rsid w:val="0074179E"/>
    <w:rsid w:val="00741948"/>
    <w:rsid w:val="00741C54"/>
    <w:rsid w:val="00742232"/>
    <w:rsid w:val="0074295E"/>
    <w:rsid w:val="00742E9E"/>
    <w:rsid w:val="00743185"/>
    <w:rsid w:val="0074348F"/>
    <w:rsid w:val="00743544"/>
    <w:rsid w:val="007438FF"/>
    <w:rsid w:val="00743954"/>
    <w:rsid w:val="0074399D"/>
    <w:rsid w:val="007439D8"/>
    <w:rsid w:val="00743C0C"/>
    <w:rsid w:val="00743DC8"/>
    <w:rsid w:val="00744350"/>
    <w:rsid w:val="00745065"/>
    <w:rsid w:val="00745717"/>
    <w:rsid w:val="007459D5"/>
    <w:rsid w:val="00745DE6"/>
    <w:rsid w:val="0074641E"/>
    <w:rsid w:val="00746B1F"/>
    <w:rsid w:val="00746B82"/>
    <w:rsid w:val="00746CA7"/>
    <w:rsid w:val="0074703F"/>
    <w:rsid w:val="007475CA"/>
    <w:rsid w:val="00747708"/>
    <w:rsid w:val="007477C8"/>
    <w:rsid w:val="00747832"/>
    <w:rsid w:val="00747B30"/>
    <w:rsid w:val="00750484"/>
    <w:rsid w:val="007505BF"/>
    <w:rsid w:val="00750F7F"/>
    <w:rsid w:val="00751063"/>
    <w:rsid w:val="00751353"/>
    <w:rsid w:val="0075160E"/>
    <w:rsid w:val="00751F22"/>
    <w:rsid w:val="007524A7"/>
    <w:rsid w:val="007525E0"/>
    <w:rsid w:val="007526CC"/>
    <w:rsid w:val="007529F2"/>
    <w:rsid w:val="00752BA0"/>
    <w:rsid w:val="00753174"/>
    <w:rsid w:val="0075362E"/>
    <w:rsid w:val="00753D40"/>
    <w:rsid w:val="00753F01"/>
    <w:rsid w:val="00754B6A"/>
    <w:rsid w:val="00755297"/>
    <w:rsid w:val="007554E9"/>
    <w:rsid w:val="00755D1F"/>
    <w:rsid w:val="00756B85"/>
    <w:rsid w:val="00756EF0"/>
    <w:rsid w:val="0075776A"/>
    <w:rsid w:val="0075777A"/>
    <w:rsid w:val="0076003F"/>
    <w:rsid w:val="007602EF"/>
    <w:rsid w:val="00760943"/>
    <w:rsid w:val="00760ABD"/>
    <w:rsid w:val="0076164E"/>
    <w:rsid w:val="00761CCB"/>
    <w:rsid w:val="00761CDB"/>
    <w:rsid w:val="00762029"/>
    <w:rsid w:val="00762072"/>
    <w:rsid w:val="0076221F"/>
    <w:rsid w:val="00762279"/>
    <w:rsid w:val="007628F3"/>
    <w:rsid w:val="00762AE8"/>
    <w:rsid w:val="00762BDD"/>
    <w:rsid w:val="00762C4F"/>
    <w:rsid w:val="00762DAA"/>
    <w:rsid w:val="00762DCA"/>
    <w:rsid w:val="00762E3E"/>
    <w:rsid w:val="007633CB"/>
    <w:rsid w:val="0076375D"/>
    <w:rsid w:val="007639FF"/>
    <w:rsid w:val="00763C27"/>
    <w:rsid w:val="00763EF2"/>
    <w:rsid w:val="007644AE"/>
    <w:rsid w:val="007646B4"/>
    <w:rsid w:val="007648C1"/>
    <w:rsid w:val="007649FC"/>
    <w:rsid w:val="00764D50"/>
    <w:rsid w:val="007656BC"/>
    <w:rsid w:val="007659BF"/>
    <w:rsid w:val="0076741F"/>
    <w:rsid w:val="00767447"/>
    <w:rsid w:val="00767B6D"/>
    <w:rsid w:val="00767F01"/>
    <w:rsid w:val="00770708"/>
    <w:rsid w:val="007707BD"/>
    <w:rsid w:val="0077083B"/>
    <w:rsid w:val="007715E4"/>
    <w:rsid w:val="00771728"/>
    <w:rsid w:val="0077180B"/>
    <w:rsid w:val="00771864"/>
    <w:rsid w:val="00771938"/>
    <w:rsid w:val="00771977"/>
    <w:rsid w:val="00771D24"/>
    <w:rsid w:val="00771E99"/>
    <w:rsid w:val="00771FBF"/>
    <w:rsid w:val="00772143"/>
    <w:rsid w:val="007721CA"/>
    <w:rsid w:val="007724EA"/>
    <w:rsid w:val="00772745"/>
    <w:rsid w:val="00772F1E"/>
    <w:rsid w:val="00773078"/>
    <w:rsid w:val="0077325C"/>
    <w:rsid w:val="0077329D"/>
    <w:rsid w:val="007733E8"/>
    <w:rsid w:val="00773786"/>
    <w:rsid w:val="007738B3"/>
    <w:rsid w:val="00773CCC"/>
    <w:rsid w:val="00774017"/>
    <w:rsid w:val="007746F3"/>
    <w:rsid w:val="0077500E"/>
    <w:rsid w:val="00775856"/>
    <w:rsid w:val="00775932"/>
    <w:rsid w:val="007759D0"/>
    <w:rsid w:val="00775BB2"/>
    <w:rsid w:val="00775EEF"/>
    <w:rsid w:val="00776003"/>
    <w:rsid w:val="007768FE"/>
    <w:rsid w:val="00776E6F"/>
    <w:rsid w:val="00777C50"/>
    <w:rsid w:val="00780587"/>
    <w:rsid w:val="007809A8"/>
    <w:rsid w:val="00780C3C"/>
    <w:rsid w:val="00780C4B"/>
    <w:rsid w:val="007812F2"/>
    <w:rsid w:val="00781555"/>
    <w:rsid w:val="00781B2D"/>
    <w:rsid w:val="007820A5"/>
    <w:rsid w:val="007830D6"/>
    <w:rsid w:val="00784204"/>
    <w:rsid w:val="007843B3"/>
    <w:rsid w:val="007849FA"/>
    <w:rsid w:val="00784F43"/>
    <w:rsid w:val="00785346"/>
    <w:rsid w:val="00785903"/>
    <w:rsid w:val="007859E7"/>
    <w:rsid w:val="00785B13"/>
    <w:rsid w:val="007863B6"/>
    <w:rsid w:val="0078646E"/>
    <w:rsid w:val="0078679C"/>
    <w:rsid w:val="00786862"/>
    <w:rsid w:val="00786F19"/>
    <w:rsid w:val="00786F98"/>
    <w:rsid w:val="0078754A"/>
    <w:rsid w:val="00787903"/>
    <w:rsid w:val="00790AB2"/>
    <w:rsid w:val="00790B81"/>
    <w:rsid w:val="00790DC7"/>
    <w:rsid w:val="00790E19"/>
    <w:rsid w:val="00790F78"/>
    <w:rsid w:val="00791418"/>
    <w:rsid w:val="00791B37"/>
    <w:rsid w:val="00791DDE"/>
    <w:rsid w:val="00792315"/>
    <w:rsid w:val="00792462"/>
    <w:rsid w:val="00792831"/>
    <w:rsid w:val="00792986"/>
    <w:rsid w:val="00792B6B"/>
    <w:rsid w:val="00792EA1"/>
    <w:rsid w:val="00792F8A"/>
    <w:rsid w:val="007932F1"/>
    <w:rsid w:val="007932F5"/>
    <w:rsid w:val="00793CBD"/>
    <w:rsid w:val="007941AB"/>
    <w:rsid w:val="0079432B"/>
    <w:rsid w:val="00794338"/>
    <w:rsid w:val="0079442D"/>
    <w:rsid w:val="0079486D"/>
    <w:rsid w:val="00794A3B"/>
    <w:rsid w:val="00794D27"/>
    <w:rsid w:val="00794E17"/>
    <w:rsid w:val="007951C1"/>
    <w:rsid w:val="00795561"/>
    <w:rsid w:val="007956F4"/>
    <w:rsid w:val="00795743"/>
    <w:rsid w:val="00795757"/>
    <w:rsid w:val="00795B4F"/>
    <w:rsid w:val="00796704"/>
    <w:rsid w:val="00797046"/>
    <w:rsid w:val="007A0150"/>
    <w:rsid w:val="007A0574"/>
    <w:rsid w:val="007A0946"/>
    <w:rsid w:val="007A0CC4"/>
    <w:rsid w:val="007A0D1E"/>
    <w:rsid w:val="007A1132"/>
    <w:rsid w:val="007A173A"/>
    <w:rsid w:val="007A19E7"/>
    <w:rsid w:val="007A1EB8"/>
    <w:rsid w:val="007A1F0F"/>
    <w:rsid w:val="007A22C6"/>
    <w:rsid w:val="007A2471"/>
    <w:rsid w:val="007A2B70"/>
    <w:rsid w:val="007A3354"/>
    <w:rsid w:val="007A3600"/>
    <w:rsid w:val="007A40A4"/>
    <w:rsid w:val="007A44FD"/>
    <w:rsid w:val="007A4C6F"/>
    <w:rsid w:val="007A52C8"/>
    <w:rsid w:val="007A548A"/>
    <w:rsid w:val="007A57FA"/>
    <w:rsid w:val="007A5B03"/>
    <w:rsid w:val="007A630A"/>
    <w:rsid w:val="007A6623"/>
    <w:rsid w:val="007A7029"/>
    <w:rsid w:val="007A73F4"/>
    <w:rsid w:val="007A7568"/>
    <w:rsid w:val="007A7D83"/>
    <w:rsid w:val="007A7D97"/>
    <w:rsid w:val="007A7D9B"/>
    <w:rsid w:val="007B039E"/>
    <w:rsid w:val="007B046D"/>
    <w:rsid w:val="007B0AFB"/>
    <w:rsid w:val="007B0C7E"/>
    <w:rsid w:val="007B14C0"/>
    <w:rsid w:val="007B14EA"/>
    <w:rsid w:val="007B2162"/>
    <w:rsid w:val="007B24A4"/>
    <w:rsid w:val="007B26FD"/>
    <w:rsid w:val="007B30D1"/>
    <w:rsid w:val="007B3378"/>
    <w:rsid w:val="007B33C3"/>
    <w:rsid w:val="007B3CDC"/>
    <w:rsid w:val="007B4156"/>
    <w:rsid w:val="007B41B1"/>
    <w:rsid w:val="007B4585"/>
    <w:rsid w:val="007B4A80"/>
    <w:rsid w:val="007B501F"/>
    <w:rsid w:val="007B5724"/>
    <w:rsid w:val="007B5874"/>
    <w:rsid w:val="007B5A51"/>
    <w:rsid w:val="007B5AF7"/>
    <w:rsid w:val="007B5FE2"/>
    <w:rsid w:val="007B64B8"/>
    <w:rsid w:val="007B6E91"/>
    <w:rsid w:val="007B71BE"/>
    <w:rsid w:val="007B7A70"/>
    <w:rsid w:val="007B7D2D"/>
    <w:rsid w:val="007C02A8"/>
    <w:rsid w:val="007C0AFE"/>
    <w:rsid w:val="007C0C82"/>
    <w:rsid w:val="007C0DDB"/>
    <w:rsid w:val="007C0E2D"/>
    <w:rsid w:val="007C1124"/>
    <w:rsid w:val="007C14AF"/>
    <w:rsid w:val="007C14E7"/>
    <w:rsid w:val="007C17BC"/>
    <w:rsid w:val="007C1A43"/>
    <w:rsid w:val="007C1BF8"/>
    <w:rsid w:val="007C1DAD"/>
    <w:rsid w:val="007C1E1A"/>
    <w:rsid w:val="007C1F76"/>
    <w:rsid w:val="007C1FE8"/>
    <w:rsid w:val="007C200B"/>
    <w:rsid w:val="007C27EB"/>
    <w:rsid w:val="007C291C"/>
    <w:rsid w:val="007C2924"/>
    <w:rsid w:val="007C2A31"/>
    <w:rsid w:val="007C2A6F"/>
    <w:rsid w:val="007C31D8"/>
    <w:rsid w:val="007C32D4"/>
    <w:rsid w:val="007C3719"/>
    <w:rsid w:val="007C39C0"/>
    <w:rsid w:val="007C3D46"/>
    <w:rsid w:val="007C43A6"/>
    <w:rsid w:val="007C46E7"/>
    <w:rsid w:val="007C4878"/>
    <w:rsid w:val="007C49C7"/>
    <w:rsid w:val="007C4DDE"/>
    <w:rsid w:val="007C5006"/>
    <w:rsid w:val="007C592C"/>
    <w:rsid w:val="007C5B6A"/>
    <w:rsid w:val="007C5B7C"/>
    <w:rsid w:val="007C5C22"/>
    <w:rsid w:val="007C5D4E"/>
    <w:rsid w:val="007C5E02"/>
    <w:rsid w:val="007C5E19"/>
    <w:rsid w:val="007C6158"/>
    <w:rsid w:val="007C6335"/>
    <w:rsid w:val="007C6461"/>
    <w:rsid w:val="007C64DC"/>
    <w:rsid w:val="007C6808"/>
    <w:rsid w:val="007C6821"/>
    <w:rsid w:val="007C6C56"/>
    <w:rsid w:val="007C6C9F"/>
    <w:rsid w:val="007C7147"/>
    <w:rsid w:val="007C71C8"/>
    <w:rsid w:val="007C75AB"/>
    <w:rsid w:val="007C7C61"/>
    <w:rsid w:val="007C7D5D"/>
    <w:rsid w:val="007D0411"/>
    <w:rsid w:val="007D088F"/>
    <w:rsid w:val="007D09C0"/>
    <w:rsid w:val="007D124C"/>
    <w:rsid w:val="007D1799"/>
    <w:rsid w:val="007D1D69"/>
    <w:rsid w:val="007D1DEC"/>
    <w:rsid w:val="007D20C5"/>
    <w:rsid w:val="007D23D1"/>
    <w:rsid w:val="007D29F8"/>
    <w:rsid w:val="007D2D0B"/>
    <w:rsid w:val="007D3085"/>
    <w:rsid w:val="007D3501"/>
    <w:rsid w:val="007D353F"/>
    <w:rsid w:val="007D3577"/>
    <w:rsid w:val="007D3CDF"/>
    <w:rsid w:val="007D448E"/>
    <w:rsid w:val="007D4B24"/>
    <w:rsid w:val="007D4C3D"/>
    <w:rsid w:val="007D5239"/>
    <w:rsid w:val="007D55DE"/>
    <w:rsid w:val="007D55F3"/>
    <w:rsid w:val="007D5B77"/>
    <w:rsid w:val="007D5C22"/>
    <w:rsid w:val="007D5D67"/>
    <w:rsid w:val="007D5EE3"/>
    <w:rsid w:val="007D5F51"/>
    <w:rsid w:val="007D5FA4"/>
    <w:rsid w:val="007D610D"/>
    <w:rsid w:val="007D64EA"/>
    <w:rsid w:val="007D69A6"/>
    <w:rsid w:val="007D6F33"/>
    <w:rsid w:val="007D705C"/>
    <w:rsid w:val="007D7650"/>
    <w:rsid w:val="007D7DD0"/>
    <w:rsid w:val="007E0352"/>
    <w:rsid w:val="007E0574"/>
    <w:rsid w:val="007E0E3A"/>
    <w:rsid w:val="007E0E6A"/>
    <w:rsid w:val="007E0EA7"/>
    <w:rsid w:val="007E1664"/>
    <w:rsid w:val="007E191D"/>
    <w:rsid w:val="007E219C"/>
    <w:rsid w:val="007E2A52"/>
    <w:rsid w:val="007E2E01"/>
    <w:rsid w:val="007E308A"/>
    <w:rsid w:val="007E308E"/>
    <w:rsid w:val="007E339E"/>
    <w:rsid w:val="007E393D"/>
    <w:rsid w:val="007E3C26"/>
    <w:rsid w:val="007E3E85"/>
    <w:rsid w:val="007E436A"/>
    <w:rsid w:val="007E4620"/>
    <w:rsid w:val="007E48B8"/>
    <w:rsid w:val="007E4D9A"/>
    <w:rsid w:val="007E527A"/>
    <w:rsid w:val="007E540F"/>
    <w:rsid w:val="007E5626"/>
    <w:rsid w:val="007E5732"/>
    <w:rsid w:val="007E59F1"/>
    <w:rsid w:val="007E5BF7"/>
    <w:rsid w:val="007E6528"/>
    <w:rsid w:val="007E671C"/>
    <w:rsid w:val="007E6820"/>
    <w:rsid w:val="007E707F"/>
    <w:rsid w:val="007E709C"/>
    <w:rsid w:val="007E7179"/>
    <w:rsid w:val="007E7438"/>
    <w:rsid w:val="007E7512"/>
    <w:rsid w:val="007E764B"/>
    <w:rsid w:val="007E7E13"/>
    <w:rsid w:val="007F029B"/>
    <w:rsid w:val="007F0484"/>
    <w:rsid w:val="007F055F"/>
    <w:rsid w:val="007F05B1"/>
    <w:rsid w:val="007F08B0"/>
    <w:rsid w:val="007F08FD"/>
    <w:rsid w:val="007F0B2C"/>
    <w:rsid w:val="007F0BD8"/>
    <w:rsid w:val="007F0DE3"/>
    <w:rsid w:val="007F10E2"/>
    <w:rsid w:val="007F1158"/>
    <w:rsid w:val="007F15A6"/>
    <w:rsid w:val="007F17A8"/>
    <w:rsid w:val="007F1E54"/>
    <w:rsid w:val="007F1EA5"/>
    <w:rsid w:val="007F282E"/>
    <w:rsid w:val="007F2B56"/>
    <w:rsid w:val="007F2E65"/>
    <w:rsid w:val="007F39B3"/>
    <w:rsid w:val="007F3C1C"/>
    <w:rsid w:val="007F3DCD"/>
    <w:rsid w:val="007F3F96"/>
    <w:rsid w:val="007F3FC8"/>
    <w:rsid w:val="007F44D0"/>
    <w:rsid w:val="007F451F"/>
    <w:rsid w:val="007F4781"/>
    <w:rsid w:val="007F4CA3"/>
    <w:rsid w:val="007F5873"/>
    <w:rsid w:val="007F62BA"/>
    <w:rsid w:val="007F67D9"/>
    <w:rsid w:val="007F6C96"/>
    <w:rsid w:val="007F7050"/>
    <w:rsid w:val="007F7A83"/>
    <w:rsid w:val="008003B2"/>
    <w:rsid w:val="00800826"/>
    <w:rsid w:val="00800954"/>
    <w:rsid w:val="00800C08"/>
    <w:rsid w:val="008011C6"/>
    <w:rsid w:val="00801831"/>
    <w:rsid w:val="00801C5E"/>
    <w:rsid w:val="008023E0"/>
    <w:rsid w:val="00802C3B"/>
    <w:rsid w:val="008033F3"/>
    <w:rsid w:val="0080361A"/>
    <w:rsid w:val="00803BE8"/>
    <w:rsid w:val="008047FC"/>
    <w:rsid w:val="00804BF3"/>
    <w:rsid w:val="00804E2B"/>
    <w:rsid w:val="00804FA0"/>
    <w:rsid w:val="0080522C"/>
    <w:rsid w:val="0080531F"/>
    <w:rsid w:val="00805576"/>
    <w:rsid w:val="008055E6"/>
    <w:rsid w:val="00805A27"/>
    <w:rsid w:val="00805F8C"/>
    <w:rsid w:val="00806055"/>
    <w:rsid w:val="00806ADE"/>
    <w:rsid w:val="00806B0D"/>
    <w:rsid w:val="00806DD9"/>
    <w:rsid w:val="00806FF1"/>
    <w:rsid w:val="0080703C"/>
    <w:rsid w:val="00807563"/>
    <w:rsid w:val="00807F84"/>
    <w:rsid w:val="0081003F"/>
    <w:rsid w:val="0081016E"/>
    <w:rsid w:val="008101E8"/>
    <w:rsid w:val="00810246"/>
    <w:rsid w:val="008102B3"/>
    <w:rsid w:val="008102E8"/>
    <w:rsid w:val="0081032F"/>
    <w:rsid w:val="00810A94"/>
    <w:rsid w:val="00810CF9"/>
    <w:rsid w:val="00810F54"/>
    <w:rsid w:val="00811641"/>
    <w:rsid w:val="0081175B"/>
    <w:rsid w:val="00811A22"/>
    <w:rsid w:val="00811DC5"/>
    <w:rsid w:val="00811FE2"/>
    <w:rsid w:val="008123EB"/>
    <w:rsid w:val="00812919"/>
    <w:rsid w:val="00812B59"/>
    <w:rsid w:val="00812C08"/>
    <w:rsid w:val="00812F12"/>
    <w:rsid w:val="00813892"/>
    <w:rsid w:val="00814204"/>
    <w:rsid w:val="008146B9"/>
    <w:rsid w:val="008147AE"/>
    <w:rsid w:val="00814CEE"/>
    <w:rsid w:val="00815179"/>
    <w:rsid w:val="00815581"/>
    <w:rsid w:val="008158BE"/>
    <w:rsid w:val="008158F5"/>
    <w:rsid w:val="00815C78"/>
    <w:rsid w:val="00815CED"/>
    <w:rsid w:val="00815FF3"/>
    <w:rsid w:val="008168DA"/>
    <w:rsid w:val="00816A19"/>
    <w:rsid w:val="0081741C"/>
    <w:rsid w:val="00817970"/>
    <w:rsid w:val="00817FAA"/>
    <w:rsid w:val="008200F8"/>
    <w:rsid w:val="00820153"/>
    <w:rsid w:val="0082019B"/>
    <w:rsid w:val="00820590"/>
    <w:rsid w:val="008205CF"/>
    <w:rsid w:val="0082095D"/>
    <w:rsid w:val="00820D7D"/>
    <w:rsid w:val="00820E3B"/>
    <w:rsid w:val="00820F22"/>
    <w:rsid w:val="0082143C"/>
    <w:rsid w:val="008215C5"/>
    <w:rsid w:val="0082180B"/>
    <w:rsid w:val="00821A2A"/>
    <w:rsid w:val="00821A92"/>
    <w:rsid w:val="00821BB9"/>
    <w:rsid w:val="00821C10"/>
    <w:rsid w:val="008220A1"/>
    <w:rsid w:val="008227C2"/>
    <w:rsid w:val="008231E3"/>
    <w:rsid w:val="0082322C"/>
    <w:rsid w:val="0082338A"/>
    <w:rsid w:val="00823BF5"/>
    <w:rsid w:val="00823C32"/>
    <w:rsid w:val="008241D7"/>
    <w:rsid w:val="00824834"/>
    <w:rsid w:val="0082488F"/>
    <w:rsid w:val="008249EA"/>
    <w:rsid w:val="00824F43"/>
    <w:rsid w:val="00825937"/>
    <w:rsid w:val="00825A53"/>
    <w:rsid w:val="00825BF1"/>
    <w:rsid w:val="008261B8"/>
    <w:rsid w:val="00826214"/>
    <w:rsid w:val="00826359"/>
    <w:rsid w:val="00826384"/>
    <w:rsid w:val="008263F0"/>
    <w:rsid w:val="00826422"/>
    <w:rsid w:val="008267B8"/>
    <w:rsid w:val="008269CF"/>
    <w:rsid w:val="00826CB1"/>
    <w:rsid w:val="00826DE9"/>
    <w:rsid w:val="00826E65"/>
    <w:rsid w:val="00827250"/>
    <w:rsid w:val="00827335"/>
    <w:rsid w:val="00827464"/>
    <w:rsid w:val="00827933"/>
    <w:rsid w:val="0082793B"/>
    <w:rsid w:val="00827A38"/>
    <w:rsid w:val="00827DC3"/>
    <w:rsid w:val="00827F25"/>
    <w:rsid w:val="008301CA"/>
    <w:rsid w:val="00830299"/>
    <w:rsid w:val="00830353"/>
    <w:rsid w:val="008303BA"/>
    <w:rsid w:val="008304F3"/>
    <w:rsid w:val="0083057C"/>
    <w:rsid w:val="0083084F"/>
    <w:rsid w:val="008308B2"/>
    <w:rsid w:val="00830B33"/>
    <w:rsid w:val="00830BD8"/>
    <w:rsid w:val="00830BE8"/>
    <w:rsid w:val="00830CF9"/>
    <w:rsid w:val="00830DA6"/>
    <w:rsid w:val="00830E2F"/>
    <w:rsid w:val="00830FCA"/>
    <w:rsid w:val="008313DD"/>
    <w:rsid w:val="0083187D"/>
    <w:rsid w:val="00831E5E"/>
    <w:rsid w:val="00831F6F"/>
    <w:rsid w:val="00832104"/>
    <w:rsid w:val="00832505"/>
    <w:rsid w:val="008326BD"/>
    <w:rsid w:val="00832AD2"/>
    <w:rsid w:val="00832C51"/>
    <w:rsid w:val="00832C82"/>
    <w:rsid w:val="008332D7"/>
    <w:rsid w:val="00833AB1"/>
    <w:rsid w:val="00833BF6"/>
    <w:rsid w:val="00833BF8"/>
    <w:rsid w:val="00833E20"/>
    <w:rsid w:val="0083439E"/>
    <w:rsid w:val="0083447E"/>
    <w:rsid w:val="008345DE"/>
    <w:rsid w:val="00834845"/>
    <w:rsid w:val="0083487C"/>
    <w:rsid w:val="00834A8D"/>
    <w:rsid w:val="00834B9E"/>
    <w:rsid w:val="00834D0B"/>
    <w:rsid w:val="008350AA"/>
    <w:rsid w:val="008350FE"/>
    <w:rsid w:val="00835120"/>
    <w:rsid w:val="008351CF"/>
    <w:rsid w:val="008351F8"/>
    <w:rsid w:val="008354F5"/>
    <w:rsid w:val="00835DEE"/>
    <w:rsid w:val="00836707"/>
    <w:rsid w:val="00836AF1"/>
    <w:rsid w:val="008373B9"/>
    <w:rsid w:val="008377DE"/>
    <w:rsid w:val="00837A86"/>
    <w:rsid w:val="00837E13"/>
    <w:rsid w:val="00840642"/>
    <w:rsid w:val="00840AE0"/>
    <w:rsid w:val="00840B9E"/>
    <w:rsid w:val="00841055"/>
    <w:rsid w:val="00841342"/>
    <w:rsid w:val="00841A35"/>
    <w:rsid w:val="00841A83"/>
    <w:rsid w:val="00842B05"/>
    <w:rsid w:val="0084315A"/>
    <w:rsid w:val="00843CCD"/>
    <w:rsid w:val="008442AC"/>
    <w:rsid w:val="0084510A"/>
    <w:rsid w:val="008451CA"/>
    <w:rsid w:val="00845693"/>
    <w:rsid w:val="008458F4"/>
    <w:rsid w:val="00845A3C"/>
    <w:rsid w:val="00845BF7"/>
    <w:rsid w:val="00845C88"/>
    <w:rsid w:val="0084609A"/>
    <w:rsid w:val="00846548"/>
    <w:rsid w:val="00846747"/>
    <w:rsid w:val="008467A6"/>
    <w:rsid w:val="008468B8"/>
    <w:rsid w:val="00846FB2"/>
    <w:rsid w:val="00847086"/>
    <w:rsid w:val="008471BB"/>
    <w:rsid w:val="00847648"/>
    <w:rsid w:val="00847BF6"/>
    <w:rsid w:val="00850522"/>
    <w:rsid w:val="0085093A"/>
    <w:rsid w:val="00850C6B"/>
    <w:rsid w:val="00850D8B"/>
    <w:rsid w:val="00850DEB"/>
    <w:rsid w:val="00850E8A"/>
    <w:rsid w:val="00850FE0"/>
    <w:rsid w:val="0085144F"/>
    <w:rsid w:val="00851AA5"/>
    <w:rsid w:val="00851C1D"/>
    <w:rsid w:val="00851DE1"/>
    <w:rsid w:val="00851F4E"/>
    <w:rsid w:val="0085213E"/>
    <w:rsid w:val="00852243"/>
    <w:rsid w:val="008525DC"/>
    <w:rsid w:val="008527DF"/>
    <w:rsid w:val="00852A26"/>
    <w:rsid w:val="00852C4F"/>
    <w:rsid w:val="00852E55"/>
    <w:rsid w:val="00852EA0"/>
    <w:rsid w:val="00853AA9"/>
    <w:rsid w:val="00853F52"/>
    <w:rsid w:val="008545F0"/>
    <w:rsid w:val="008545FF"/>
    <w:rsid w:val="00854F00"/>
    <w:rsid w:val="008557DE"/>
    <w:rsid w:val="00855857"/>
    <w:rsid w:val="00855BB3"/>
    <w:rsid w:val="008572DB"/>
    <w:rsid w:val="008574B4"/>
    <w:rsid w:val="008574F5"/>
    <w:rsid w:val="008577DD"/>
    <w:rsid w:val="00860027"/>
    <w:rsid w:val="00860547"/>
    <w:rsid w:val="0086066B"/>
    <w:rsid w:val="008608A6"/>
    <w:rsid w:val="00860A18"/>
    <w:rsid w:val="008612FA"/>
    <w:rsid w:val="0086153E"/>
    <w:rsid w:val="00861875"/>
    <w:rsid w:val="00861B55"/>
    <w:rsid w:val="00861E94"/>
    <w:rsid w:val="00862110"/>
    <w:rsid w:val="00862210"/>
    <w:rsid w:val="00862AD5"/>
    <w:rsid w:val="00862E16"/>
    <w:rsid w:val="0086330C"/>
    <w:rsid w:val="008633F4"/>
    <w:rsid w:val="00863654"/>
    <w:rsid w:val="00863722"/>
    <w:rsid w:val="00863772"/>
    <w:rsid w:val="00863BCD"/>
    <w:rsid w:val="0086416A"/>
    <w:rsid w:val="0086461B"/>
    <w:rsid w:val="00864D17"/>
    <w:rsid w:val="00864E77"/>
    <w:rsid w:val="008655D5"/>
    <w:rsid w:val="0086578D"/>
    <w:rsid w:val="00865986"/>
    <w:rsid w:val="00865A4E"/>
    <w:rsid w:val="00865B56"/>
    <w:rsid w:val="00865E5F"/>
    <w:rsid w:val="00865F16"/>
    <w:rsid w:val="008663C4"/>
    <w:rsid w:val="00866A9C"/>
    <w:rsid w:val="00866AB7"/>
    <w:rsid w:val="00866AD9"/>
    <w:rsid w:val="00866CFD"/>
    <w:rsid w:val="0086747C"/>
    <w:rsid w:val="0086797F"/>
    <w:rsid w:val="00867D36"/>
    <w:rsid w:val="00867F01"/>
    <w:rsid w:val="0087004A"/>
    <w:rsid w:val="008704DF"/>
    <w:rsid w:val="008704F1"/>
    <w:rsid w:val="008707F3"/>
    <w:rsid w:val="008709EB"/>
    <w:rsid w:val="00870B91"/>
    <w:rsid w:val="00870E07"/>
    <w:rsid w:val="00870E17"/>
    <w:rsid w:val="00870FDD"/>
    <w:rsid w:val="00871174"/>
    <w:rsid w:val="008711DC"/>
    <w:rsid w:val="008713FA"/>
    <w:rsid w:val="0087159B"/>
    <w:rsid w:val="008719AE"/>
    <w:rsid w:val="008727E3"/>
    <w:rsid w:val="00872BD3"/>
    <w:rsid w:val="00872E93"/>
    <w:rsid w:val="00873631"/>
    <w:rsid w:val="00873CDA"/>
    <w:rsid w:val="00873E01"/>
    <w:rsid w:val="00873F62"/>
    <w:rsid w:val="00873F6E"/>
    <w:rsid w:val="0087425B"/>
    <w:rsid w:val="00874290"/>
    <w:rsid w:val="008742F3"/>
    <w:rsid w:val="008746AF"/>
    <w:rsid w:val="00874FE0"/>
    <w:rsid w:val="008750A2"/>
    <w:rsid w:val="00875112"/>
    <w:rsid w:val="008753A0"/>
    <w:rsid w:val="00875A07"/>
    <w:rsid w:val="00875B5F"/>
    <w:rsid w:val="00875EB6"/>
    <w:rsid w:val="00875F68"/>
    <w:rsid w:val="00875F77"/>
    <w:rsid w:val="00875FC6"/>
    <w:rsid w:val="00876649"/>
    <w:rsid w:val="00876868"/>
    <w:rsid w:val="00877BE1"/>
    <w:rsid w:val="00880397"/>
    <w:rsid w:val="008803BE"/>
    <w:rsid w:val="00880684"/>
    <w:rsid w:val="00880EA6"/>
    <w:rsid w:val="00880F49"/>
    <w:rsid w:val="0088174D"/>
    <w:rsid w:val="00881AE7"/>
    <w:rsid w:val="00881BA3"/>
    <w:rsid w:val="00881C7E"/>
    <w:rsid w:val="00882153"/>
    <w:rsid w:val="00882488"/>
    <w:rsid w:val="00882503"/>
    <w:rsid w:val="008825BF"/>
    <w:rsid w:val="00882AF9"/>
    <w:rsid w:val="00883360"/>
    <w:rsid w:val="008834AB"/>
    <w:rsid w:val="00883D18"/>
    <w:rsid w:val="008842EC"/>
    <w:rsid w:val="008849FA"/>
    <w:rsid w:val="00885236"/>
    <w:rsid w:val="0088525A"/>
    <w:rsid w:val="008854FD"/>
    <w:rsid w:val="00885506"/>
    <w:rsid w:val="008855AB"/>
    <w:rsid w:val="00886252"/>
    <w:rsid w:val="0088631C"/>
    <w:rsid w:val="008863AD"/>
    <w:rsid w:val="00886AD7"/>
    <w:rsid w:val="00886BCE"/>
    <w:rsid w:val="00887031"/>
    <w:rsid w:val="008876A8"/>
    <w:rsid w:val="008878A6"/>
    <w:rsid w:val="00887F1A"/>
    <w:rsid w:val="00890142"/>
    <w:rsid w:val="00890374"/>
    <w:rsid w:val="008904D8"/>
    <w:rsid w:val="008906B9"/>
    <w:rsid w:val="008909B3"/>
    <w:rsid w:val="00890DEB"/>
    <w:rsid w:val="00890EB4"/>
    <w:rsid w:val="00890F7E"/>
    <w:rsid w:val="00891295"/>
    <w:rsid w:val="0089134E"/>
    <w:rsid w:val="008915DD"/>
    <w:rsid w:val="00891E25"/>
    <w:rsid w:val="0089208B"/>
    <w:rsid w:val="0089261F"/>
    <w:rsid w:val="0089264A"/>
    <w:rsid w:val="00893223"/>
    <w:rsid w:val="00893508"/>
    <w:rsid w:val="008937BF"/>
    <w:rsid w:val="008939D4"/>
    <w:rsid w:val="00893DC5"/>
    <w:rsid w:val="00893E9D"/>
    <w:rsid w:val="00894C04"/>
    <w:rsid w:val="00894C05"/>
    <w:rsid w:val="0089527D"/>
    <w:rsid w:val="00895B99"/>
    <w:rsid w:val="00896001"/>
    <w:rsid w:val="00896205"/>
    <w:rsid w:val="00896378"/>
    <w:rsid w:val="00896B84"/>
    <w:rsid w:val="00896FE6"/>
    <w:rsid w:val="008A018C"/>
    <w:rsid w:val="008A01BE"/>
    <w:rsid w:val="008A031B"/>
    <w:rsid w:val="008A03E5"/>
    <w:rsid w:val="008A092D"/>
    <w:rsid w:val="008A10D3"/>
    <w:rsid w:val="008A14C0"/>
    <w:rsid w:val="008A16C5"/>
    <w:rsid w:val="008A1727"/>
    <w:rsid w:val="008A2091"/>
    <w:rsid w:val="008A21AC"/>
    <w:rsid w:val="008A2457"/>
    <w:rsid w:val="008A24BB"/>
    <w:rsid w:val="008A29E5"/>
    <w:rsid w:val="008A2D87"/>
    <w:rsid w:val="008A357F"/>
    <w:rsid w:val="008A35C0"/>
    <w:rsid w:val="008A3EC7"/>
    <w:rsid w:val="008A42B5"/>
    <w:rsid w:val="008A42BD"/>
    <w:rsid w:val="008A47AA"/>
    <w:rsid w:val="008A4808"/>
    <w:rsid w:val="008A4835"/>
    <w:rsid w:val="008A4BC0"/>
    <w:rsid w:val="008A524E"/>
    <w:rsid w:val="008A526F"/>
    <w:rsid w:val="008A52C4"/>
    <w:rsid w:val="008A5315"/>
    <w:rsid w:val="008A5702"/>
    <w:rsid w:val="008A5977"/>
    <w:rsid w:val="008A59E9"/>
    <w:rsid w:val="008A5A35"/>
    <w:rsid w:val="008A5C72"/>
    <w:rsid w:val="008A5D33"/>
    <w:rsid w:val="008A5D72"/>
    <w:rsid w:val="008A5DC8"/>
    <w:rsid w:val="008A5EAE"/>
    <w:rsid w:val="008A666F"/>
    <w:rsid w:val="008A6EE5"/>
    <w:rsid w:val="008A6F66"/>
    <w:rsid w:val="008A72F9"/>
    <w:rsid w:val="008A7540"/>
    <w:rsid w:val="008B00E0"/>
    <w:rsid w:val="008B01C6"/>
    <w:rsid w:val="008B0857"/>
    <w:rsid w:val="008B16AD"/>
    <w:rsid w:val="008B177E"/>
    <w:rsid w:val="008B17BC"/>
    <w:rsid w:val="008B1A51"/>
    <w:rsid w:val="008B1E5D"/>
    <w:rsid w:val="008B21AD"/>
    <w:rsid w:val="008B253D"/>
    <w:rsid w:val="008B2587"/>
    <w:rsid w:val="008B2B5A"/>
    <w:rsid w:val="008B2CCA"/>
    <w:rsid w:val="008B2CE6"/>
    <w:rsid w:val="008B30F1"/>
    <w:rsid w:val="008B33B0"/>
    <w:rsid w:val="008B4794"/>
    <w:rsid w:val="008B47F5"/>
    <w:rsid w:val="008B491F"/>
    <w:rsid w:val="008B4F0E"/>
    <w:rsid w:val="008B508A"/>
    <w:rsid w:val="008B5185"/>
    <w:rsid w:val="008B51DA"/>
    <w:rsid w:val="008B5827"/>
    <w:rsid w:val="008B5EF9"/>
    <w:rsid w:val="008B6027"/>
    <w:rsid w:val="008B625A"/>
    <w:rsid w:val="008B6464"/>
    <w:rsid w:val="008B64F2"/>
    <w:rsid w:val="008B6A81"/>
    <w:rsid w:val="008B7256"/>
    <w:rsid w:val="008B77A6"/>
    <w:rsid w:val="008B78CD"/>
    <w:rsid w:val="008B790E"/>
    <w:rsid w:val="008B7B12"/>
    <w:rsid w:val="008B7C94"/>
    <w:rsid w:val="008B7D8A"/>
    <w:rsid w:val="008C00C5"/>
    <w:rsid w:val="008C04A9"/>
    <w:rsid w:val="008C0C24"/>
    <w:rsid w:val="008C1990"/>
    <w:rsid w:val="008C19E6"/>
    <w:rsid w:val="008C21BE"/>
    <w:rsid w:val="008C28BE"/>
    <w:rsid w:val="008C293F"/>
    <w:rsid w:val="008C2BE0"/>
    <w:rsid w:val="008C2DF4"/>
    <w:rsid w:val="008C2F59"/>
    <w:rsid w:val="008C350F"/>
    <w:rsid w:val="008C358E"/>
    <w:rsid w:val="008C3B81"/>
    <w:rsid w:val="008C4035"/>
    <w:rsid w:val="008C40D3"/>
    <w:rsid w:val="008C50F9"/>
    <w:rsid w:val="008C50FA"/>
    <w:rsid w:val="008C5183"/>
    <w:rsid w:val="008C5301"/>
    <w:rsid w:val="008C54A6"/>
    <w:rsid w:val="008C6122"/>
    <w:rsid w:val="008C61B8"/>
    <w:rsid w:val="008C61BF"/>
    <w:rsid w:val="008C6BE7"/>
    <w:rsid w:val="008C6DC2"/>
    <w:rsid w:val="008C6F14"/>
    <w:rsid w:val="008C6F7B"/>
    <w:rsid w:val="008C7125"/>
    <w:rsid w:val="008C7353"/>
    <w:rsid w:val="008C78B6"/>
    <w:rsid w:val="008C7BFB"/>
    <w:rsid w:val="008C7C71"/>
    <w:rsid w:val="008C7DE8"/>
    <w:rsid w:val="008D0291"/>
    <w:rsid w:val="008D0608"/>
    <w:rsid w:val="008D087D"/>
    <w:rsid w:val="008D09F2"/>
    <w:rsid w:val="008D0FB9"/>
    <w:rsid w:val="008D1239"/>
    <w:rsid w:val="008D16F7"/>
    <w:rsid w:val="008D19E2"/>
    <w:rsid w:val="008D1A94"/>
    <w:rsid w:val="008D1AFE"/>
    <w:rsid w:val="008D2345"/>
    <w:rsid w:val="008D34E5"/>
    <w:rsid w:val="008D492D"/>
    <w:rsid w:val="008D4F55"/>
    <w:rsid w:val="008D51A1"/>
    <w:rsid w:val="008D5553"/>
    <w:rsid w:val="008D5714"/>
    <w:rsid w:val="008D5B41"/>
    <w:rsid w:val="008D5CAC"/>
    <w:rsid w:val="008D6CAA"/>
    <w:rsid w:val="008D7146"/>
    <w:rsid w:val="008D71EE"/>
    <w:rsid w:val="008D72D7"/>
    <w:rsid w:val="008D78E8"/>
    <w:rsid w:val="008E020B"/>
    <w:rsid w:val="008E0FE4"/>
    <w:rsid w:val="008E1742"/>
    <w:rsid w:val="008E19DA"/>
    <w:rsid w:val="008E19EE"/>
    <w:rsid w:val="008E1A8C"/>
    <w:rsid w:val="008E1FEB"/>
    <w:rsid w:val="008E29E6"/>
    <w:rsid w:val="008E2E25"/>
    <w:rsid w:val="008E3007"/>
    <w:rsid w:val="008E3AF4"/>
    <w:rsid w:val="008E3D07"/>
    <w:rsid w:val="008E3E79"/>
    <w:rsid w:val="008E3F61"/>
    <w:rsid w:val="008E47B0"/>
    <w:rsid w:val="008E4BC8"/>
    <w:rsid w:val="008E4CEF"/>
    <w:rsid w:val="008E505D"/>
    <w:rsid w:val="008E53B8"/>
    <w:rsid w:val="008E5BAC"/>
    <w:rsid w:val="008E5CCA"/>
    <w:rsid w:val="008E64B6"/>
    <w:rsid w:val="008E66FD"/>
    <w:rsid w:val="008E67FC"/>
    <w:rsid w:val="008E6D5E"/>
    <w:rsid w:val="008E6F77"/>
    <w:rsid w:val="008E7275"/>
    <w:rsid w:val="008E7466"/>
    <w:rsid w:val="008E75D5"/>
    <w:rsid w:val="008F01D0"/>
    <w:rsid w:val="008F025A"/>
    <w:rsid w:val="008F0278"/>
    <w:rsid w:val="008F05BB"/>
    <w:rsid w:val="008F1011"/>
    <w:rsid w:val="008F1310"/>
    <w:rsid w:val="008F1E15"/>
    <w:rsid w:val="008F1E19"/>
    <w:rsid w:val="008F29EA"/>
    <w:rsid w:val="008F2A49"/>
    <w:rsid w:val="008F2B70"/>
    <w:rsid w:val="008F2DDE"/>
    <w:rsid w:val="008F30BB"/>
    <w:rsid w:val="008F321C"/>
    <w:rsid w:val="008F3673"/>
    <w:rsid w:val="008F39D3"/>
    <w:rsid w:val="008F3ED7"/>
    <w:rsid w:val="008F4026"/>
    <w:rsid w:val="008F4077"/>
    <w:rsid w:val="008F410E"/>
    <w:rsid w:val="008F4612"/>
    <w:rsid w:val="008F46AA"/>
    <w:rsid w:val="008F4BB7"/>
    <w:rsid w:val="008F5472"/>
    <w:rsid w:val="008F57C9"/>
    <w:rsid w:val="008F59ED"/>
    <w:rsid w:val="008F5B4C"/>
    <w:rsid w:val="008F5C4D"/>
    <w:rsid w:val="008F6266"/>
    <w:rsid w:val="008F642A"/>
    <w:rsid w:val="008F66E1"/>
    <w:rsid w:val="008F6812"/>
    <w:rsid w:val="008F69A9"/>
    <w:rsid w:val="008F6BD0"/>
    <w:rsid w:val="008F6C1A"/>
    <w:rsid w:val="008F6C50"/>
    <w:rsid w:val="008F6C90"/>
    <w:rsid w:val="008F735E"/>
    <w:rsid w:val="008F7565"/>
    <w:rsid w:val="008F79E0"/>
    <w:rsid w:val="008F7A9B"/>
    <w:rsid w:val="008F7E01"/>
    <w:rsid w:val="008F7FC2"/>
    <w:rsid w:val="0090039E"/>
    <w:rsid w:val="00900417"/>
    <w:rsid w:val="00900AC9"/>
    <w:rsid w:val="00900B20"/>
    <w:rsid w:val="00900EC5"/>
    <w:rsid w:val="009014C4"/>
    <w:rsid w:val="0090182E"/>
    <w:rsid w:val="00901898"/>
    <w:rsid w:val="0090250F"/>
    <w:rsid w:val="00902678"/>
    <w:rsid w:val="009026EF"/>
    <w:rsid w:val="00902B82"/>
    <w:rsid w:val="00902F5C"/>
    <w:rsid w:val="0090312F"/>
    <w:rsid w:val="0090344E"/>
    <w:rsid w:val="009040E4"/>
    <w:rsid w:val="00904122"/>
    <w:rsid w:val="009043C8"/>
    <w:rsid w:val="00904424"/>
    <w:rsid w:val="009045C8"/>
    <w:rsid w:val="00904942"/>
    <w:rsid w:val="009049A1"/>
    <w:rsid w:val="00904A29"/>
    <w:rsid w:val="00904A79"/>
    <w:rsid w:val="00905049"/>
    <w:rsid w:val="0090580D"/>
    <w:rsid w:val="009058CB"/>
    <w:rsid w:val="009059D0"/>
    <w:rsid w:val="00905B5A"/>
    <w:rsid w:val="00905B8A"/>
    <w:rsid w:val="00905F6E"/>
    <w:rsid w:val="00906374"/>
    <w:rsid w:val="00906470"/>
    <w:rsid w:val="0090677F"/>
    <w:rsid w:val="00907189"/>
    <w:rsid w:val="00907754"/>
    <w:rsid w:val="009078F7"/>
    <w:rsid w:val="00907B91"/>
    <w:rsid w:val="00910F3B"/>
    <w:rsid w:val="00910F8A"/>
    <w:rsid w:val="009110ED"/>
    <w:rsid w:val="00911A97"/>
    <w:rsid w:val="00911AC3"/>
    <w:rsid w:val="00911B08"/>
    <w:rsid w:val="00911C16"/>
    <w:rsid w:val="00912A77"/>
    <w:rsid w:val="00912ECC"/>
    <w:rsid w:val="009131A0"/>
    <w:rsid w:val="009134AD"/>
    <w:rsid w:val="009134E1"/>
    <w:rsid w:val="0091360F"/>
    <w:rsid w:val="00913B41"/>
    <w:rsid w:val="009140E6"/>
    <w:rsid w:val="0091434C"/>
    <w:rsid w:val="00914411"/>
    <w:rsid w:val="009147A5"/>
    <w:rsid w:val="00914E4A"/>
    <w:rsid w:val="00914F05"/>
    <w:rsid w:val="0091518F"/>
    <w:rsid w:val="009154FF"/>
    <w:rsid w:val="00915ED1"/>
    <w:rsid w:val="009164B4"/>
    <w:rsid w:val="00916D40"/>
    <w:rsid w:val="00916D9C"/>
    <w:rsid w:val="0091717A"/>
    <w:rsid w:val="009171F5"/>
    <w:rsid w:val="0091772F"/>
    <w:rsid w:val="0092010D"/>
    <w:rsid w:val="009207A5"/>
    <w:rsid w:val="009208FA"/>
    <w:rsid w:val="00920D84"/>
    <w:rsid w:val="0092105B"/>
    <w:rsid w:val="009218CC"/>
    <w:rsid w:val="00921D38"/>
    <w:rsid w:val="0092202E"/>
    <w:rsid w:val="00922035"/>
    <w:rsid w:val="00922291"/>
    <w:rsid w:val="0092295D"/>
    <w:rsid w:val="00922971"/>
    <w:rsid w:val="00922E0B"/>
    <w:rsid w:val="00922F80"/>
    <w:rsid w:val="0092426B"/>
    <w:rsid w:val="00924538"/>
    <w:rsid w:val="0092490D"/>
    <w:rsid w:val="00925497"/>
    <w:rsid w:val="00925A24"/>
    <w:rsid w:val="00925C47"/>
    <w:rsid w:val="00925DC5"/>
    <w:rsid w:val="00925FF8"/>
    <w:rsid w:val="00926161"/>
    <w:rsid w:val="00926385"/>
    <w:rsid w:val="009266B3"/>
    <w:rsid w:val="00926A7A"/>
    <w:rsid w:val="00926DAC"/>
    <w:rsid w:val="009271E5"/>
    <w:rsid w:val="009273AB"/>
    <w:rsid w:val="009274EE"/>
    <w:rsid w:val="00927964"/>
    <w:rsid w:val="00927C51"/>
    <w:rsid w:val="00930586"/>
    <w:rsid w:val="00930CB1"/>
    <w:rsid w:val="00930D70"/>
    <w:rsid w:val="00931368"/>
    <w:rsid w:val="0093138E"/>
    <w:rsid w:val="00931551"/>
    <w:rsid w:val="009315AB"/>
    <w:rsid w:val="009323F6"/>
    <w:rsid w:val="0093263C"/>
    <w:rsid w:val="00932803"/>
    <w:rsid w:val="00932F1F"/>
    <w:rsid w:val="00932F97"/>
    <w:rsid w:val="0093307B"/>
    <w:rsid w:val="009332C4"/>
    <w:rsid w:val="00934810"/>
    <w:rsid w:val="00934AEB"/>
    <w:rsid w:val="00934E90"/>
    <w:rsid w:val="009351A1"/>
    <w:rsid w:val="00935328"/>
    <w:rsid w:val="00935421"/>
    <w:rsid w:val="00935CC9"/>
    <w:rsid w:val="00935EF9"/>
    <w:rsid w:val="00936305"/>
    <w:rsid w:val="009376A6"/>
    <w:rsid w:val="00937D3E"/>
    <w:rsid w:val="00937EF6"/>
    <w:rsid w:val="0094025B"/>
    <w:rsid w:val="009402D0"/>
    <w:rsid w:val="009408AB"/>
    <w:rsid w:val="00940E8B"/>
    <w:rsid w:val="00941550"/>
    <w:rsid w:val="00941669"/>
    <w:rsid w:val="009416C3"/>
    <w:rsid w:val="00941BFE"/>
    <w:rsid w:val="00941E34"/>
    <w:rsid w:val="009429E7"/>
    <w:rsid w:val="00942B32"/>
    <w:rsid w:val="00942B69"/>
    <w:rsid w:val="00942B88"/>
    <w:rsid w:val="00942C0D"/>
    <w:rsid w:val="00942F03"/>
    <w:rsid w:val="0094317E"/>
    <w:rsid w:val="009433F7"/>
    <w:rsid w:val="00943646"/>
    <w:rsid w:val="009437ED"/>
    <w:rsid w:val="00943B49"/>
    <w:rsid w:val="00943C01"/>
    <w:rsid w:val="00944138"/>
    <w:rsid w:val="0094454F"/>
    <w:rsid w:val="00944595"/>
    <w:rsid w:val="00944BB4"/>
    <w:rsid w:val="00944E50"/>
    <w:rsid w:val="00944E85"/>
    <w:rsid w:val="0094530A"/>
    <w:rsid w:val="0094550C"/>
    <w:rsid w:val="009457DF"/>
    <w:rsid w:val="00945A83"/>
    <w:rsid w:val="00945E6C"/>
    <w:rsid w:val="009460DF"/>
    <w:rsid w:val="0094654A"/>
    <w:rsid w:val="009466ED"/>
    <w:rsid w:val="0094747B"/>
    <w:rsid w:val="00947790"/>
    <w:rsid w:val="00947878"/>
    <w:rsid w:val="00947A2B"/>
    <w:rsid w:val="00947B2C"/>
    <w:rsid w:val="00947BAC"/>
    <w:rsid w:val="00947CB6"/>
    <w:rsid w:val="00947D48"/>
    <w:rsid w:val="00947DFF"/>
    <w:rsid w:val="00947E33"/>
    <w:rsid w:val="00950064"/>
    <w:rsid w:val="00950067"/>
    <w:rsid w:val="009500CF"/>
    <w:rsid w:val="009500EB"/>
    <w:rsid w:val="0095041C"/>
    <w:rsid w:val="009505B9"/>
    <w:rsid w:val="0095095D"/>
    <w:rsid w:val="00950CEC"/>
    <w:rsid w:val="00951032"/>
    <w:rsid w:val="009511DF"/>
    <w:rsid w:val="009511E7"/>
    <w:rsid w:val="00951A47"/>
    <w:rsid w:val="00951B83"/>
    <w:rsid w:val="0095238E"/>
    <w:rsid w:val="00952735"/>
    <w:rsid w:val="0095277E"/>
    <w:rsid w:val="009529D2"/>
    <w:rsid w:val="00952C6A"/>
    <w:rsid w:val="00952CDF"/>
    <w:rsid w:val="0095326B"/>
    <w:rsid w:val="009533E4"/>
    <w:rsid w:val="00953436"/>
    <w:rsid w:val="0095359B"/>
    <w:rsid w:val="0095363D"/>
    <w:rsid w:val="0095376A"/>
    <w:rsid w:val="00954B72"/>
    <w:rsid w:val="00954DCE"/>
    <w:rsid w:val="00955121"/>
    <w:rsid w:val="0095630E"/>
    <w:rsid w:val="009564FC"/>
    <w:rsid w:val="00956DC3"/>
    <w:rsid w:val="0095708D"/>
    <w:rsid w:val="00957210"/>
    <w:rsid w:val="00957385"/>
    <w:rsid w:val="00957409"/>
    <w:rsid w:val="00957A5F"/>
    <w:rsid w:val="009602A3"/>
    <w:rsid w:val="009602CA"/>
    <w:rsid w:val="00960519"/>
    <w:rsid w:val="00960579"/>
    <w:rsid w:val="009605D3"/>
    <w:rsid w:val="00960784"/>
    <w:rsid w:val="0096125A"/>
    <w:rsid w:val="00962033"/>
    <w:rsid w:val="009620BB"/>
    <w:rsid w:val="0096274F"/>
    <w:rsid w:val="009628D6"/>
    <w:rsid w:val="00962D59"/>
    <w:rsid w:val="00962E87"/>
    <w:rsid w:val="00963199"/>
    <w:rsid w:val="009632BB"/>
    <w:rsid w:val="00963F8F"/>
    <w:rsid w:val="009640CA"/>
    <w:rsid w:val="00964328"/>
    <w:rsid w:val="00964439"/>
    <w:rsid w:val="0096448D"/>
    <w:rsid w:val="009645CA"/>
    <w:rsid w:val="0096483A"/>
    <w:rsid w:val="00965353"/>
    <w:rsid w:val="00965477"/>
    <w:rsid w:val="0096570C"/>
    <w:rsid w:val="0096570F"/>
    <w:rsid w:val="0096583E"/>
    <w:rsid w:val="00965D66"/>
    <w:rsid w:val="00966093"/>
    <w:rsid w:val="0096640E"/>
    <w:rsid w:val="00966CC5"/>
    <w:rsid w:val="00967222"/>
    <w:rsid w:val="009673E1"/>
    <w:rsid w:val="00967444"/>
    <w:rsid w:val="0096774A"/>
    <w:rsid w:val="00967A44"/>
    <w:rsid w:val="009704C8"/>
    <w:rsid w:val="0097050E"/>
    <w:rsid w:val="00970606"/>
    <w:rsid w:val="0097095F"/>
    <w:rsid w:val="0097096E"/>
    <w:rsid w:val="00970FE9"/>
    <w:rsid w:val="00971117"/>
    <w:rsid w:val="00971290"/>
    <w:rsid w:val="009718AC"/>
    <w:rsid w:val="00971C4C"/>
    <w:rsid w:val="00972088"/>
    <w:rsid w:val="0097298C"/>
    <w:rsid w:val="00972D48"/>
    <w:rsid w:val="0097344D"/>
    <w:rsid w:val="009734A2"/>
    <w:rsid w:val="00974969"/>
    <w:rsid w:val="00974C1F"/>
    <w:rsid w:val="00974C81"/>
    <w:rsid w:val="0097501A"/>
    <w:rsid w:val="00975BB2"/>
    <w:rsid w:val="0097633E"/>
    <w:rsid w:val="009764BE"/>
    <w:rsid w:val="0097683B"/>
    <w:rsid w:val="00976C45"/>
    <w:rsid w:val="009774C6"/>
    <w:rsid w:val="009777FE"/>
    <w:rsid w:val="009779E5"/>
    <w:rsid w:val="00977B93"/>
    <w:rsid w:val="00977DDE"/>
    <w:rsid w:val="00977EA4"/>
    <w:rsid w:val="00977F5B"/>
    <w:rsid w:val="00980042"/>
    <w:rsid w:val="009803E8"/>
    <w:rsid w:val="00980D6F"/>
    <w:rsid w:val="009815A9"/>
    <w:rsid w:val="00981853"/>
    <w:rsid w:val="00981CB9"/>
    <w:rsid w:val="00981EDF"/>
    <w:rsid w:val="00982673"/>
    <w:rsid w:val="00982A67"/>
    <w:rsid w:val="0098314A"/>
    <w:rsid w:val="0098333B"/>
    <w:rsid w:val="00983914"/>
    <w:rsid w:val="00983CC4"/>
    <w:rsid w:val="00984375"/>
    <w:rsid w:val="009843F5"/>
    <w:rsid w:val="009845CA"/>
    <w:rsid w:val="00984816"/>
    <w:rsid w:val="0098531D"/>
    <w:rsid w:val="00985873"/>
    <w:rsid w:val="00986066"/>
    <w:rsid w:val="009860AB"/>
    <w:rsid w:val="00986A14"/>
    <w:rsid w:val="00986C13"/>
    <w:rsid w:val="00987378"/>
    <w:rsid w:val="0098772E"/>
    <w:rsid w:val="00987AF7"/>
    <w:rsid w:val="009902DA"/>
    <w:rsid w:val="00990519"/>
    <w:rsid w:val="009906F1"/>
    <w:rsid w:val="00990C8C"/>
    <w:rsid w:val="00990E72"/>
    <w:rsid w:val="0099125F"/>
    <w:rsid w:val="00991455"/>
    <w:rsid w:val="00991501"/>
    <w:rsid w:val="009920F2"/>
    <w:rsid w:val="00992106"/>
    <w:rsid w:val="0099249B"/>
    <w:rsid w:val="00992622"/>
    <w:rsid w:val="00992920"/>
    <w:rsid w:val="0099293D"/>
    <w:rsid w:val="00992C6D"/>
    <w:rsid w:val="009938C6"/>
    <w:rsid w:val="0099405A"/>
    <w:rsid w:val="00994599"/>
    <w:rsid w:val="009945EC"/>
    <w:rsid w:val="009948D4"/>
    <w:rsid w:val="0099557E"/>
    <w:rsid w:val="0099559C"/>
    <w:rsid w:val="00995B89"/>
    <w:rsid w:val="00995BE7"/>
    <w:rsid w:val="00995DE7"/>
    <w:rsid w:val="0099612F"/>
    <w:rsid w:val="009963D8"/>
    <w:rsid w:val="009964E7"/>
    <w:rsid w:val="00996702"/>
    <w:rsid w:val="00996771"/>
    <w:rsid w:val="0099693F"/>
    <w:rsid w:val="00996CAC"/>
    <w:rsid w:val="009974E0"/>
    <w:rsid w:val="00997971"/>
    <w:rsid w:val="00997A4C"/>
    <w:rsid w:val="00997AC2"/>
    <w:rsid w:val="00997AEF"/>
    <w:rsid w:val="00997CA5"/>
    <w:rsid w:val="00997CD1"/>
    <w:rsid w:val="00997EF0"/>
    <w:rsid w:val="009A056D"/>
    <w:rsid w:val="009A06E0"/>
    <w:rsid w:val="009A0CA2"/>
    <w:rsid w:val="009A126D"/>
    <w:rsid w:val="009A18A1"/>
    <w:rsid w:val="009A19F8"/>
    <w:rsid w:val="009A1A91"/>
    <w:rsid w:val="009A21A4"/>
    <w:rsid w:val="009A22D3"/>
    <w:rsid w:val="009A26DA"/>
    <w:rsid w:val="009A280A"/>
    <w:rsid w:val="009A2AA7"/>
    <w:rsid w:val="009A2CE3"/>
    <w:rsid w:val="009A30C5"/>
    <w:rsid w:val="009A3261"/>
    <w:rsid w:val="009A3806"/>
    <w:rsid w:val="009A3F5E"/>
    <w:rsid w:val="009A4604"/>
    <w:rsid w:val="009A46A0"/>
    <w:rsid w:val="009A48A9"/>
    <w:rsid w:val="009A4D22"/>
    <w:rsid w:val="009A4D8A"/>
    <w:rsid w:val="009A5037"/>
    <w:rsid w:val="009A561D"/>
    <w:rsid w:val="009A5729"/>
    <w:rsid w:val="009A5A80"/>
    <w:rsid w:val="009A5A96"/>
    <w:rsid w:val="009A5D07"/>
    <w:rsid w:val="009A6C97"/>
    <w:rsid w:val="009A6E79"/>
    <w:rsid w:val="009A7875"/>
    <w:rsid w:val="009A7883"/>
    <w:rsid w:val="009B0046"/>
    <w:rsid w:val="009B0225"/>
    <w:rsid w:val="009B02E7"/>
    <w:rsid w:val="009B0478"/>
    <w:rsid w:val="009B05CC"/>
    <w:rsid w:val="009B08B9"/>
    <w:rsid w:val="009B08F8"/>
    <w:rsid w:val="009B0B76"/>
    <w:rsid w:val="009B1EDF"/>
    <w:rsid w:val="009B223C"/>
    <w:rsid w:val="009B2297"/>
    <w:rsid w:val="009B234A"/>
    <w:rsid w:val="009B23B7"/>
    <w:rsid w:val="009B265F"/>
    <w:rsid w:val="009B4591"/>
    <w:rsid w:val="009B4644"/>
    <w:rsid w:val="009B479B"/>
    <w:rsid w:val="009B4B7C"/>
    <w:rsid w:val="009B4EF2"/>
    <w:rsid w:val="009B5088"/>
    <w:rsid w:val="009B50D2"/>
    <w:rsid w:val="009B51B7"/>
    <w:rsid w:val="009B5E21"/>
    <w:rsid w:val="009B61DF"/>
    <w:rsid w:val="009B6377"/>
    <w:rsid w:val="009B63C1"/>
    <w:rsid w:val="009B64F5"/>
    <w:rsid w:val="009B6971"/>
    <w:rsid w:val="009B7059"/>
    <w:rsid w:val="009B79AC"/>
    <w:rsid w:val="009B7B07"/>
    <w:rsid w:val="009B7FC9"/>
    <w:rsid w:val="009C00C7"/>
    <w:rsid w:val="009C019E"/>
    <w:rsid w:val="009C0764"/>
    <w:rsid w:val="009C0806"/>
    <w:rsid w:val="009C0B05"/>
    <w:rsid w:val="009C0FC2"/>
    <w:rsid w:val="009C1366"/>
    <w:rsid w:val="009C13F1"/>
    <w:rsid w:val="009C17B2"/>
    <w:rsid w:val="009C2261"/>
    <w:rsid w:val="009C245B"/>
    <w:rsid w:val="009C269B"/>
    <w:rsid w:val="009C2771"/>
    <w:rsid w:val="009C29E9"/>
    <w:rsid w:val="009C2D3A"/>
    <w:rsid w:val="009C2DEA"/>
    <w:rsid w:val="009C30CE"/>
    <w:rsid w:val="009C40BB"/>
    <w:rsid w:val="009C4767"/>
    <w:rsid w:val="009C4AF8"/>
    <w:rsid w:val="009C5182"/>
    <w:rsid w:val="009C58F2"/>
    <w:rsid w:val="009C5A4E"/>
    <w:rsid w:val="009C5BF8"/>
    <w:rsid w:val="009C5D66"/>
    <w:rsid w:val="009C6A73"/>
    <w:rsid w:val="009C6B85"/>
    <w:rsid w:val="009C700C"/>
    <w:rsid w:val="009C7251"/>
    <w:rsid w:val="009C75F2"/>
    <w:rsid w:val="009C76B4"/>
    <w:rsid w:val="009C7C6D"/>
    <w:rsid w:val="009D004D"/>
    <w:rsid w:val="009D0BB2"/>
    <w:rsid w:val="009D0D5E"/>
    <w:rsid w:val="009D0E97"/>
    <w:rsid w:val="009D0FB2"/>
    <w:rsid w:val="009D11F0"/>
    <w:rsid w:val="009D13D7"/>
    <w:rsid w:val="009D15A2"/>
    <w:rsid w:val="009D1AF2"/>
    <w:rsid w:val="009D1BBA"/>
    <w:rsid w:val="009D270F"/>
    <w:rsid w:val="009D324D"/>
    <w:rsid w:val="009D32B0"/>
    <w:rsid w:val="009D332D"/>
    <w:rsid w:val="009D39B3"/>
    <w:rsid w:val="009D3A25"/>
    <w:rsid w:val="009D3A93"/>
    <w:rsid w:val="009D426A"/>
    <w:rsid w:val="009D435F"/>
    <w:rsid w:val="009D43DF"/>
    <w:rsid w:val="009D4989"/>
    <w:rsid w:val="009D4B75"/>
    <w:rsid w:val="009D4D6C"/>
    <w:rsid w:val="009D4E94"/>
    <w:rsid w:val="009D56B2"/>
    <w:rsid w:val="009D58F2"/>
    <w:rsid w:val="009D6131"/>
    <w:rsid w:val="009D62B7"/>
    <w:rsid w:val="009D661F"/>
    <w:rsid w:val="009D6814"/>
    <w:rsid w:val="009D6AAF"/>
    <w:rsid w:val="009D6CBB"/>
    <w:rsid w:val="009D73E4"/>
    <w:rsid w:val="009D7402"/>
    <w:rsid w:val="009D7E2C"/>
    <w:rsid w:val="009D7F14"/>
    <w:rsid w:val="009E0573"/>
    <w:rsid w:val="009E0830"/>
    <w:rsid w:val="009E0C56"/>
    <w:rsid w:val="009E0CAD"/>
    <w:rsid w:val="009E0D7D"/>
    <w:rsid w:val="009E106F"/>
    <w:rsid w:val="009E1119"/>
    <w:rsid w:val="009E1763"/>
    <w:rsid w:val="009E17AC"/>
    <w:rsid w:val="009E1B93"/>
    <w:rsid w:val="009E20FA"/>
    <w:rsid w:val="009E24B5"/>
    <w:rsid w:val="009E2815"/>
    <w:rsid w:val="009E295A"/>
    <w:rsid w:val="009E2D01"/>
    <w:rsid w:val="009E2FB2"/>
    <w:rsid w:val="009E3EAE"/>
    <w:rsid w:val="009E41FD"/>
    <w:rsid w:val="009E4456"/>
    <w:rsid w:val="009E4958"/>
    <w:rsid w:val="009E4B88"/>
    <w:rsid w:val="009E555F"/>
    <w:rsid w:val="009E576A"/>
    <w:rsid w:val="009E6203"/>
    <w:rsid w:val="009E758E"/>
    <w:rsid w:val="009E7F80"/>
    <w:rsid w:val="009F09F5"/>
    <w:rsid w:val="009F0B9C"/>
    <w:rsid w:val="009F0E75"/>
    <w:rsid w:val="009F1180"/>
    <w:rsid w:val="009F2417"/>
    <w:rsid w:val="009F28B6"/>
    <w:rsid w:val="009F2B86"/>
    <w:rsid w:val="009F3678"/>
    <w:rsid w:val="009F36D9"/>
    <w:rsid w:val="009F3B73"/>
    <w:rsid w:val="009F3C6E"/>
    <w:rsid w:val="009F3EE3"/>
    <w:rsid w:val="009F4159"/>
    <w:rsid w:val="009F45DD"/>
    <w:rsid w:val="009F49DB"/>
    <w:rsid w:val="009F4C57"/>
    <w:rsid w:val="009F567E"/>
    <w:rsid w:val="009F5A23"/>
    <w:rsid w:val="009F5B0F"/>
    <w:rsid w:val="009F64F8"/>
    <w:rsid w:val="009F6E64"/>
    <w:rsid w:val="009F72A7"/>
    <w:rsid w:val="009F7358"/>
    <w:rsid w:val="009F74A1"/>
    <w:rsid w:val="009F7935"/>
    <w:rsid w:val="009F7BF8"/>
    <w:rsid w:val="00A006D8"/>
    <w:rsid w:val="00A007CB"/>
    <w:rsid w:val="00A01363"/>
    <w:rsid w:val="00A01845"/>
    <w:rsid w:val="00A018C6"/>
    <w:rsid w:val="00A0191E"/>
    <w:rsid w:val="00A01ACE"/>
    <w:rsid w:val="00A01EC7"/>
    <w:rsid w:val="00A02454"/>
    <w:rsid w:val="00A02515"/>
    <w:rsid w:val="00A0292C"/>
    <w:rsid w:val="00A02B94"/>
    <w:rsid w:val="00A02BA4"/>
    <w:rsid w:val="00A02D62"/>
    <w:rsid w:val="00A0300B"/>
    <w:rsid w:val="00A03103"/>
    <w:rsid w:val="00A0315E"/>
    <w:rsid w:val="00A03BC6"/>
    <w:rsid w:val="00A03FA4"/>
    <w:rsid w:val="00A0536D"/>
    <w:rsid w:val="00A0536F"/>
    <w:rsid w:val="00A055EC"/>
    <w:rsid w:val="00A05986"/>
    <w:rsid w:val="00A05B8D"/>
    <w:rsid w:val="00A05E2A"/>
    <w:rsid w:val="00A060F5"/>
    <w:rsid w:val="00A0624C"/>
    <w:rsid w:val="00A068A4"/>
    <w:rsid w:val="00A06B83"/>
    <w:rsid w:val="00A06F2D"/>
    <w:rsid w:val="00A070E1"/>
    <w:rsid w:val="00A074B0"/>
    <w:rsid w:val="00A074BC"/>
    <w:rsid w:val="00A077B7"/>
    <w:rsid w:val="00A077F1"/>
    <w:rsid w:val="00A07941"/>
    <w:rsid w:val="00A101F2"/>
    <w:rsid w:val="00A10210"/>
    <w:rsid w:val="00A10618"/>
    <w:rsid w:val="00A10874"/>
    <w:rsid w:val="00A10ECF"/>
    <w:rsid w:val="00A110E1"/>
    <w:rsid w:val="00A11713"/>
    <w:rsid w:val="00A11934"/>
    <w:rsid w:val="00A11B37"/>
    <w:rsid w:val="00A1211C"/>
    <w:rsid w:val="00A12202"/>
    <w:rsid w:val="00A12406"/>
    <w:rsid w:val="00A12B4F"/>
    <w:rsid w:val="00A1343B"/>
    <w:rsid w:val="00A136A2"/>
    <w:rsid w:val="00A13E28"/>
    <w:rsid w:val="00A145DD"/>
    <w:rsid w:val="00A149F4"/>
    <w:rsid w:val="00A14A42"/>
    <w:rsid w:val="00A14BD6"/>
    <w:rsid w:val="00A14CE3"/>
    <w:rsid w:val="00A1522B"/>
    <w:rsid w:val="00A159DF"/>
    <w:rsid w:val="00A15CA1"/>
    <w:rsid w:val="00A161D0"/>
    <w:rsid w:val="00A161D3"/>
    <w:rsid w:val="00A16437"/>
    <w:rsid w:val="00A164B6"/>
    <w:rsid w:val="00A1658B"/>
    <w:rsid w:val="00A165C9"/>
    <w:rsid w:val="00A16EAE"/>
    <w:rsid w:val="00A172FF"/>
    <w:rsid w:val="00A1734C"/>
    <w:rsid w:val="00A17EE1"/>
    <w:rsid w:val="00A2003A"/>
    <w:rsid w:val="00A200BE"/>
    <w:rsid w:val="00A204A9"/>
    <w:rsid w:val="00A20CAE"/>
    <w:rsid w:val="00A20CD8"/>
    <w:rsid w:val="00A211FD"/>
    <w:rsid w:val="00A215B0"/>
    <w:rsid w:val="00A219CA"/>
    <w:rsid w:val="00A21A9B"/>
    <w:rsid w:val="00A21AC5"/>
    <w:rsid w:val="00A21D07"/>
    <w:rsid w:val="00A2226B"/>
    <w:rsid w:val="00A22D60"/>
    <w:rsid w:val="00A23390"/>
    <w:rsid w:val="00A233A7"/>
    <w:rsid w:val="00A23BE7"/>
    <w:rsid w:val="00A23C6A"/>
    <w:rsid w:val="00A23CC4"/>
    <w:rsid w:val="00A244CC"/>
    <w:rsid w:val="00A24598"/>
    <w:rsid w:val="00A2459B"/>
    <w:rsid w:val="00A24FE7"/>
    <w:rsid w:val="00A25208"/>
    <w:rsid w:val="00A254D0"/>
    <w:rsid w:val="00A25703"/>
    <w:rsid w:val="00A260F6"/>
    <w:rsid w:val="00A261A1"/>
    <w:rsid w:val="00A266A7"/>
    <w:rsid w:val="00A26BD2"/>
    <w:rsid w:val="00A26FF3"/>
    <w:rsid w:val="00A27411"/>
    <w:rsid w:val="00A275D9"/>
    <w:rsid w:val="00A2773C"/>
    <w:rsid w:val="00A27BF3"/>
    <w:rsid w:val="00A3000F"/>
    <w:rsid w:val="00A3013A"/>
    <w:rsid w:val="00A3073D"/>
    <w:rsid w:val="00A30934"/>
    <w:rsid w:val="00A30C2C"/>
    <w:rsid w:val="00A310E8"/>
    <w:rsid w:val="00A312E4"/>
    <w:rsid w:val="00A31C9E"/>
    <w:rsid w:val="00A31CA3"/>
    <w:rsid w:val="00A31E0F"/>
    <w:rsid w:val="00A3210D"/>
    <w:rsid w:val="00A32A1C"/>
    <w:rsid w:val="00A32BFE"/>
    <w:rsid w:val="00A335C0"/>
    <w:rsid w:val="00A33B1E"/>
    <w:rsid w:val="00A33DBE"/>
    <w:rsid w:val="00A33EE3"/>
    <w:rsid w:val="00A34237"/>
    <w:rsid w:val="00A344EB"/>
    <w:rsid w:val="00A34A07"/>
    <w:rsid w:val="00A34D79"/>
    <w:rsid w:val="00A34DAA"/>
    <w:rsid w:val="00A34FE7"/>
    <w:rsid w:val="00A35362"/>
    <w:rsid w:val="00A354FC"/>
    <w:rsid w:val="00A3572A"/>
    <w:rsid w:val="00A3573B"/>
    <w:rsid w:val="00A358B8"/>
    <w:rsid w:val="00A36C15"/>
    <w:rsid w:val="00A37427"/>
    <w:rsid w:val="00A3742E"/>
    <w:rsid w:val="00A375AE"/>
    <w:rsid w:val="00A376BB"/>
    <w:rsid w:val="00A37D67"/>
    <w:rsid w:val="00A400AC"/>
    <w:rsid w:val="00A403E5"/>
    <w:rsid w:val="00A4075A"/>
    <w:rsid w:val="00A40E4A"/>
    <w:rsid w:val="00A40F2D"/>
    <w:rsid w:val="00A41199"/>
    <w:rsid w:val="00A4128B"/>
    <w:rsid w:val="00A4140B"/>
    <w:rsid w:val="00A41423"/>
    <w:rsid w:val="00A415FC"/>
    <w:rsid w:val="00A4161F"/>
    <w:rsid w:val="00A41691"/>
    <w:rsid w:val="00A417AB"/>
    <w:rsid w:val="00A41A08"/>
    <w:rsid w:val="00A41B0E"/>
    <w:rsid w:val="00A41B78"/>
    <w:rsid w:val="00A41C41"/>
    <w:rsid w:val="00A41C89"/>
    <w:rsid w:val="00A41FE6"/>
    <w:rsid w:val="00A423CB"/>
    <w:rsid w:val="00A42C76"/>
    <w:rsid w:val="00A430DA"/>
    <w:rsid w:val="00A433A7"/>
    <w:rsid w:val="00A43C0E"/>
    <w:rsid w:val="00A44535"/>
    <w:rsid w:val="00A44651"/>
    <w:rsid w:val="00A4694F"/>
    <w:rsid w:val="00A46B60"/>
    <w:rsid w:val="00A4724E"/>
    <w:rsid w:val="00A4774C"/>
    <w:rsid w:val="00A47CBE"/>
    <w:rsid w:val="00A505FD"/>
    <w:rsid w:val="00A50C53"/>
    <w:rsid w:val="00A526AA"/>
    <w:rsid w:val="00A52740"/>
    <w:rsid w:val="00A5281E"/>
    <w:rsid w:val="00A529F4"/>
    <w:rsid w:val="00A52B4F"/>
    <w:rsid w:val="00A52F1F"/>
    <w:rsid w:val="00A531B8"/>
    <w:rsid w:val="00A53243"/>
    <w:rsid w:val="00A5340F"/>
    <w:rsid w:val="00A53435"/>
    <w:rsid w:val="00A53BE0"/>
    <w:rsid w:val="00A53C34"/>
    <w:rsid w:val="00A53CD1"/>
    <w:rsid w:val="00A54179"/>
    <w:rsid w:val="00A54B6D"/>
    <w:rsid w:val="00A54D74"/>
    <w:rsid w:val="00A54EDD"/>
    <w:rsid w:val="00A557B3"/>
    <w:rsid w:val="00A55D00"/>
    <w:rsid w:val="00A55E8D"/>
    <w:rsid w:val="00A55F26"/>
    <w:rsid w:val="00A569C3"/>
    <w:rsid w:val="00A57E06"/>
    <w:rsid w:val="00A60102"/>
    <w:rsid w:val="00A60D37"/>
    <w:rsid w:val="00A6121C"/>
    <w:rsid w:val="00A614D0"/>
    <w:rsid w:val="00A614E8"/>
    <w:rsid w:val="00A617EC"/>
    <w:rsid w:val="00A619F7"/>
    <w:rsid w:val="00A61CC7"/>
    <w:rsid w:val="00A61D55"/>
    <w:rsid w:val="00A61DEF"/>
    <w:rsid w:val="00A62488"/>
    <w:rsid w:val="00A62E20"/>
    <w:rsid w:val="00A6323D"/>
    <w:rsid w:val="00A6324D"/>
    <w:rsid w:val="00A634E1"/>
    <w:rsid w:val="00A638C3"/>
    <w:rsid w:val="00A63BD5"/>
    <w:rsid w:val="00A63E77"/>
    <w:rsid w:val="00A63F6E"/>
    <w:rsid w:val="00A6406E"/>
    <w:rsid w:val="00A646AE"/>
    <w:rsid w:val="00A64992"/>
    <w:rsid w:val="00A64A26"/>
    <w:rsid w:val="00A655C7"/>
    <w:rsid w:val="00A65BAE"/>
    <w:rsid w:val="00A65C2A"/>
    <w:rsid w:val="00A65D03"/>
    <w:rsid w:val="00A665A2"/>
    <w:rsid w:val="00A667C0"/>
    <w:rsid w:val="00A671D4"/>
    <w:rsid w:val="00A6740A"/>
    <w:rsid w:val="00A677FF"/>
    <w:rsid w:val="00A67D42"/>
    <w:rsid w:val="00A67DC4"/>
    <w:rsid w:val="00A67F24"/>
    <w:rsid w:val="00A700E1"/>
    <w:rsid w:val="00A7040F"/>
    <w:rsid w:val="00A705D3"/>
    <w:rsid w:val="00A709AC"/>
    <w:rsid w:val="00A70DAB"/>
    <w:rsid w:val="00A7169A"/>
    <w:rsid w:val="00A72216"/>
    <w:rsid w:val="00A7231A"/>
    <w:rsid w:val="00A723DA"/>
    <w:rsid w:val="00A72A16"/>
    <w:rsid w:val="00A72AF4"/>
    <w:rsid w:val="00A7319B"/>
    <w:rsid w:val="00A735A0"/>
    <w:rsid w:val="00A73849"/>
    <w:rsid w:val="00A73A04"/>
    <w:rsid w:val="00A73EB5"/>
    <w:rsid w:val="00A7491A"/>
    <w:rsid w:val="00A74C11"/>
    <w:rsid w:val="00A7509F"/>
    <w:rsid w:val="00A75500"/>
    <w:rsid w:val="00A7568A"/>
    <w:rsid w:val="00A75D99"/>
    <w:rsid w:val="00A76091"/>
    <w:rsid w:val="00A76875"/>
    <w:rsid w:val="00A76CFE"/>
    <w:rsid w:val="00A76D39"/>
    <w:rsid w:val="00A76F98"/>
    <w:rsid w:val="00A771E1"/>
    <w:rsid w:val="00A771F1"/>
    <w:rsid w:val="00A77296"/>
    <w:rsid w:val="00A77309"/>
    <w:rsid w:val="00A77894"/>
    <w:rsid w:val="00A77898"/>
    <w:rsid w:val="00A77A0D"/>
    <w:rsid w:val="00A77AD0"/>
    <w:rsid w:val="00A77BAE"/>
    <w:rsid w:val="00A77C36"/>
    <w:rsid w:val="00A802FC"/>
    <w:rsid w:val="00A803BE"/>
    <w:rsid w:val="00A8101B"/>
    <w:rsid w:val="00A8110E"/>
    <w:rsid w:val="00A81126"/>
    <w:rsid w:val="00A8121B"/>
    <w:rsid w:val="00A81B89"/>
    <w:rsid w:val="00A81BC5"/>
    <w:rsid w:val="00A81EF1"/>
    <w:rsid w:val="00A82228"/>
    <w:rsid w:val="00A8238A"/>
    <w:rsid w:val="00A82C44"/>
    <w:rsid w:val="00A833B3"/>
    <w:rsid w:val="00A834A0"/>
    <w:rsid w:val="00A836E6"/>
    <w:rsid w:val="00A83D0B"/>
    <w:rsid w:val="00A83DF0"/>
    <w:rsid w:val="00A842D1"/>
    <w:rsid w:val="00A8512D"/>
    <w:rsid w:val="00A85301"/>
    <w:rsid w:val="00A85332"/>
    <w:rsid w:val="00A857CA"/>
    <w:rsid w:val="00A85FB0"/>
    <w:rsid w:val="00A8602A"/>
    <w:rsid w:val="00A860BB"/>
    <w:rsid w:val="00A866E3"/>
    <w:rsid w:val="00A8758C"/>
    <w:rsid w:val="00A87600"/>
    <w:rsid w:val="00A879BD"/>
    <w:rsid w:val="00A87C75"/>
    <w:rsid w:val="00A87F42"/>
    <w:rsid w:val="00A902D8"/>
    <w:rsid w:val="00A909B3"/>
    <w:rsid w:val="00A90B9E"/>
    <w:rsid w:val="00A9133A"/>
    <w:rsid w:val="00A91410"/>
    <w:rsid w:val="00A9158C"/>
    <w:rsid w:val="00A91FE2"/>
    <w:rsid w:val="00A9262D"/>
    <w:rsid w:val="00A926BA"/>
    <w:rsid w:val="00A927E1"/>
    <w:rsid w:val="00A92A26"/>
    <w:rsid w:val="00A92C0F"/>
    <w:rsid w:val="00A935B0"/>
    <w:rsid w:val="00A93DAC"/>
    <w:rsid w:val="00A93DCE"/>
    <w:rsid w:val="00A93EE0"/>
    <w:rsid w:val="00A943AE"/>
    <w:rsid w:val="00A9473A"/>
    <w:rsid w:val="00A948FF"/>
    <w:rsid w:val="00A94D59"/>
    <w:rsid w:val="00A955F6"/>
    <w:rsid w:val="00A95769"/>
    <w:rsid w:val="00A9595A"/>
    <w:rsid w:val="00A95BFA"/>
    <w:rsid w:val="00A95C92"/>
    <w:rsid w:val="00A95F09"/>
    <w:rsid w:val="00A95F1C"/>
    <w:rsid w:val="00A96350"/>
    <w:rsid w:val="00A96491"/>
    <w:rsid w:val="00A966C9"/>
    <w:rsid w:val="00A96C26"/>
    <w:rsid w:val="00A9754D"/>
    <w:rsid w:val="00A97822"/>
    <w:rsid w:val="00A97880"/>
    <w:rsid w:val="00A97E85"/>
    <w:rsid w:val="00AA00DE"/>
    <w:rsid w:val="00AA069C"/>
    <w:rsid w:val="00AA12B4"/>
    <w:rsid w:val="00AA1469"/>
    <w:rsid w:val="00AA19E0"/>
    <w:rsid w:val="00AA1AA0"/>
    <w:rsid w:val="00AA2188"/>
    <w:rsid w:val="00AA2F8A"/>
    <w:rsid w:val="00AA33E4"/>
    <w:rsid w:val="00AA34B4"/>
    <w:rsid w:val="00AA3769"/>
    <w:rsid w:val="00AA3B48"/>
    <w:rsid w:val="00AA3CF4"/>
    <w:rsid w:val="00AA3D77"/>
    <w:rsid w:val="00AA3EF4"/>
    <w:rsid w:val="00AA4E6D"/>
    <w:rsid w:val="00AA4EF4"/>
    <w:rsid w:val="00AA54B1"/>
    <w:rsid w:val="00AA5E52"/>
    <w:rsid w:val="00AA6363"/>
    <w:rsid w:val="00AA6619"/>
    <w:rsid w:val="00AA6723"/>
    <w:rsid w:val="00AA6B61"/>
    <w:rsid w:val="00AA6CAA"/>
    <w:rsid w:val="00AA7CF9"/>
    <w:rsid w:val="00AA7F44"/>
    <w:rsid w:val="00AB04AD"/>
    <w:rsid w:val="00AB05D0"/>
    <w:rsid w:val="00AB075E"/>
    <w:rsid w:val="00AB0788"/>
    <w:rsid w:val="00AB093E"/>
    <w:rsid w:val="00AB09EA"/>
    <w:rsid w:val="00AB0FB1"/>
    <w:rsid w:val="00AB139B"/>
    <w:rsid w:val="00AB182B"/>
    <w:rsid w:val="00AB249C"/>
    <w:rsid w:val="00AB2536"/>
    <w:rsid w:val="00AB26C8"/>
    <w:rsid w:val="00AB2A8B"/>
    <w:rsid w:val="00AB308B"/>
    <w:rsid w:val="00AB33A8"/>
    <w:rsid w:val="00AB3C56"/>
    <w:rsid w:val="00AB4235"/>
    <w:rsid w:val="00AB4238"/>
    <w:rsid w:val="00AB4540"/>
    <w:rsid w:val="00AB4587"/>
    <w:rsid w:val="00AB4A08"/>
    <w:rsid w:val="00AB4AD1"/>
    <w:rsid w:val="00AB4ADE"/>
    <w:rsid w:val="00AB4F43"/>
    <w:rsid w:val="00AB4F7B"/>
    <w:rsid w:val="00AB5071"/>
    <w:rsid w:val="00AB5AF1"/>
    <w:rsid w:val="00AB5CB3"/>
    <w:rsid w:val="00AB5DAA"/>
    <w:rsid w:val="00AB5F53"/>
    <w:rsid w:val="00AB5F76"/>
    <w:rsid w:val="00AB633E"/>
    <w:rsid w:val="00AB67D7"/>
    <w:rsid w:val="00AB68C9"/>
    <w:rsid w:val="00AB6EB5"/>
    <w:rsid w:val="00AB6F21"/>
    <w:rsid w:val="00AB6F7A"/>
    <w:rsid w:val="00AB733C"/>
    <w:rsid w:val="00AC00D6"/>
    <w:rsid w:val="00AC00E4"/>
    <w:rsid w:val="00AC02B8"/>
    <w:rsid w:val="00AC02C8"/>
    <w:rsid w:val="00AC02D8"/>
    <w:rsid w:val="00AC04BE"/>
    <w:rsid w:val="00AC059A"/>
    <w:rsid w:val="00AC06AA"/>
    <w:rsid w:val="00AC0CD3"/>
    <w:rsid w:val="00AC0F3A"/>
    <w:rsid w:val="00AC0FA1"/>
    <w:rsid w:val="00AC1207"/>
    <w:rsid w:val="00AC1AC6"/>
    <w:rsid w:val="00AC1D36"/>
    <w:rsid w:val="00AC1D51"/>
    <w:rsid w:val="00AC204A"/>
    <w:rsid w:val="00AC288C"/>
    <w:rsid w:val="00AC2D08"/>
    <w:rsid w:val="00AC30A1"/>
    <w:rsid w:val="00AC3AF5"/>
    <w:rsid w:val="00AC42B4"/>
    <w:rsid w:val="00AC4317"/>
    <w:rsid w:val="00AC4AC0"/>
    <w:rsid w:val="00AC4BE6"/>
    <w:rsid w:val="00AC4C20"/>
    <w:rsid w:val="00AC4F3E"/>
    <w:rsid w:val="00AC567D"/>
    <w:rsid w:val="00AC57BB"/>
    <w:rsid w:val="00AC5AD7"/>
    <w:rsid w:val="00AC5EEE"/>
    <w:rsid w:val="00AC7A70"/>
    <w:rsid w:val="00AC7DA8"/>
    <w:rsid w:val="00AD0032"/>
    <w:rsid w:val="00AD0063"/>
    <w:rsid w:val="00AD030D"/>
    <w:rsid w:val="00AD10B9"/>
    <w:rsid w:val="00AD128F"/>
    <w:rsid w:val="00AD12CF"/>
    <w:rsid w:val="00AD12D8"/>
    <w:rsid w:val="00AD1379"/>
    <w:rsid w:val="00AD14F8"/>
    <w:rsid w:val="00AD17A8"/>
    <w:rsid w:val="00AD17AD"/>
    <w:rsid w:val="00AD1F06"/>
    <w:rsid w:val="00AD2354"/>
    <w:rsid w:val="00AD2560"/>
    <w:rsid w:val="00AD276A"/>
    <w:rsid w:val="00AD27A2"/>
    <w:rsid w:val="00AD2934"/>
    <w:rsid w:val="00AD2AEB"/>
    <w:rsid w:val="00AD2D7F"/>
    <w:rsid w:val="00AD2E5E"/>
    <w:rsid w:val="00AD2E97"/>
    <w:rsid w:val="00AD31FF"/>
    <w:rsid w:val="00AD3402"/>
    <w:rsid w:val="00AD3662"/>
    <w:rsid w:val="00AD43D2"/>
    <w:rsid w:val="00AD45AD"/>
    <w:rsid w:val="00AD48F5"/>
    <w:rsid w:val="00AD5190"/>
    <w:rsid w:val="00AD530D"/>
    <w:rsid w:val="00AD5673"/>
    <w:rsid w:val="00AD59ED"/>
    <w:rsid w:val="00AD5C85"/>
    <w:rsid w:val="00AD5F77"/>
    <w:rsid w:val="00AD6227"/>
    <w:rsid w:val="00AD63EB"/>
    <w:rsid w:val="00AD6552"/>
    <w:rsid w:val="00AD67BC"/>
    <w:rsid w:val="00AD67DE"/>
    <w:rsid w:val="00AD7685"/>
    <w:rsid w:val="00AD7CC7"/>
    <w:rsid w:val="00AD7CDF"/>
    <w:rsid w:val="00AE0143"/>
    <w:rsid w:val="00AE01D7"/>
    <w:rsid w:val="00AE06E9"/>
    <w:rsid w:val="00AE0B12"/>
    <w:rsid w:val="00AE0CC8"/>
    <w:rsid w:val="00AE0E00"/>
    <w:rsid w:val="00AE10B4"/>
    <w:rsid w:val="00AE118B"/>
    <w:rsid w:val="00AE1383"/>
    <w:rsid w:val="00AE16D0"/>
    <w:rsid w:val="00AE20B0"/>
    <w:rsid w:val="00AE2E32"/>
    <w:rsid w:val="00AE351C"/>
    <w:rsid w:val="00AE3B6B"/>
    <w:rsid w:val="00AE3C89"/>
    <w:rsid w:val="00AE3E52"/>
    <w:rsid w:val="00AE4055"/>
    <w:rsid w:val="00AE43AE"/>
    <w:rsid w:val="00AE4504"/>
    <w:rsid w:val="00AE49E3"/>
    <w:rsid w:val="00AE4C84"/>
    <w:rsid w:val="00AE4CB1"/>
    <w:rsid w:val="00AE4EB2"/>
    <w:rsid w:val="00AE54C7"/>
    <w:rsid w:val="00AE5524"/>
    <w:rsid w:val="00AE5635"/>
    <w:rsid w:val="00AE5703"/>
    <w:rsid w:val="00AE587E"/>
    <w:rsid w:val="00AE588C"/>
    <w:rsid w:val="00AE5BD4"/>
    <w:rsid w:val="00AE67E1"/>
    <w:rsid w:val="00AE6994"/>
    <w:rsid w:val="00AE6C7D"/>
    <w:rsid w:val="00AE6FAA"/>
    <w:rsid w:val="00AE703F"/>
    <w:rsid w:val="00AE7407"/>
    <w:rsid w:val="00AF0295"/>
    <w:rsid w:val="00AF0B54"/>
    <w:rsid w:val="00AF0CF9"/>
    <w:rsid w:val="00AF0F7A"/>
    <w:rsid w:val="00AF1870"/>
    <w:rsid w:val="00AF2CE1"/>
    <w:rsid w:val="00AF34AF"/>
    <w:rsid w:val="00AF382F"/>
    <w:rsid w:val="00AF3890"/>
    <w:rsid w:val="00AF3DC0"/>
    <w:rsid w:val="00AF3E80"/>
    <w:rsid w:val="00AF456C"/>
    <w:rsid w:val="00AF4A36"/>
    <w:rsid w:val="00AF4D39"/>
    <w:rsid w:val="00AF597D"/>
    <w:rsid w:val="00AF5B2D"/>
    <w:rsid w:val="00AF5B5A"/>
    <w:rsid w:val="00AF5F18"/>
    <w:rsid w:val="00AF6045"/>
    <w:rsid w:val="00AF67E5"/>
    <w:rsid w:val="00AF68B1"/>
    <w:rsid w:val="00AF70FC"/>
    <w:rsid w:val="00AF7373"/>
    <w:rsid w:val="00AF75D6"/>
    <w:rsid w:val="00AF7776"/>
    <w:rsid w:val="00AF7BF9"/>
    <w:rsid w:val="00AF7CC8"/>
    <w:rsid w:val="00B00385"/>
    <w:rsid w:val="00B0070E"/>
    <w:rsid w:val="00B007BA"/>
    <w:rsid w:val="00B00D08"/>
    <w:rsid w:val="00B00E46"/>
    <w:rsid w:val="00B011C5"/>
    <w:rsid w:val="00B01392"/>
    <w:rsid w:val="00B013C1"/>
    <w:rsid w:val="00B019CD"/>
    <w:rsid w:val="00B01A03"/>
    <w:rsid w:val="00B01DEC"/>
    <w:rsid w:val="00B02C5B"/>
    <w:rsid w:val="00B038EC"/>
    <w:rsid w:val="00B03D7A"/>
    <w:rsid w:val="00B044C7"/>
    <w:rsid w:val="00B0494A"/>
    <w:rsid w:val="00B04A6A"/>
    <w:rsid w:val="00B04F67"/>
    <w:rsid w:val="00B0503A"/>
    <w:rsid w:val="00B05052"/>
    <w:rsid w:val="00B050EC"/>
    <w:rsid w:val="00B0539C"/>
    <w:rsid w:val="00B054C9"/>
    <w:rsid w:val="00B06705"/>
    <w:rsid w:val="00B06BA3"/>
    <w:rsid w:val="00B06F00"/>
    <w:rsid w:val="00B070E7"/>
    <w:rsid w:val="00B072BD"/>
    <w:rsid w:val="00B078DD"/>
    <w:rsid w:val="00B104E2"/>
    <w:rsid w:val="00B107BB"/>
    <w:rsid w:val="00B10906"/>
    <w:rsid w:val="00B10D46"/>
    <w:rsid w:val="00B1128E"/>
    <w:rsid w:val="00B1136F"/>
    <w:rsid w:val="00B11735"/>
    <w:rsid w:val="00B1285A"/>
    <w:rsid w:val="00B129E6"/>
    <w:rsid w:val="00B12DCC"/>
    <w:rsid w:val="00B12E59"/>
    <w:rsid w:val="00B12F83"/>
    <w:rsid w:val="00B1346F"/>
    <w:rsid w:val="00B135A0"/>
    <w:rsid w:val="00B13984"/>
    <w:rsid w:val="00B13D52"/>
    <w:rsid w:val="00B13EB7"/>
    <w:rsid w:val="00B1404D"/>
    <w:rsid w:val="00B140A2"/>
    <w:rsid w:val="00B1444A"/>
    <w:rsid w:val="00B14863"/>
    <w:rsid w:val="00B14B84"/>
    <w:rsid w:val="00B14D7B"/>
    <w:rsid w:val="00B14F1B"/>
    <w:rsid w:val="00B154E6"/>
    <w:rsid w:val="00B15A24"/>
    <w:rsid w:val="00B15AE8"/>
    <w:rsid w:val="00B15CD0"/>
    <w:rsid w:val="00B15F16"/>
    <w:rsid w:val="00B163A2"/>
    <w:rsid w:val="00B16777"/>
    <w:rsid w:val="00B17385"/>
    <w:rsid w:val="00B17709"/>
    <w:rsid w:val="00B206EE"/>
    <w:rsid w:val="00B207A4"/>
    <w:rsid w:val="00B208E4"/>
    <w:rsid w:val="00B20A3B"/>
    <w:rsid w:val="00B20A49"/>
    <w:rsid w:val="00B20E4B"/>
    <w:rsid w:val="00B213A2"/>
    <w:rsid w:val="00B219A5"/>
    <w:rsid w:val="00B21B29"/>
    <w:rsid w:val="00B21C61"/>
    <w:rsid w:val="00B22179"/>
    <w:rsid w:val="00B228E4"/>
    <w:rsid w:val="00B22B03"/>
    <w:rsid w:val="00B22C2E"/>
    <w:rsid w:val="00B234D6"/>
    <w:rsid w:val="00B23B08"/>
    <w:rsid w:val="00B23DBD"/>
    <w:rsid w:val="00B243AC"/>
    <w:rsid w:val="00B245FD"/>
    <w:rsid w:val="00B24855"/>
    <w:rsid w:val="00B24D8B"/>
    <w:rsid w:val="00B2561D"/>
    <w:rsid w:val="00B257B9"/>
    <w:rsid w:val="00B2585A"/>
    <w:rsid w:val="00B25A47"/>
    <w:rsid w:val="00B25E7E"/>
    <w:rsid w:val="00B26858"/>
    <w:rsid w:val="00B27014"/>
    <w:rsid w:val="00B2736A"/>
    <w:rsid w:val="00B27462"/>
    <w:rsid w:val="00B27517"/>
    <w:rsid w:val="00B278F3"/>
    <w:rsid w:val="00B27957"/>
    <w:rsid w:val="00B27AB5"/>
    <w:rsid w:val="00B27E4E"/>
    <w:rsid w:val="00B30440"/>
    <w:rsid w:val="00B3078F"/>
    <w:rsid w:val="00B30E3C"/>
    <w:rsid w:val="00B31147"/>
    <w:rsid w:val="00B3137E"/>
    <w:rsid w:val="00B31950"/>
    <w:rsid w:val="00B31FF3"/>
    <w:rsid w:val="00B324F2"/>
    <w:rsid w:val="00B32935"/>
    <w:rsid w:val="00B32A2D"/>
    <w:rsid w:val="00B33056"/>
    <w:rsid w:val="00B33D1A"/>
    <w:rsid w:val="00B3412E"/>
    <w:rsid w:val="00B341D9"/>
    <w:rsid w:val="00B34C7E"/>
    <w:rsid w:val="00B34D95"/>
    <w:rsid w:val="00B34E2C"/>
    <w:rsid w:val="00B34F72"/>
    <w:rsid w:val="00B35C89"/>
    <w:rsid w:val="00B36281"/>
    <w:rsid w:val="00B364A5"/>
    <w:rsid w:val="00B36837"/>
    <w:rsid w:val="00B36981"/>
    <w:rsid w:val="00B36A57"/>
    <w:rsid w:val="00B36DB3"/>
    <w:rsid w:val="00B37268"/>
    <w:rsid w:val="00B372B1"/>
    <w:rsid w:val="00B374BC"/>
    <w:rsid w:val="00B37737"/>
    <w:rsid w:val="00B377BB"/>
    <w:rsid w:val="00B37F2E"/>
    <w:rsid w:val="00B403A1"/>
    <w:rsid w:val="00B403DB"/>
    <w:rsid w:val="00B40672"/>
    <w:rsid w:val="00B40809"/>
    <w:rsid w:val="00B40DDC"/>
    <w:rsid w:val="00B40E13"/>
    <w:rsid w:val="00B40E3C"/>
    <w:rsid w:val="00B40E9E"/>
    <w:rsid w:val="00B4113A"/>
    <w:rsid w:val="00B41436"/>
    <w:rsid w:val="00B41B8E"/>
    <w:rsid w:val="00B41CC8"/>
    <w:rsid w:val="00B42587"/>
    <w:rsid w:val="00B4268E"/>
    <w:rsid w:val="00B42780"/>
    <w:rsid w:val="00B42A42"/>
    <w:rsid w:val="00B42BED"/>
    <w:rsid w:val="00B433BD"/>
    <w:rsid w:val="00B43413"/>
    <w:rsid w:val="00B43978"/>
    <w:rsid w:val="00B43A5E"/>
    <w:rsid w:val="00B43C3F"/>
    <w:rsid w:val="00B43DCF"/>
    <w:rsid w:val="00B441E8"/>
    <w:rsid w:val="00B44726"/>
    <w:rsid w:val="00B44C6D"/>
    <w:rsid w:val="00B4521B"/>
    <w:rsid w:val="00B452C0"/>
    <w:rsid w:val="00B455CA"/>
    <w:rsid w:val="00B4567C"/>
    <w:rsid w:val="00B456AD"/>
    <w:rsid w:val="00B46100"/>
    <w:rsid w:val="00B463A7"/>
    <w:rsid w:val="00B46B49"/>
    <w:rsid w:val="00B47745"/>
    <w:rsid w:val="00B47A88"/>
    <w:rsid w:val="00B47CF1"/>
    <w:rsid w:val="00B500C5"/>
    <w:rsid w:val="00B5061E"/>
    <w:rsid w:val="00B50901"/>
    <w:rsid w:val="00B50947"/>
    <w:rsid w:val="00B516EE"/>
    <w:rsid w:val="00B518ED"/>
    <w:rsid w:val="00B5191A"/>
    <w:rsid w:val="00B51CD4"/>
    <w:rsid w:val="00B51FBB"/>
    <w:rsid w:val="00B5237A"/>
    <w:rsid w:val="00B535F2"/>
    <w:rsid w:val="00B5380B"/>
    <w:rsid w:val="00B53A04"/>
    <w:rsid w:val="00B53E59"/>
    <w:rsid w:val="00B5468F"/>
    <w:rsid w:val="00B548A6"/>
    <w:rsid w:val="00B55339"/>
    <w:rsid w:val="00B55819"/>
    <w:rsid w:val="00B558A4"/>
    <w:rsid w:val="00B558CD"/>
    <w:rsid w:val="00B55D22"/>
    <w:rsid w:val="00B564B6"/>
    <w:rsid w:val="00B567E9"/>
    <w:rsid w:val="00B571A6"/>
    <w:rsid w:val="00B57821"/>
    <w:rsid w:val="00B57946"/>
    <w:rsid w:val="00B5796B"/>
    <w:rsid w:val="00B57B66"/>
    <w:rsid w:val="00B603C2"/>
    <w:rsid w:val="00B6040C"/>
    <w:rsid w:val="00B60881"/>
    <w:rsid w:val="00B60AB5"/>
    <w:rsid w:val="00B60FEB"/>
    <w:rsid w:val="00B6202C"/>
    <w:rsid w:val="00B626B6"/>
    <w:rsid w:val="00B6289D"/>
    <w:rsid w:val="00B6302E"/>
    <w:rsid w:val="00B636E4"/>
    <w:rsid w:val="00B63A9C"/>
    <w:rsid w:val="00B6428E"/>
    <w:rsid w:val="00B642D4"/>
    <w:rsid w:val="00B647D9"/>
    <w:rsid w:val="00B65AC6"/>
    <w:rsid w:val="00B65B18"/>
    <w:rsid w:val="00B65CF9"/>
    <w:rsid w:val="00B66018"/>
    <w:rsid w:val="00B66144"/>
    <w:rsid w:val="00B66421"/>
    <w:rsid w:val="00B66624"/>
    <w:rsid w:val="00B66693"/>
    <w:rsid w:val="00B669E5"/>
    <w:rsid w:val="00B66B29"/>
    <w:rsid w:val="00B6717B"/>
    <w:rsid w:val="00B67202"/>
    <w:rsid w:val="00B67533"/>
    <w:rsid w:val="00B679C6"/>
    <w:rsid w:val="00B7009A"/>
    <w:rsid w:val="00B7093E"/>
    <w:rsid w:val="00B70AC6"/>
    <w:rsid w:val="00B70D1A"/>
    <w:rsid w:val="00B711EF"/>
    <w:rsid w:val="00B71AAC"/>
    <w:rsid w:val="00B71F5D"/>
    <w:rsid w:val="00B728CC"/>
    <w:rsid w:val="00B72D98"/>
    <w:rsid w:val="00B72EBF"/>
    <w:rsid w:val="00B7317A"/>
    <w:rsid w:val="00B73230"/>
    <w:rsid w:val="00B7357F"/>
    <w:rsid w:val="00B735EC"/>
    <w:rsid w:val="00B73DCA"/>
    <w:rsid w:val="00B73DE7"/>
    <w:rsid w:val="00B743AD"/>
    <w:rsid w:val="00B7463E"/>
    <w:rsid w:val="00B74705"/>
    <w:rsid w:val="00B74ABF"/>
    <w:rsid w:val="00B75083"/>
    <w:rsid w:val="00B754D2"/>
    <w:rsid w:val="00B754E1"/>
    <w:rsid w:val="00B7572D"/>
    <w:rsid w:val="00B75C7F"/>
    <w:rsid w:val="00B7612F"/>
    <w:rsid w:val="00B764D6"/>
    <w:rsid w:val="00B76632"/>
    <w:rsid w:val="00B769E9"/>
    <w:rsid w:val="00B76B02"/>
    <w:rsid w:val="00B77048"/>
    <w:rsid w:val="00B77195"/>
    <w:rsid w:val="00B772C2"/>
    <w:rsid w:val="00B77639"/>
    <w:rsid w:val="00B77C68"/>
    <w:rsid w:val="00B77D6F"/>
    <w:rsid w:val="00B77DF9"/>
    <w:rsid w:val="00B77EE6"/>
    <w:rsid w:val="00B8084B"/>
    <w:rsid w:val="00B81098"/>
    <w:rsid w:val="00B810FF"/>
    <w:rsid w:val="00B812A6"/>
    <w:rsid w:val="00B81307"/>
    <w:rsid w:val="00B814A1"/>
    <w:rsid w:val="00B81917"/>
    <w:rsid w:val="00B8203A"/>
    <w:rsid w:val="00B8221A"/>
    <w:rsid w:val="00B8233B"/>
    <w:rsid w:val="00B8239C"/>
    <w:rsid w:val="00B82E55"/>
    <w:rsid w:val="00B835DE"/>
    <w:rsid w:val="00B8369D"/>
    <w:rsid w:val="00B843CE"/>
    <w:rsid w:val="00B85303"/>
    <w:rsid w:val="00B8536A"/>
    <w:rsid w:val="00B85503"/>
    <w:rsid w:val="00B86E2B"/>
    <w:rsid w:val="00B86E7D"/>
    <w:rsid w:val="00B86F09"/>
    <w:rsid w:val="00B870F6"/>
    <w:rsid w:val="00B87364"/>
    <w:rsid w:val="00B87466"/>
    <w:rsid w:val="00B87E25"/>
    <w:rsid w:val="00B90348"/>
    <w:rsid w:val="00B90813"/>
    <w:rsid w:val="00B90FB0"/>
    <w:rsid w:val="00B90FB7"/>
    <w:rsid w:val="00B911BD"/>
    <w:rsid w:val="00B91344"/>
    <w:rsid w:val="00B915A0"/>
    <w:rsid w:val="00B9167B"/>
    <w:rsid w:val="00B91AD5"/>
    <w:rsid w:val="00B91BF0"/>
    <w:rsid w:val="00B91CBE"/>
    <w:rsid w:val="00B92104"/>
    <w:rsid w:val="00B92165"/>
    <w:rsid w:val="00B92E62"/>
    <w:rsid w:val="00B9409A"/>
    <w:rsid w:val="00B9416F"/>
    <w:rsid w:val="00B94472"/>
    <w:rsid w:val="00B94821"/>
    <w:rsid w:val="00B94B3A"/>
    <w:rsid w:val="00B94D0B"/>
    <w:rsid w:val="00B95992"/>
    <w:rsid w:val="00B959E6"/>
    <w:rsid w:val="00B95D09"/>
    <w:rsid w:val="00B96506"/>
    <w:rsid w:val="00B966C8"/>
    <w:rsid w:val="00B96822"/>
    <w:rsid w:val="00B96A23"/>
    <w:rsid w:val="00B96BC4"/>
    <w:rsid w:val="00B96DE1"/>
    <w:rsid w:val="00B96F09"/>
    <w:rsid w:val="00B96F6F"/>
    <w:rsid w:val="00B9709E"/>
    <w:rsid w:val="00B97166"/>
    <w:rsid w:val="00B97D30"/>
    <w:rsid w:val="00BA0299"/>
    <w:rsid w:val="00BA04F2"/>
    <w:rsid w:val="00BA05DC"/>
    <w:rsid w:val="00BA071F"/>
    <w:rsid w:val="00BA074A"/>
    <w:rsid w:val="00BA0DFD"/>
    <w:rsid w:val="00BA0E54"/>
    <w:rsid w:val="00BA1154"/>
    <w:rsid w:val="00BA1340"/>
    <w:rsid w:val="00BA1E8B"/>
    <w:rsid w:val="00BA2327"/>
    <w:rsid w:val="00BA2796"/>
    <w:rsid w:val="00BA2DA9"/>
    <w:rsid w:val="00BA2EC6"/>
    <w:rsid w:val="00BA2FA0"/>
    <w:rsid w:val="00BA323A"/>
    <w:rsid w:val="00BA3491"/>
    <w:rsid w:val="00BA36B6"/>
    <w:rsid w:val="00BA3D92"/>
    <w:rsid w:val="00BA4067"/>
    <w:rsid w:val="00BA4137"/>
    <w:rsid w:val="00BA4254"/>
    <w:rsid w:val="00BA43BD"/>
    <w:rsid w:val="00BA4598"/>
    <w:rsid w:val="00BA509F"/>
    <w:rsid w:val="00BA5200"/>
    <w:rsid w:val="00BA53AD"/>
    <w:rsid w:val="00BA5E58"/>
    <w:rsid w:val="00BA5EFF"/>
    <w:rsid w:val="00BA6801"/>
    <w:rsid w:val="00BA6BB0"/>
    <w:rsid w:val="00BA6D0A"/>
    <w:rsid w:val="00BA6EE5"/>
    <w:rsid w:val="00BA70B7"/>
    <w:rsid w:val="00BA757B"/>
    <w:rsid w:val="00BA758C"/>
    <w:rsid w:val="00BA78DD"/>
    <w:rsid w:val="00BA7960"/>
    <w:rsid w:val="00BA797B"/>
    <w:rsid w:val="00BA7E5F"/>
    <w:rsid w:val="00BA7EBE"/>
    <w:rsid w:val="00BB050A"/>
    <w:rsid w:val="00BB07E7"/>
    <w:rsid w:val="00BB0845"/>
    <w:rsid w:val="00BB0C9C"/>
    <w:rsid w:val="00BB1912"/>
    <w:rsid w:val="00BB1CDA"/>
    <w:rsid w:val="00BB1FD7"/>
    <w:rsid w:val="00BB21F3"/>
    <w:rsid w:val="00BB242D"/>
    <w:rsid w:val="00BB263A"/>
    <w:rsid w:val="00BB2A8E"/>
    <w:rsid w:val="00BB2AE9"/>
    <w:rsid w:val="00BB2D65"/>
    <w:rsid w:val="00BB30B6"/>
    <w:rsid w:val="00BB30DC"/>
    <w:rsid w:val="00BB3184"/>
    <w:rsid w:val="00BB33FF"/>
    <w:rsid w:val="00BB3513"/>
    <w:rsid w:val="00BB3804"/>
    <w:rsid w:val="00BB38D5"/>
    <w:rsid w:val="00BB3986"/>
    <w:rsid w:val="00BB3A5B"/>
    <w:rsid w:val="00BB4199"/>
    <w:rsid w:val="00BB446A"/>
    <w:rsid w:val="00BB4AD4"/>
    <w:rsid w:val="00BB4BA6"/>
    <w:rsid w:val="00BB5064"/>
    <w:rsid w:val="00BB5822"/>
    <w:rsid w:val="00BB5900"/>
    <w:rsid w:val="00BB5AA1"/>
    <w:rsid w:val="00BB5E56"/>
    <w:rsid w:val="00BB5EBD"/>
    <w:rsid w:val="00BB5F61"/>
    <w:rsid w:val="00BB5FE6"/>
    <w:rsid w:val="00BB607D"/>
    <w:rsid w:val="00BB6D27"/>
    <w:rsid w:val="00BB6DC6"/>
    <w:rsid w:val="00BB6E0C"/>
    <w:rsid w:val="00BB6E78"/>
    <w:rsid w:val="00BB6F02"/>
    <w:rsid w:val="00BB782F"/>
    <w:rsid w:val="00BB78F7"/>
    <w:rsid w:val="00BB7EA9"/>
    <w:rsid w:val="00BC01BF"/>
    <w:rsid w:val="00BC0592"/>
    <w:rsid w:val="00BC08F2"/>
    <w:rsid w:val="00BC0BC1"/>
    <w:rsid w:val="00BC0CB4"/>
    <w:rsid w:val="00BC109B"/>
    <w:rsid w:val="00BC1169"/>
    <w:rsid w:val="00BC18C1"/>
    <w:rsid w:val="00BC1CD0"/>
    <w:rsid w:val="00BC2083"/>
    <w:rsid w:val="00BC22FD"/>
    <w:rsid w:val="00BC238B"/>
    <w:rsid w:val="00BC2681"/>
    <w:rsid w:val="00BC2789"/>
    <w:rsid w:val="00BC2A44"/>
    <w:rsid w:val="00BC2B4A"/>
    <w:rsid w:val="00BC2CA9"/>
    <w:rsid w:val="00BC3095"/>
    <w:rsid w:val="00BC34B1"/>
    <w:rsid w:val="00BC3920"/>
    <w:rsid w:val="00BC3EFD"/>
    <w:rsid w:val="00BC401B"/>
    <w:rsid w:val="00BC4AD9"/>
    <w:rsid w:val="00BC4DB3"/>
    <w:rsid w:val="00BC53E1"/>
    <w:rsid w:val="00BC5A51"/>
    <w:rsid w:val="00BC5CD6"/>
    <w:rsid w:val="00BC6463"/>
    <w:rsid w:val="00BC670C"/>
    <w:rsid w:val="00BC683B"/>
    <w:rsid w:val="00BC6D4A"/>
    <w:rsid w:val="00BC7619"/>
    <w:rsid w:val="00BC7696"/>
    <w:rsid w:val="00BC798E"/>
    <w:rsid w:val="00BC7CC8"/>
    <w:rsid w:val="00BD02C6"/>
    <w:rsid w:val="00BD030E"/>
    <w:rsid w:val="00BD0401"/>
    <w:rsid w:val="00BD043A"/>
    <w:rsid w:val="00BD07D7"/>
    <w:rsid w:val="00BD0D11"/>
    <w:rsid w:val="00BD0F83"/>
    <w:rsid w:val="00BD1CAB"/>
    <w:rsid w:val="00BD21BB"/>
    <w:rsid w:val="00BD263E"/>
    <w:rsid w:val="00BD29EC"/>
    <w:rsid w:val="00BD31A9"/>
    <w:rsid w:val="00BD3327"/>
    <w:rsid w:val="00BD363B"/>
    <w:rsid w:val="00BD3B63"/>
    <w:rsid w:val="00BD3CC4"/>
    <w:rsid w:val="00BD3E82"/>
    <w:rsid w:val="00BD3EAC"/>
    <w:rsid w:val="00BD3FC5"/>
    <w:rsid w:val="00BD4223"/>
    <w:rsid w:val="00BD4569"/>
    <w:rsid w:val="00BD47EB"/>
    <w:rsid w:val="00BD4A1B"/>
    <w:rsid w:val="00BD4F7A"/>
    <w:rsid w:val="00BD4FD3"/>
    <w:rsid w:val="00BD506E"/>
    <w:rsid w:val="00BD57D9"/>
    <w:rsid w:val="00BD5807"/>
    <w:rsid w:val="00BD59CE"/>
    <w:rsid w:val="00BD5CAD"/>
    <w:rsid w:val="00BD6170"/>
    <w:rsid w:val="00BD653C"/>
    <w:rsid w:val="00BD6E13"/>
    <w:rsid w:val="00BD709C"/>
    <w:rsid w:val="00BD71B8"/>
    <w:rsid w:val="00BD71BE"/>
    <w:rsid w:val="00BD7356"/>
    <w:rsid w:val="00BD7C3E"/>
    <w:rsid w:val="00BD7C64"/>
    <w:rsid w:val="00BD7E7C"/>
    <w:rsid w:val="00BD7F69"/>
    <w:rsid w:val="00BE065D"/>
    <w:rsid w:val="00BE0B68"/>
    <w:rsid w:val="00BE0BCC"/>
    <w:rsid w:val="00BE0EA2"/>
    <w:rsid w:val="00BE12D2"/>
    <w:rsid w:val="00BE1500"/>
    <w:rsid w:val="00BE1624"/>
    <w:rsid w:val="00BE1881"/>
    <w:rsid w:val="00BE19B6"/>
    <w:rsid w:val="00BE1BE2"/>
    <w:rsid w:val="00BE20D4"/>
    <w:rsid w:val="00BE22BE"/>
    <w:rsid w:val="00BE2916"/>
    <w:rsid w:val="00BE29DA"/>
    <w:rsid w:val="00BE3288"/>
    <w:rsid w:val="00BE335B"/>
    <w:rsid w:val="00BE33EF"/>
    <w:rsid w:val="00BE3D43"/>
    <w:rsid w:val="00BE3DE6"/>
    <w:rsid w:val="00BE4061"/>
    <w:rsid w:val="00BE4281"/>
    <w:rsid w:val="00BE4881"/>
    <w:rsid w:val="00BE52FF"/>
    <w:rsid w:val="00BE5517"/>
    <w:rsid w:val="00BE5871"/>
    <w:rsid w:val="00BE5A59"/>
    <w:rsid w:val="00BE5ABB"/>
    <w:rsid w:val="00BE5B05"/>
    <w:rsid w:val="00BE5B0D"/>
    <w:rsid w:val="00BE68DC"/>
    <w:rsid w:val="00BE6B22"/>
    <w:rsid w:val="00BE7311"/>
    <w:rsid w:val="00BE746C"/>
    <w:rsid w:val="00BE76FC"/>
    <w:rsid w:val="00BE7807"/>
    <w:rsid w:val="00BE79CC"/>
    <w:rsid w:val="00BE7B5B"/>
    <w:rsid w:val="00BE7D4B"/>
    <w:rsid w:val="00BF01D9"/>
    <w:rsid w:val="00BF0910"/>
    <w:rsid w:val="00BF0B3D"/>
    <w:rsid w:val="00BF0BEF"/>
    <w:rsid w:val="00BF0EFB"/>
    <w:rsid w:val="00BF1215"/>
    <w:rsid w:val="00BF1382"/>
    <w:rsid w:val="00BF14E7"/>
    <w:rsid w:val="00BF15D4"/>
    <w:rsid w:val="00BF18E9"/>
    <w:rsid w:val="00BF1991"/>
    <w:rsid w:val="00BF1A53"/>
    <w:rsid w:val="00BF1D9B"/>
    <w:rsid w:val="00BF1F91"/>
    <w:rsid w:val="00BF2037"/>
    <w:rsid w:val="00BF26C5"/>
    <w:rsid w:val="00BF2BA2"/>
    <w:rsid w:val="00BF311B"/>
    <w:rsid w:val="00BF3461"/>
    <w:rsid w:val="00BF424F"/>
    <w:rsid w:val="00BF427A"/>
    <w:rsid w:val="00BF44E9"/>
    <w:rsid w:val="00BF48FF"/>
    <w:rsid w:val="00BF4902"/>
    <w:rsid w:val="00BF4A68"/>
    <w:rsid w:val="00BF4F45"/>
    <w:rsid w:val="00BF56EF"/>
    <w:rsid w:val="00BF5956"/>
    <w:rsid w:val="00BF5E02"/>
    <w:rsid w:val="00BF5E6A"/>
    <w:rsid w:val="00BF6313"/>
    <w:rsid w:val="00BF6953"/>
    <w:rsid w:val="00BF6C36"/>
    <w:rsid w:val="00BF712A"/>
    <w:rsid w:val="00BF7B1A"/>
    <w:rsid w:val="00BF7E07"/>
    <w:rsid w:val="00C00135"/>
    <w:rsid w:val="00C0027E"/>
    <w:rsid w:val="00C004B9"/>
    <w:rsid w:val="00C00B97"/>
    <w:rsid w:val="00C022AD"/>
    <w:rsid w:val="00C02942"/>
    <w:rsid w:val="00C0302F"/>
    <w:rsid w:val="00C03277"/>
    <w:rsid w:val="00C03B5B"/>
    <w:rsid w:val="00C03E60"/>
    <w:rsid w:val="00C041A1"/>
    <w:rsid w:val="00C043E4"/>
    <w:rsid w:val="00C04516"/>
    <w:rsid w:val="00C04AE8"/>
    <w:rsid w:val="00C04C96"/>
    <w:rsid w:val="00C05AB6"/>
    <w:rsid w:val="00C05F08"/>
    <w:rsid w:val="00C05F8E"/>
    <w:rsid w:val="00C0654E"/>
    <w:rsid w:val="00C067E0"/>
    <w:rsid w:val="00C06951"/>
    <w:rsid w:val="00C06DD1"/>
    <w:rsid w:val="00C06FCD"/>
    <w:rsid w:val="00C07388"/>
    <w:rsid w:val="00C0777F"/>
    <w:rsid w:val="00C07D33"/>
    <w:rsid w:val="00C07D7B"/>
    <w:rsid w:val="00C07E93"/>
    <w:rsid w:val="00C1058F"/>
    <w:rsid w:val="00C105AC"/>
    <w:rsid w:val="00C1084D"/>
    <w:rsid w:val="00C109CD"/>
    <w:rsid w:val="00C10E85"/>
    <w:rsid w:val="00C11143"/>
    <w:rsid w:val="00C1167B"/>
    <w:rsid w:val="00C11720"/>
    <w:rsid w:val="00C117B2"/>
    <w:rsid w:val="00C12002"/>
    <w:rsid w:val="00C12AB1"/>
    <w:rsid w:val="00C12D84"/>
    <w:rsid w:val="00C1303D"/>
    <w:rsid w:val="00C130D9"/>
    <w:rsid w:val="00C132B5"/>
    <w:rsid w:val="00C137BA"/>
    <w:rsid w:val="00C13C78"/>
    <w:rsid w:val="00C13E96"/>
    <w:rsid w:val="00C13F59"/>
    <w:rsid w:val="00C13FED"/>
    <w:rsid w:val="00C14114"/>
    <w:rsid w:val="00C1447E"/>
    <w:rsid w:val="00C147EF"/>
    <w:rsid w:val="00C14829"/>
    <w:rsid w:val="00C14A84"/>
    <w:rsid w:val="00C14D63"/>
    <w:rsid w:val="00C151D4"/>
    <w:rsid w:val="00C153D2"/>
    <w:rsid w:val="00C1567A"/>
    <w:rsid w:val="00C156FB"/>
    <w:rsid w:val="00C15977"/>
    <w:rsid w:val="00C15AB4"/>
    <w:rsid w:val="00C15ACD"/>
    <w:rsid w:val="00C160B9"/>
    <w:rsid w:val="00C16233"/>
    <w:rsid w:val="00C16DCB"/>
    <w:rsid w:val="00C1725A"/>
    <w:rsid w:val="00C172EF"/>
    <w:rsid w:val="00C176A4"/>
    <w:rsid w:val="00C17BD4"/>
    <w:rsid w:val="00C17C6B"/>
    <w:rsid w:val="00C17D6B"/>
    <w:rsid w:val="00C17D76"/>
    <w:rsid w:val="00C2000C"/>
    <w:rsid w:val="00C20585"/>
    <w:rsid w:val="00C20BF8"/>
    <w:rsid w:val="00C20C79"/>
    <w:rsid w:val="00C20C83"/>
    <w:rsid w:val="00C20E4D"/>
    <w:rsid w:val="00C21210"/>
    <w:rsid w:val="00C21533"/>
    <w:rsid w:val="00C216E1"/>
    <w:rsid w:val="00C228BF"/>
    <w:rsid w:val="00C22EAF"/>
    <w:rsid w:val="00C23486"/>
    <w:rsid w:val="00C2377D"/>
    <w:rsid w:val="00C2400B"/>
    <w:rsid w:val="00C24456"/>
    <w:rsid w:val="00C2478C"/>
    <w:rsid w:val="00C247A6"/>
    <w:rsid w:val="00C24992"/>
    <w:rsid w:val="00C24AB4"/>
    <w:rsid w:val="00C25662"/>
    <w:rsid w:val="00C25F39"/>
    <w:rsid w:val="00C25F4D"/>
    <w:rsid w:val="00C26610"/>
    <w:rsid w:val="00C26CCC"/>
    <w:rsid w:val="00C27000"/>
    <w:rsid w:val="00C271B8"/>
    <w:rsid w:val="00C27543"/>
    <w:rsid w:val="00C27C40"/>
    <w:rsid w:val="00C30044"/>
    <w:rsid w:val="00C30719"/>
    <w:rsid w:val="00C307C4"/>
    <w:rsid w:val="00C30FF3"/>
    <w:rsid w:val="00C3217E"/>
    <w:rsid w:val="00C32435"/>
    <w:rsid w:val="00C327E0"/>
    <w:rsid w:val="00C32935"/>
    <w:rsid w:val="00C32C18"/>
    <w:rsid w:val="00C32F20"/>
    <w:rsid w:val="00C32FC5"/>
    <w:rsid w:val="00C33093"/>
    <w:rsid w:val="00C33D0F"/>
    <w:rsid w:val="00C33E70"/>
    <w:rsid w:val="00C33EF9"/>
    <w:rsid w:val="00C340F9"/>
    <w:rsid w:val="00C34236"/>
    <w:rsid w:val="00C34241"/>
    <w:rsid w:val="00C3446F"/>
    <w:rsid w:val="00C34BFC"/>
    <w:rsid w:val="00C34C72"/>
    <w:rsid w:val="00C350AB"/>
    <w:rsid w:val="00C35370"/>
    <w:rsid w:val="00C35BA1"/>
    <w:rsid w:val="00C36413"/>
    <w:rsid w:val="00C36673"/>
    <w:rsid w:val="00C36E60"/>
    <w:rsid w:val="00C371BE"/>
    <w:rsid w:val="00C372F4"/>
    <w:rsid w:val="00C37806"/>
    <w:rsid w:val="00C37920"/>
    <w:rsid w:val="00C37AD1"/>
    <w:rsid w:val="00C37B01"/>
    <w:rsid w:val="00C37C63"/>
    <w:rsid w:val="00C40319"/>
    <w:rsid w:val="00C404A2"/>
    <w:rsid w:val="00C407A4"/>
    <w:rsid w:val="00C40982"/>
    <w:rsid w:val="00C409BC"/>
    <w:rsid w:val="00C41A28"/>
    <w:rsid w:val="00C41B0B"/>
    <w:rsid w:val="00C43082"/>
    <w:rsid w:val="00C43A99"/>
    <w:rsid w:val="00C44001"/>
    <w:rsid w:val="00C443C4"/>
    <w:rsid w:val="00C443EC"/>
    <w:rsid w:val="00C44691"/>
    <w:rsid w:val="00C446DA"/>
    <w:rsid w:val="00C44837"/>
    <w:rsid w:val="00C44B09"/>
    <w:rsid w:val="00C44DA6"/>
    <w:rsid w:val="00C45127"/>
    <w:rsid w:val="00C45355"/>
    <w:rsid w:val="00C4543E"/>
    <w:rsid w:val="00C456E8"/>
    <w:rsid w:val="00C459A2"/>
    <w:rsid w:val="00C45A42"/>
    <w:rsid w:val="00C45DBD"/>
    <w:rsid w:val="00C46287"/>
    <w:rsid w:val="00C465F5"/>
    <w:rsid w:val="00C472B3"/>
    <w:rsid w:val="00C47716"/>
    <w:rsid w:val="00C47AD7"/>
    <w:rsid w:val="00C47B44"/>
    <w:rsid w:val="00C47B99"/>
    <w:rsid w:val="00C50218"/>
    <w:rsid w:val="00C50546"/>
    <w:rsid w:val="00C5054B"/>
    <w:rsid w:val="00C50551"/>
    <w:rsid w:val="00C51695"/>
    <w:rsid w:val="00C516FB"/>
    <w:rsid w:val="00C51D16"/>
    <w:rsid w:val="00C51E86"/>
    <w:rsid w:val="00C51EA0"/>
    <w:rsid w:val="00C53219"/>
    <w:rsid w:val="00C53734"/>
    <w:rsid w:val="00C538F0"/>
    <w:rsid w:val="00C545C8"/>
    <w:rsid w:val="00C5476F"/>
    <w:rsid w:val="00C547A6"/>
    <w:rsid w:val="00C5484E"/>
    <w:rsid w:val="00C551E0"/>
    <w:rsid w:val="00C552A3"/>
    <w:rsid w:val="00C554FB"/>
    <w:rsid w:val="00C55530"/>
    <w:rsid w:val="00C5564C"/>
    <w:rsid w:val="00C55DBB"/>
    <w:rsid w:val="00C55F30"/>
    <w:rsid w:val="00C567CE"/>
    <w:rsid w:val="00C56B1B"/>
    <w:rsid w:val="00C56F9E"/>
    <w:rsid w:val="00C5715D"/>
    <w:rsid w:val="00C574F8"/>
    <w:rsid w:val="00C57D14"/>
    <w:rsid w:val="00C57DD7"/>
    <w:rsid w:val="00C57F92"/>
    <w:rsid w:val="00C608D9"/>
    <w:rsid w:val="00C60C1B"/>
    <w:rsid w:val="00C61AA7"/>
    <w:rsid w:val="00C61C12"/>
    <w:rsid w:val="00C61FC4"/>
    <w:rsid w:val="00C63371"/>
    <w:rsid w:val="00C64342"/>
    <w:rsid w:val="00C64630"/>
    <w:rsid w:val="00C64679"/>
    <w:rsid w:val="00C646A0"/>
    <w:rsid w:val="00C64875"/>
    <w:rsid w:val="00C650BD"/>
    <w:rsid w:val="00C653CD"/>
    <w:rsid w:val="00C655A9"/>
    <w:rsid w:val="00C65859"/>
    <w:rsid w:val="00C65C17"/>
    <w:rsid w:val="00C661C0"/>
    <w:rsid w:val="00C6620E"/>
    <w:rsid w:val="00C664F1"/>
    <w:rsid w:val="00C6673B"/>
    <w:rsid w:val="00C66E35"/>
    <w:rsid w:val="00C66F29"/>
    <w:rsid w:val="00C67B27"/>
    <w:rsid w:val="00C705C5"/>
    <w:rsid w:val="00C7096A"/>
    <w:rsid w:val="00C713C8"/>
    <w:rsid w:val="00C714EF"/>
    <w:rsid w:val="00C7192D"/>
    <w:rsid w:val="00C71EC0"/>
    <w:rsid w:val="00C73660"/>
    <w:rsid w:val="00C7368C"/>
    <w:rsid w:val="00C73791"/>
    <w:rsid w:val="00C738D6"/>
    <w:rsid w:val="00C73B47"/>
    <w:rsid w:val="00C73B88"/>
    <w:rsid w:val="00C73DD9"/>
    <w:rsid w:val="00C73FB1"/>
    <w:rsid w:val="00C741AF"/>
    <w:rsid w:val="00C7425D"/>
    <w:rsid w:val="00C74545"/>
    <w:rsid w:val="00C74AD2"/>
    <w:rsid w:val="00C75C29"/>
    <w:rsid w:val="00C75D6F"/>
    <w:rsid w:val="00C76197"/>
    <w:rsid w:val="00C76356"/>
    <w:rsid w:val="00C764FE"/>
    <w:rsid w:val="00C76662"/>
    <w:rsid w:val="00C76A0D"/>
    <w:rsid w:val="00C77065"/>
    <w:rsid w:val="00C77185"/>
    <w:rsid w:val="00C77228"/>
    <w:rsid w:val="00C77391"/>
    <w:rsid w:val="00C77E97"/>
    <w:rsid w:val="00C80708"/>
    <w:rsid w:val="00C80F58"/>
    <w:rsid w:val="00C813AA"/>
    <w:rsid w:val="00C81579"/>
    <w:rsid w:val="00C81706"/>
    <w:rsid w:val="00C81EE3"/>
    <w:rsid w:val="00C82001"/>
    <w:rsid w:val="00C824C7"/>
    <w:rsid w:val="00C8260C"/>
    <w:rsid w:val="00C828EC"/>
    <w:rsid w:val="00C82992"/>
    <w:rsid w:val="00C82F7F"/>
    <w:rsid w:val="00C82FB8"/>
    <w:rsid w:val="00C84182"/>
    <w:rsid w:val="00C841DD"/>
    <w:rsid w:val="00C845E1"/>
    <w:rsid w:val="00C84D11"/>
    <w:rsid w:val="00C84D30"/>
    <w:rsid w:val="00C84E1A"/>
    <w:rsid w:val="00C8501B"/>
    <w:rsid w:val="00C85120"/>
    <w:rsid w:val="00C852D2"/>
    <w:rsid w:val="00C85993"/>
    <w:rsid w:val="00C864E9"/>
    <w:rsid w:val="00C87143"/>
    <w:rsid w:val="00C871B7"/>
    <w:rsid w:val="00C873B1"/>
    <w:rsid w:val="00C87AA8"/>
    <w:rsid w:val="00C87E1A"/>
    <w:rsid w:val="00C9008A"/>
    <w:rsid w:val="00C904F9"/>
    <w:rsid w:val="00C9056D"/>
    <w:rsid w:val="00C90EB7"/>
    <w:rsid w:val="00C9160A"/>
    <w:rsid w:val="00C91973"/>
    <w:rsid w:val="00C919E3"/>
    <w:rsid w:val="00C91A34"/>
    <w:rsid w:val="00C91A67"/>
    <w:rsid w:val="00C92141"/>
    <w:rsid w:val="00C92397"/>
    <w:rsid w:val="00C9283F"/>
    <w:rsid w:val="00C9285A"/>
    <w:rsid w:val="00C92914"/>
    <w:rsid w:val="00C92A71"/>
    <w:rsid w:val="00C92C80"/>
    <w:rsid w:val="00C92DC4"/>
    <w:rsid w:val="00C930CE"/>
    <w:rsid w:val="00C93AC9"/>
    <w:rsid w:val="00C93BF0"/>
    <w:rsid w:val="00C9408A"/>
    <w:rsid w:val="00C94167"/>
    <w:rsid w:val="00C94441"/>
    <w:rsid w:val="00C94442"/>
    <w:rsid w:val="00C947D1"/>
    <w:rsid w:val="00C95397"/>
    <w:rsid w:val="00C95B0D"/>
    <w:rsid w:val="00C9690D"/>
    <w:rsid w:val="00C96EF8"/>
    <w:rsid w:val="00C96FC6"/>
    <w:rsid w:val="00C97656"/>
    <w:rsid w:val="00C97942"/>
    <w:rsid w:val="00CA050F"/>
    <w:rsid w:val="00CA05A8"/>
    <w:rsid w:val="00CA05C8"/>
    <w:rsid w:val="00CA065E"/>
    <w:rsid w:val="00CA12DB"/>
    <w:rsid w:val="00CA13B6"/>
    <w:rsid w:val="00CA14C5"/>
    <w:rsid w:val="00CA19EE"/>
    <w:rsid w:val="00CA1B50"/>
    <w:rsid w:val="00CA1EA4"/>
    <w:rsid w:val="00CA2362"/>
    <w:rsid w:val="00CA24EC"/>
    <w:rsid w:val="00CA2638"/>
    <w:rsid w:val="00CA2C96"/>
    <w:rsid w:val="00CA3461"/>
    <w:rsid w:val="00CA3647"/>
    <w:rsid w:val="00CA3E79"/>
    <w:rsid w:val="00CA3FED"/>
    <w:rsid w:val="00CA403A"/>
    <w:rsid w:val="00CA40F9"/>
    <w:rsid w:val="00CA4524"/>
    <w:rsid w:val="00CA4771"/>
    <w:rsid w:val="00CA48B7"/>
    <w:rsid w:val="00CA4956"/>
    <w:rsid w:val="00CA4A2A"/>
    <w:rsid w:val="00CA4F66"/>
    <w:rsid w:val="00CA55A5"/>
    <w:rsid w:val="00CA5742"/>
    <w:rsid w:val="00CA5AC3"/>
    <w:rsid w:val="00CA6542"/>
    <w:rsid w:val="00CA656B"/>
    <w:rsid w:val="00CA65E8"/>
    <w:rsid w:val="00CA6CA8"/>
    <w:rsid w:val="00CA6DE3"/>
    <w:rsid w:val="00CA71D2"/>
    <w:rsid w:val="00CA74D0"/>
    <w:rsid w:val="00CA7780"/>
    <w:rsid w:val="00CA7D4A"/>
    <w:rsid w:val="00CB08B7"/>
    <w:rsid w:val="00CB0912"/>
    <w:rsid w:val="00CB099D"/>
    <w:rsid w:val="00CB0F46"/>
    <w:rsid w:val="00CB106A"/>
    <w:rsid w:val="00CB1190"/>
    <w:rsid w:val="00CB11AE"/>
    <w:rsid w:val="00CB15CC"/>
    <w:rsid w:val="00CB198B"/>
    <w:rsid w:val="00CB1BFB"/>
    <w:rsid w:val="00CB1F60"/>
    <w:rsid w:val="00CB2769"/>
    <w:rsid w:val="00CB2973"/>
    <w:rsid w:val="00CB29DF"/>
    <w:rsid w:val="00CB2A6F"/>
    <w:rsid w:val="00CB31A7"/>
    <w:rsid w:val="00CB333F"/>
    <w:rsid w:val="00CB348D"/>
    <w:rsid w:val="00CB39C5"/>
    <w:rsid w:val="00CB3BF1"/>
    <w:rsid w:val="00CB3D7B"/>
    <w:rsid w:val="00CB4145"/>
    <w:rsid w:val="00CB4998"/>
    <w:rsid w:val="00CB4D6D"/>
    <w:rsid w:val="00CB5780"/>
    <w:rsid w:val="00CB592F"/>
    <w:rsid w:val="00CB602F"/>
    <w:rsid w:val="00CB60D9"/>
    <w:rsid w:val="00CB6574"/>
    <w:rsid w:val="00CB68FF"/>
    <w:rsid w:val="00CB6943"/>
    <w:rsid w:val="00CB6E73"/>
    <w:rsid w:val="00CB720D"/>
    <w:rsid w:val="00CB7417"/>
    <w:rsid w:val="00CB762F"/>
    <w:rsid w:val="00CB783B"/>
    <w:rsid w:val="00CB793B"/>
    <w:rsid w:val="00CB7D54"/>
    <w:rsid w:val="00CC09D9"/>
    <w:rsid w:val="00CC09DC"/>
    <w:rsid w:val="00CC0D39"/>
    <w:rsid w:val="00CC0D58"/>
    <w:rsid w:val="00CC152B"/>
    <w:rsid w:val="00CC177F"/>
    <w:rsid w:val="00CC20CA"/>
    <w:rsid w:val="00CC2261"/>
    <w:rsid w:val="00CC2311"/>
    <w:rsid w:val="00CC2793"/>
    <w:rsid w:val="00CC29D4"/>
    <w:rsid w:val="00CC2E1C"/>
    <w:rsid w:val="00CC2FB5"/>
    <w:rsid w:val="00CC3155"/>
    <w:rsid w:val="00CC35CA"/>
    <w:rsid w:val="00CC38F9"/>
    <w:rsid w:val="00CC39E7"/>
    <w:rsid w:val="00CC3E72"/>
    <w:rsid w:val="00CC4183"/>
    <w:rsid w:val="00CC44BC"/>
    <w:rsid w:val="00CC4589"/>
    <w:rsid w:val="00CC4789"/>
    <w:rsid w:val="00CC47B8"/>
    <w:rsid w:val="00CC4CE7"/>
    <w:rsid w:val="00CC4CF7"/>
    <w:rsid w:val="00CC4D19"/>
    <w:rsid w:val="00CC4F2A"/>
    <w:rsid w:val="00CC50F2"/>
    <w:rsid w:val="00CC5D5B"/>
    <w:rsid w:val="00CC5EF8"/>
    <w:rsid w:val="00CC6040"/>
    <w:rsid w:val="00CC686E"/>
    <w:rsid w:val="00CC6EDF"/>
    <w:rsid w:val="00CC7444"/>
    <w:rsid w:val="00CC7D4A"/>
    <w:rsid w:val="00CC7E93"/>
    <w:rsid w:val="00CC7F52"/>
    <w:rsid w:val="00CD02C6"/>
    <w:rsid w:val="00CD0B21"/>
    <w:rsid w:val="00CD0E33"/>
    <w:rsid w:val="00CD1122"/>
    <w:rsid w:val="00CD121B"/>
    <w:rsid w:val="00CD12FA"/>
    <w:rsid w:val="00CD1725"/>
    <w:rsid w:val="00CD1745"/>
    <w:rsid w:val="00CD1903"/>
    <w:rsid w:val="00CD1ACB"/>
    <w:rsid w:val="00CD1C9A"/>
    <w:rsid w:val="00CD204B"/>
    <w:rsid w:val="00CD2221"/>
    <w:rsid w:val="00CD3172"/>
    <w:rsid w:val="00CD31AE"/>
    <w:rsid w:val="00CD333C"/>
    <w:rsid w:val="00CD38A8"/>
    <w:rsid w:val="00CD4321"/>
    <w:rsid w:val="00CD43A1"/>
    <w:rsid w:val="00CD4538"/>
    <w:rsid w:val="00CD64BA"/>
    <w:rsid w:val="00CD65CF"/>
    <w:rsid w:val="00CD6851"/>
    <w:rsid w:val="00CD68C0"/>
    <w:rsid w:val="00CD68EB"/>
    <w:rsid w:val="00CD6AA6"/>
    <w:rsid w:val="00CD6AB3"/>
    <w:rsid w:val="00CD6EF5"/>
    <w:rsid w:val="00CD71CB"/>
    <w:rsid w:val="00CD72FE"/>
    <w:rsid w:val="00CD7448"/>
    <w:rsid w:val="00CD762F"/>
    <w:rsid w:val="00CD77C2"/>
    <w:rsid w:val="00CD7967"/>
    <w:rsid w:val="00CD79FD"/>
    <w:rsid w:val="00CD7DE0"/>
    <w:rsid w:val="00CE013E"/>
    <w:rsid w:val="00CE047C"/>
    <w:rsid w:val="00CE0935"/>
    <w:rsid w:val="00CE0ABE"/>
    <w:rsid w:val="00CE122B"/>
    <w:rsid w:val="00CE1574"/>
    <w:rsid w:val="00CE1896"/>
    <w:rsid w:val="00CE1908"/>
    <w:rsid w:val="00CE1A62"/>
    <w:rsid w:val="00CE1B26"/>
    <w:rsid w:val="00CE2436"/>
    <w:rsid w:val="00CE25F7"/>
    <w:rsid w:val="00CE2883"/>
    <w:rsid w:val="00CE2CFC"/>
    <w:rsid w:val="00CE3407"/>
    <w:rsid w:val="00CE363B"/>
    <w:rsid w:val="00CE3EF6"/>
    <w:rsid w:val="00CE452E"/>
    <w:rsid w:val="00CE4772"/>
    <w:rsid w:val="00CE4A89"/>
    <w:rsid w:val="00CE4E24"/>
    <w:rsid w:val="00CE4FFE"/>
    <w:rsid w:val="00CE51D6"/>
    <w:rsid w:val="00CE5437"/>
    <w:rsid w:val="00CE5BA7"/>
    <w:rsid w:val="00CE5F4A"/>
    <w:rsid w:val="00CE6137"/>
    <w:rsid w:val="00CE64D0"/>
    <w:rsid w:val="00CE6618"/>
    <w:rsid w:val="00CE67B5"/>
    <w:rsid w:val="00CE69AD"/>
    <w:rsid w:val="00CE6A52"/>
    <w:rsid w:val="00CE6E7B"/>
    <w:rsid w:val="00CE723D"/>
    <w:rsid w:val="00CE731E"/>
    <w:rsid w:val="00CE78F2"/>
    <w:rsid w:val="00CE795C"/>
    <w:rsid w:val="00CE79FC"/>
    <w:rsid w:val="00CE7BDB"/>
    <w:rsid w:val="00CF0108"/>
    <w:rsid w:val="00CF06B1"/>
    <w:rsid w:val="00CF0E6B"/>
    <w:rsid w:val="00CF0E77"/>
    <w:rsid w:val="00CF1762"/>
    <w:rsid w:val="00CF2576"/>
    <w:rsid w:val="00CF2939"/>
    <w:rsid w:val="00CF29D8"/>
    <w:rsid w:val="00CF2D14"/>
    <w:rsid w:val="00CF2FFF"/>
    <w:rsid w:val="00CF337D"/>
    <w:rsid w:val="00CF3C0E"/>
    <w:rsid w:val="00CF3CD0"/>
    <w:rsid w:val="00CF5718"/>
    <w:rsid w:val="00CF5732"/>
    <w:rsid w:val="00CF5E57"/>
    <w:rsid w:val="00CF5F51"/>
    <w:rsid w:val="00CF5F7A"/>
    <w:rsid w:val="00CF5F7F"/>
    <w:rsid w:val="00CF6601"/>
    <w:rsid w:val="00CF679F"/>
    <w:rsid w:val="00CF67E4"/>
    <w:rsid w:val="00CF6B63"/>
    <w:rsid w:val="00CF6F50"/>
    <w:rsid w:val="00CF70FD"/>
    <w:rsid w:val="00CF77EA"/>
    <w:rsid w:val="00CF7C04"/>
    <w:rsid w:val="00CF7E3E"/>
    <w:rsid w:val="00D002FE"/>
    <w:rsid w:val="00D00360"/>
    <w:rsid w:val="00D00896"/>
    <w:rsid w:val="00D00E2B"/>
    <w:rsid w:val="00D00FE3"/>
    <w:rsid w:val="00D01358"/>
    <w:rsid w:val="00D01504"/>
    <w:rsid w:val="00D015C8"/>
    <w:rsid w:val="00D01B7D"/>
    <w:rsid w:val="00D01C77"/>
    <w:rsid w:val="00D01F4A"/>
    <w:rsid w:val="00D02207"/>
    <w:rsid w:val="00D023C9"/>
    <w:rsid w:val="00D024BD"/>
    <w:rsid w:val="00D02CF0"/>
    <w:rsid w:val="00D03765"/>
    <w:rsid w:val="00D03CFE"/>
    <w:rsid w:val="00D03DC6"/>
    <w:rsid w:val="00D04104"/>
    <w:rsid w:val="00D0413C"/>
    <w:rsid w:val="00D04156"/>
    <w:rsid w:val="00D04435"/>
    <w:rsid w:val="00D0460F"/>
    <w:rsid w:val="00D048C9"/>
    <w:rsid w:val="00D04A62"/>
    <w:rsid w:val="00D04CFD"/>
    <w:rsid w:val="00D04D70"/>
    <w:rsid w:val="00D053B4"/>
    <w:rsid w:val="00D058F7"/>
    <w:rsid w:val="00D05EB8"/>
    <w:rsid w:val="00D06080"/>
    <w:rsid w:val="00D06914"/>
    <w:rsid w:val="00D0711D"/>
    <w:rsid w:val="00D07E71"/>
    <w:rsid w:val="00D1024B"/>
    <w:rsid w:val="00D10CFB"/>
    <w:rsid w:val="00D10E5B"/>
    <w:rsid w:val="00D10F9B"/>
    <w:rsid w:val="00D111A5"/>
    <w:rsid w:val="00D115C4"/>
    <w:rsid w:val="00D11611"/>
    <w:rsid w:val="00D11B1C"/>
    <w:rsid w:val="00D11BDD"/>
    <w:rsid w:val="00D11CFC"/>
    <w:rsid w:val="00D12027"/>
    <w:rsid w:val="00D12323"/>
    <w:rsid w:val="00D12649"/>
    <w:rsid w:val="00D1272F"/>
    <w:rsid w:val="00D12A1C"/>
    <w:rsid w:val="00D13197"/>
    <w:rsid w:val="00D13620"/>
    <w:rsid w:val="00D136B9"/>
    <w:rsid w:val="00D13940"/>
    <w:rsid w:val="00D13A37"/>
    <w:rsid w:val="00D13A9C"/>
    <w:rsid w:val="00D13C10"/>
    <w:rsid w:val="00D13CE6"/>
    <w:rsid w:val="00D13D7D"/>
    <w:rsid w:val="00D13F84"/>
    <w:rsid w:val="00D140C7"/>
    <w:rsid w:val="00D1426B"/>
    <w:rsid w:val="00D142F0"/>
    <w:rsid w:val="00D1437C"/>
    <w:rsid w:val="00D14657"/>
    <w:rsid w:val="00D14C0A"/>
    <w:rsid w:val="00D14FF8"/>
    <w:rsid w:val="00D157C1"/>
    <w:rsid w:val="00D15C78"/>
    <w:rsid w:val="00D15CF2"/>
    <w:rsid w:val="00D1606E"/>
    <w:rsid w:val="00D1620C"/>
    <w:rsid w:val="00D1670A"/>
    <w:rsid w:val="00D173F7"/>
    <w:rsid w:val="00D177BB"/>
    <w:rsid w:val="00D17B59"/>
    <w:rsid w:val="00D17B64"/>
    <w:rsid w:val="00D17C39"/>
    <w:rsid w:val="00D2084D"/>
    <w:rsid w:val="00D20B23"/>
    <w:rsid w:val="00D20C51"/>
    <w:rsid w:val="00D2131E"/>
    <w:rsid w:val="00D21321"/>
    <w:rsid w:val="00D2168E"/>
    <w:rsid w:val="00D21749"/>
    <w:rsid w:val="00D22020"/>
    <w:rsid w:val="00D2244D"/>
    <w:rsid w:val="00D22990"/>
    <w:rsid w:val="00D22AAB"/>
    <w:rsid w:val="00D22F63"/>
    <w:rsid w:val="00D235AA"/>
    <w:rsid w:val="00D239B7"/>
    <w:rsid w:val="00D23D9D"/>
    <w:rsid w:val="00D244C3"/>
    <w:rsid w:val="00D245A2"/>
    <w:rsid w:val="00D24C47"/>
    <w:rsid w:val="00D25093"/>
    <w:rsid w:val="00D25F01"/>
    <w:rsid w:val="00D25FD4"/>
    <w:rsid w:val="00D26355"/>
    <w:rsid w:val="00D26B63"/>
    <w:rsid w:val="00D26F36"/>
    <w:rsid w:val="00D2714D"/>
    <w:rsid w:val="00D27598"/>
    <w:rsid w:val="00D2761C"/>
    <w:rsid w:val="00D27B56"/>
    <w:rsid w:val="00D27DBA"/>
    <w:rsid w:val="00D3023A"/>
    <w:rsid w:val="00D303D9"/>
    <w:rsid w:val="00D304B5"/>
    <w:rsid w:val="00D30566"/>
    <w:rsid w:val="00D30D34"/>
    <w:rsid w:val="00D30E11"/>
    <w:rsid w:val="00D30ECE"/>
    <w:rsid w:val="00D31095"/>
    <w:rsid w:val="00D3131F"/>
    <w:rsid w:val="00D31533"/>
    <w:rsid w:val="00D32601"/>
    <w:rsid w:val="00D32707"/>
    <w:rsid w:val="00D33162"/>
    <w:rsid w:val="00D33329"/>
    <w:rsid w:val="00D33B17"/>
    <w:rsid w:val="00D33FF7"/>
    <w:rsid w:val="00D34526"/>
    <w:rsid w:val="00D34CC0"/>
    <w:rsid w:val="00D3520A"/>
    <w:rsid w:val="00D356A3"/>
    <w:rsid w:val="00D358F7"/>
    <w:rsid w:val="00D35C9F"/>
    <w:rsid w:val="00D35CCC"/>
    <w:rsid w:val="00D35DAA"/>
    <w:rsid w:val="00D35DC0"/>
    <w:rsid w:val="00D35E75"/>
    <w:rsid w:val="00D36093"/>
    <w:rsid w:val="00D36928"/>
    <w:rsid w:val="00D36D22"/>
    <w:rsid w:val="00D36DCE"/>
    <w:rsid w:val="00D36F0B"/>
    <w:rsid w:val="00D37013"/>
    <w:rsid w:val="00D3701F"/>
    <w:rsid w:val="00D3737A"/>
    <w:rsid w:val="00D374A8"/>
    <w:rsid w:val="00D377DA"/>
    <w:rsid w:val="00D37B41"/>
    <w:rsid w:val="00D37F11"/>
    <w:rsid w:val="00D405BE"/>
    <w:rsid w:val="00D408C6"/>
    <w:rsid w:val="00D410BB"/>
    <w:rsid w:val="00D4112B"/>
    <w:rsid w:val="00D41A71"/>
    <w:rsid w:val="00D41D3D"/>
    <w:rsid w:val="00D42DA0"/>
    <w:rsid w:val="00D42DA4"/>
    <w:rsid w:val="00D4310D"/>
    <w:rsid w:val="00D43C71"/>
    <w:rsid w:val="00D43D7A"/>
    <w:rsid w:val="00D43FE3"/>
    <w:rsid w:val="00D44230"/>
    <w:rsid w:val="00D442C0"/>
    <w:rsid w:val="00D4430C"/>
    <w:rsid w:val="00D44843"/>
    <w:rsid w:val="00D44A9E"/>
    <w:rsid w:val="00D44ED7"/>
    <w:rsid w:val="00D46106"/>
    <w:rsid w:val="00D46132"/>
    <w:rsid w:val="00D4623F"/>
    <w:rsid w:val="00D46365"/>
    <w:rsid w:val="00D46663"/>
    <w:rsid w:val="00D46D72"/>
    <w:rsid w:val="00D46EBF"/>
    <w:rsid w:val="00D46FD4"/>
    <w:rsid w:val="00D4751E"/>
    <w:rsid w:val="00D47686"/>
    <w:rsid w:val="00D47857"/>
    <w:rsid w:val="00D47CE9"/>
    <w:rsid w:val="00D5027A"/>
    <w:rsid w:val="00D50760"/>
    <w:rsid w:val="00D507F4"/>
    <w:rsid w:val="00D5092F"/>
    <w:rsid w:val="00D50C0B"/>
    <w:rsid w:val="00D50CC4"/>
    <w:rsid w:val="00D50F24"/>
    <w:rsid w:val="00D51388"/>
    <w:rsid w:val="00D5199F"/>
    <w:rsid w:val="00D52038"/>
    <w:rsid w:val="00D52514"/>
    <w:rsid w:val="00D52689"/>
    <w:rsid w:val="00D527DA"/>
    <w:rsid w:val="00D52A75"/>
    <w:rsid w:val="00D52E1B"/>
    <w:rsid w:val="00D52E1F"/>
    <w:rsid w:val="00D5378F"/>
    <w:rsid w:val="00D53D6F"/>
    <w:rsid w:val="00D53D7B"/>
    <w:rsid w:val="00D5475B"/>
    <w:rsid w:val="00D54F86"/>
    <w:rsid w:val="00D5540D"/>
    <w:rsid w:val="00D56060"/>
    <w:rsid w:val="00D56189"/>
    <w:rsid w:val="00D562C1"/>
    <w:rsid w:val="00D5676C"/>
    <w:rsid w:val="00D573BA"/>
    <w:rsid w:val="00D57414"/>
    <w:rsid w:val="00D576F5"/>
    <w:rsid w:val="00D57987"/>
    <w:rsid w:val="00D60420"/>
    <w:rsid w:val="00D60501"/>
    <w:rsid w:val="00D60532"/>
    <w:rsid w:val="00D609AC"/>
    <w:rsid w:val="00D60AA6"/>
    <w:rsid w:val="00D619F9"/>
    <w:rsid w:val="00D61C96"/>
    <w:rsid w:val="00D61E92"/>
    <w:rsid w:val="00D62249"/>
    <w:rsid w:val="00D622D9"/>
    <w:rsid w:val="00D626F3"/>
    <w:rsid w:val="00D62953"/>
    <w:rsid w:val="00D62ACE"/>
    <w:rsid w:val="00D62BB0"/>
    <w:rsid w:val="00D63411"/>
    <w:rsid w:val="00D63531"/>
    <w:rsid w:val="00D6376B"/>
    <w:rsid w:val="00D6386D"/>
    <w:rsid w:val="00D63B21"/>
    <w:rsid w:val="00D64439"/>
    <w:rsid w:val="00D64507"/>
    <w:rsid w:val="00D64A78"/>
    <w:rsid w:val="00D64D1D"/>
    <w:rsid w:val="00D64FD4"/>
    <w:rsid w:val="00D65100"/>
    <w:rsid w:val="00D65139"/>
    <w:rsid w:val="00D65445"/>
    <w:rsid w:val="00D656A5"/>
    <w:rsid w:val="00D65914"/>
    <w:rsid w:val="00D65AEC"/>
    <w:rsid w:val="00D65F4D"/>
    <w:rsid w:val="00D65FF3"/>
    <w:rsid w:val="00D661C8"/>
    <w:rsid w:val="00D666D4"/>
    <w:rsid w:val="00D668B8"/>
    <w:rsid w:val="00D66A7B"/>
    <w:rsid w:val="00D67651"/>
    <w:rsid w:val="00D67A87"/>
    <w:rsid w:val="00D70192"/>
    <w:rsid w:val="00D703D5"/>
    <w:rsid w:val="00D70555"/>
    <w:rsid w:val="00D70BEA"/>
    <w:rsid w:val="00D70E12"/>
    <w:rsid w:val="00D7158B"/>
    <w:rsid w:val="00D7197B"/>
    <w:rsid w:val="00D71BA1"/>
    <w:rsid w:val="00D71FE4"/>
    <w:rsid w:val="00D7219F"/>
    <w:rsid w:val="00D722FB"/>
    <w:rsid w:val="00D724A1"/>
    <w:rsid w:val="00D72537"/>
    <w:rsid w:val="00D728C1"/>
    <w:rsid w:val="00D72CFE"/>
    <w:rsid w:val="00D7323E"/>
    <w:rsid w:val="00D7346B"/>
    <w:rsid w:val="00D7352E"/>
    <w:rsid w:val="00D7435B"/>
    <w:rsid w:val="00D74365"/>
    <w:rsid w:val="00D7482B"/>
    <w:rsid w:val="00D74D4B"/>
    <w:rsid w:val="00D75ED7"/>
    <w:rsid w:val="00D76450"/>
    <w:rsid w:val="00D76510"/>
    <w:rsid w:val="00D76B5C"/>
    <w:rsid w:val="00D76C9D"/>
    <w:rsid w:val="00D76F9C"/>
    <w:rsid w:val="00D76FCE"/>
    <w:rsid w:val="00D77423"/>
    <w:rsid w:val="00D776DC"/>
    <w:rsid w:val="00D77799"/>
    <w:rsid w:val="00D77D07"/>
    <w:rsid w:val="00D77F3E"/>
    <w:rsid w:val="00D80218"/>
    <w:rsid w:val="00D80498"/>
    <w:rsid w:val="00D806C4"/>
    <w:rsid w:val="00D80E63"/>
    <w:rsid w:val="00D80EF4"/>
    <w:rsid w:val="00D81328"/>
    <w:rsid w:val="00D8133E"/>
    <w:rsid w:val="00D81777"/>
    <w:rsid w:val="00D81AB4"/>
    <w:rsid w:val="00D820DF"/>
    <w:rsid w:val="00D8269D"/>
    <w:rsid w:val="00D82EA7"/>
    <w:rsid w:val="00D82F67"/>
    <w:rsid w:val="00D83283"/>
    <w:rsid w:val="00D83511"/>
    <w:rsid w:val="00D83830"/>
    <w:rsid w:val="00D839D3"/>
    <w:rsid w:val="00D839E4"/>
    <w:rsid w:val="00D83E88"/>
    <w:rsid w:val="00D840B5"/>
    <w:rsid w:val="00D842C2"/>
    <w:rsid w:val="00D84A7D"/>
    <w:rsid w:val="00D84C51"/>
    <w:rsid w:val="00D84E1C"/>
    <w:rsid w:val="00D84F14"/>
    <w:rsid w:val="00D8501E"/>
    <w:rsid w:val="00D850C2"/>
    <w:rsid w:val="00D8533A"/>
    <w:rsid w:val="00D855C5"/>
    <w:rsid w:val="00D85653"/>
    <w:rsid w:val="00D857E4"/>
    <w:rsid w:val="00D85852"/>
    <w:rsid w:val="00D85BE8"/>
    <w:rsid w:val="00D866B7"/>
    <w:rsid w:val="00D868A3"/>
    <w:rsid w:val="00D86C71"/>
    <w:rsid w:val="00D873C0"/>
    <w:rsid w:val="00D87911"/>
    <w:rsid w:val="00D879F2"/>
    <w:rsid w:val="00D87E37"/>
    <w:rsid w:val="00D90376"/>
    <w:rsid w:val="00D903E4"/>
    <w:rsid w:val="00D90971"/>
    <w:rsid w:val="00D90F92"/>
    <w:rsid w:val="00D9118F"/>
    <w:rsid w:val="00D91355"/>
    <w:rsid w:val="00D91BBD"/>
    <w:rsid w:val="00D91BE3"/>
    <w:rsid w:val="00D9225F"/>
    <w:rsid w:val="00D922EB"/>
    <w:rsid w:val="00D92788"/>
    <w:rsid w:val="00D92CEE"/>
    <w:rsid w:val="00D936AB"/>
    <w:rsid w:val="00D94356"/>
    <w:rsid w:val="00D945B2"/>
    <w:rsid w:val="00D94677"/>
    <w:rsid w:val="00D94D40"/>
    <w:rsid w:val="00D95060"/>
    <w:rsid w:val="00D951DF"/>
    <w:rsid w:val="00D9593E"/>
    <w:rsid w:val="00D95E9C"/>
    <w:rsid w:val="00D95F2B"/>
    <w:rsid w:val="00D95F78"/>
    <w:rsid w:val="00D95F7A"/>
    <w:rsid w:val="00D96009"/>
    <w:rsid w:val="00D962AB"/>
    <w:rsid w:val="00D965EA"/>
    <w:rsid w:val="00D96C97"/>
    <w:rsid w:val="00D97061"/>
    <w:rsid w:val="00D97326"/>
    <w:rsid w:val="00D97490"/>
    <w:rsid w:val="00D976E7"/>
    <w:rsid w:val="00D977C8"/>
    <w:rsid w:val="00D97D41"/>
    <w:rsid w:val="00D97F7E"/>
    <w:rsid w:val="00DA05EA"/>
    <w:rsid w:val="00DA069A"/>
    <w:rsid w:val="00DA153D"/>
    <w:rsid w:val="00DA17E4"/>
    <w:rsid w:val="00DA18CE"/>
    <w:rsid w:val="00DA26ED"/>
    <w:rsid w:val="00DA2C46"/>
    <w:rsid w:val="00DA2F8C"/>
    <w:rsid w:val="00DA31F6"/>
    <w:rsid w:val="00DA33E1"/>
    <w:rsid w:val="00DA3CB2"/>
    <w:rsid w:val="00DA3D59"/>
    <w:rsid w:val="00DA41C4"/>
    <w:rsid w:val="00DA43EC"/>
    <w:rsid w:val="00DA473C"/>
    <w:rsid w:val="00DA481F"/>
    <w:rsid w:val="00DA49A0"/>
    <w:rsid w:val="00DA4F79"/>
    <w:rsid w:val="00DA53CB"/>
    <w:rsid w:val="00DA5933"/>
    <w:rsid w:val="00DA5A62"/>
    <w:rsid w:val="00DA5AE4"/>
    <w:rsid w:val="00DA5CEC"/>
    <w:rsid w:val="00DA623E"/>
    <w:rsid w:val="00DA6459"/>
    <w:rsid w:val="00DA6521"/>
    <w:rsid w:val="00DA6E9B"/>
    <w:rsid w:val="00DA6F1A"/>
    <w:rsid w:val="00DA7648"/>
    <w:rsid w:val="00DA7769"/>
    <w:rsid w:val="00DA7835"/>
    <w:rsid w:val="00DA7C8B"/>
    <w:rsid w:val="00DB020A"/>
    <w:rsid w:val="00DB0472"/>
    <w:rsid w:val="00DB0805"/>
    <w:rsid w:val="00DB097E"/>
    <w:rsid w:val="00DB09DF"/>
    <w:rsid w:val="00DB0DEC"/>
    <w:rsid w:val="00DB1348"/>
    <w:rsid w:val="00DB1878"/>
    <w:rsid w:val="00DB1DFA"/>
    <w:rsid w:val="00DB21B3"/>
    <w:rsid w:val="00DB27F6"/>
    <w:rsid w:val="00DB295E"/>
    <w:rsid w:val="00DB2CA2"/>
    <w:rsid w:val="00DB2F43"/>
    <w:rsid w:val="00DB3186"/>
    <w:rsid w:val="00DB3418"/>
    <w:rsid w:val="00DB348D"/>
    <w:rsid w:val="00DB35C1"/>
    <w:rsid w:val="00DB3AC1"/>
    <w:rsid w:val="00DB3E1E"/>
    <w:rsid w:val="00DB3F2B"/>
    <w:rsid w:val="00DB419C"/>
    <w:rsid w:val="00DB46BF"/>
    <w:rsid w:val="00DB4730"/>
    <w:rsid w:val="00DB477F"/>
    <w:rsid w:val="00DB4E28"/>
    <w:rsid w:val="00DB4FB5"/>
    <w:rsid w:val="00DB520D"/>
    <w:rsid w:val="00DB550F"/>
    <w:rsid w:val="00DB5C39"/>
    <w:rsid w:val="00DB5F49"/>
    <w:rsid w:val="00DB62F2"/>
    <w:rsid w:val="00DB63FD"/>
    <w:rsid w:val="00DB6CDB"/>
    <w:rsid w:val="00DB6CEA"/>
    <w:rsid w:val="00DB6EB4"/>
    <w:rsid w:val="00DB702A"/>
    <w:rsid w:val="00DB70CC"/>
    <w:rsid w:val="00DB71D5"/>
    <w:rsid w:val="00DB7266"/>
    <w:rsid w:val="00DB7A09"/>
    <w:rsid w:val="00DC0069"/>
    <w:rsid w:val="00DC0BD5"/>
    <w:rsid w:val="00DC0D09"/>
    <w:rsid w:val="00DC0DB5"/>
    <w:rsid w:val="00DC1B2F"/>
    <w:rsid w:val="00DC23C7"/>
    <w:rsid w:val="00DC2660"/>
    <w:rsid w:val="00DC2CE9"/>
    <w:rsid w:val="00DC3BCF"/>
    <w:rsid w:val="00DC3D7D"/>
    <w:rsid w:val="00DC4247"/>
    <w:rsid w:val="00DC4823"/>
    <w:rsid w:val="00DC4EC6"/>
    <w:rsid w:val="00DC5020"/>
    <w:rsid w:val="00DC5939"/>
    <w:rsid w:val="00DC5D02"/>
    <w:rsid w:val="00DC6186"/>
    <w:rsid w:val="00DC61DE"/>
    <w:rsid w:val="00DC6243"/>
    <w:rsid w:val="00DC639C"/>
    <w:rsid w:val="00DC6972"/>
    <w:rsid w:val="00DC69BF"/>
    <w:rsid w:val="00DC76C8"/>
    <w:rsid w:val="00DC7E69"/>
    <w:rsid w:val="00DD07E2"/>
    <w:rsid w:val="00DD083D"/>
    <w:rsid w:val="00DD0C92"/>
    <w:rsid w:val="00DD105F"/>
    <w:rsid w:val="00DD1224"/>
    <w:rsid w:val="00DD1712"/>
    <w:rsid w:val="00DD1885"/>
    <w:rsid w:val="00DD1939"/>
    <w:rsid w:val="00DD1A3D"/>
    <w:rsid w:val="00DD1E90"/>
    <w:rsid w:val="00DD2997"/>
    <w:rsid w:val="00DD302A"/>
    <w:rsid w:val="00DD33DC"/>
    <w:rsid w:val="00DD3A38"/>
    <w:rsid w:val="00DD3CA5"/>
    <w:rsid w:val="00DD3F23"/>
    <w:rsid w:val="00DD4460"/>
    <w:rsid w:val="00DD535B"/>
    <w:rsid w:val="00DD55C7"/>
    <w:rsid w:val="00DD55F7"/>
    <w:rsid w:val="00DD569E"/>
    <w:rsid w:val="00DD5B12"/>
    <w:rsid w:val="00DD5C0D"/>
    <w:rsid w:val="00DD5EEA"/>
    <w:rsid w:val="00DD5F40"/>
    <w:rsid w:val="00DD612F"/>
    <w:rsid w:val="00DD6D82"/>
    <w:rsid w:val="00DD708B"/>
    <w:rsid w:val="00DD7110"/>
    <w:rsid w:val="00DD746D"/>
    <w:rsid w:val="00DD790A"/>
    <w:rsid w:val="00DD7E44"/>
    <w:rsid w:val="00DD7E56"/>
    <w:rsid w:val="00DE05D6"/>
    <w:rsid w:val="00DE08B2"/>
    <w:rsid w:val="00DE0A00"/>
    <w:rsid w:val="00DE0A7E"/>
    <w:rsid w:val="00DE0F05"/>
    <w:rsid w:val="00DE1476"/>
    <w:rsid w:val="00DE16CE"/>
    <w:rsid w:val="00DE22B9"/>
    <w:rsid w:val="00DE22C0"/>
    <w:rsid w:val="00DE2352"/>
    <w:rsid w:val="00DE2AE1"/>
    <w:rsid w:val="00DE2D7C"/>
    <w:rsid w:val="00DE327F"/>
    <w:rsid w:val="00DE34A0"/>
    <w:rsid w:val="00DE35C8"/>
    <w:rsid w:val="00DE3D11"/>
    <w:rsid w:val="00DE40BA"/>
    <w:rsid w:val="00DE416E"/>
    <w:rsid w:val="00DE4D0D"/>
    <w:rsid w:val="00DE4F3D"/>
    <w:rsid w:val="00DE4FC8"/>
    <w:rsid w:val="00DE502C"/>
    <w:rsid w:val="00DE56B9"/>
    <w:rsid w:val="00DE5EC2"/>
    <w:rsid w:val="00DE6132"/>
    <w:rsid w:val="00DE666D"/>
    <w:rsid w:val="00DE6B73"/>
    <w:rsid w:val="00DE6B90"/>
    <w:rsid w:val="00DE6DA1"/>
    <w:rsid w:val="00DE7AA3"/>
    <w:rsid w:val="00DE7D8D"/>
    <w:rsid w:val="00DF02C9"/>
    <w:rsid w:val="00DF076E"/>
    <w:rsid w:val="00DF0A06"/>
    <w:rsid w:val="00DF0B7E"/>
    <w:rsid w:val="00DF1F1A"/>
    <w:rsid w:val="00DF1FF6"/>
    <w:rsid w:val="00DF207F"/>
    <w:rsid w:val="00DF20DA"/>
    <w:rsid w:val="00DF2115"/>
    <w:rsid w:val="00DF23D5"/>
    <w:rsid w:val="00DF284C"/>
    <w:rsid w:val="00DF2957"/>
    <w:rsid w:val="00DF29AE"/>
    <w:rsid w:val="00DF2A3C"/>
    <w:rsid w:val="00DF2D07"/>
    <w:rsid w:val="00DF3E46"/>
    <w:rsid w:val="00DF440D"/>
    <w:rsid w:val="00DF459A"/>
    <w:rsid w:val="00DF4610"/>
    <w:rsid w:val="00DF4BB3"/>
    <w:rsid w:val="00DF512B"/>
    <w:rsid w:val="00DF546F"/>
    <w:rsid w:val="00DF5882"/>
    <w:rsid w:val="00DF5BDC"/>
    <w:rsid w:val="00DF6063"/>
    <w:rsid w:val="00DF60F7"/>
    <w:rsid w:val="00DF6133"/>
    <w:rsid w:val="00DF6348"/>
    <w:rsid w:val="00DF6D0B"/>
    <w:rsid w:val="00DF6F79"/>
    <w:rsid w:val="00DF7506"/>
    <w:rsid w:val="00DF7705"/>
    <w:rsid w:val="00DF7BDC"/>
    <w:rsid w:val="00DF7CA1"/>
    <w:rsid w:val="00DF7DEA"/>
    <w:rsid w:val="00DF7E71"/>
    <w:rsid w:val="00E00068"/>
    <w:rsid w:val="00E0006C"/>
    <w:rsid w:val="00E00104"/>
    <w:rsid w:val="00E00168"/>
    <w:rsid w:val="00E007E8"/>
    <w:rsid w:val="00E0094F"/>
    <w:rsid w:val="00E0096F"/>
    <w:rsid w:val="00E00D1A"/>
    <w:rsid w:val="00E012E2"/>
    <w:rsid w:val="00E0189A"/>
    <w:rsid w:val="00E01B44"/>
    <w:rsid w:val="00E01D30"/>
    <w:rsid w:val="00E02735"/>
    <w:rsid w:val="00E029BC"/>
    <w:rsid w:val="00E02AE2"/>
    <w:rsid w:val="00E0333B"/>
    <w:rsid w:val="00E03B68"/>
    <w:rsid w:val="00E03D71"/>
    <w:rsid w:val="00E03FC9"/>
    <w:rsid w:val="00E04160"/>
    <w:rsid w:val="00E04310"/>
    <w:rsid w:val="00E043D4"/>
    <w:rsid w:val="00E04454"/>
    <w:rsid w:val="00E04672"/>
    <w:rsid w:val="00E04D92"/>
    <w:rsid w:val="00E05260"/>
    <w:rsid w:val="00E053C8"/>
    <w:rsid w:val="00E05641"/>
    <w:rsid w:val="00E056F0"/>
    <w:rsid w:val="00E05CFF"/>
    <w:rsid w:val="00E05F47"/>
    <w:rsid w:val="00E05FCC"/>
    <w:rsid w:val="00E060A0"/>
    <w:rsid w:val="00E06C0D"/>
    <w:rsid w:val="00E07C7D"/>
    <w:rsid w:val="00E07F27"/>
    <w:rsid w:val="00E10122"/>
    <w:rsid w:val="00E10451"/>
    <w:rsid w:val="00E10722"/>
    <w:rsid w:val="00E10835"/>
    <w:rsid w:val="00E10C78"/>
    <w:rsid w:val="00E10CC8"/>
    <w:rsid w:val="00E11933"/>
    <w:rsid w:val="00E11C55"/>
    <w:rsid w:val="00E11C65"/>
    <w:rsid w:val="00E124CE"/>
    <w:rsid w:val="00E126F2"/>
    <w:rsid w:val="00E12C61"/>
    <w:rsid w:val="00E133E7"/>
    <w:rsid w:val="00E1370F"/>
    <w:rsid w:val="00E137D5"/>
    <w:rsid w:val="00E1428C"/>
    <w:rsid w:val="00E145DC"/>
    <w:rsid w:val="00E146BB"/>
    <w:rsid w:val="00E147EA"/>
    <w:rsid w:val="00E150A0"/>
    <w:rsid w:val="00E1540D"/>
    <w:rsid w:val="00E16195"/>
    <w:rsid w:val="00E1642E"/>
    <w:rsid w:val="00E16B9F"/>
    <w:rsid w:val="00E16C41"/>
    <w:rsid w:val="00E17022"/>
    <w:rsid w:val="00E17210"/>
    <w:rsid w:val="00E1749F"/>
    <w:rsid w:val="00E17A4F"/>
    <w:rsid w:val="00E17F71"/>
    <w:rsid w:val="00E200D0"/>
    <w:rsid w:val="00E201EF"/>
    <w:rsid w:val="00E205E3"/>
    <w:rsid w:val="00E2107E"/>
    <w:rsid w:val="00E216A4"/>
    <w:rsid w:val="00E21FA5"/>
    <w:rsid w:val="00E226F8"/>
    <w:rsid w:val="00E22DD2"/>
    <w:rsid w:val="00E22EC9"/>
    <w:rsid w:val="00E230B5"/>
    <w:rsid w:val="00E232B2"/>
    <w:rsid w:val="00E2345D"/>
    <w:rsid w:val="00E237A8"/>
    <w:rsid w:val="00E237B3"/>
    <w:rsid w:val="00E2381D"/>
    <w:rsid w:val="00E23C13"/>
    <w:rsid w:val="00E23E18"/>
    <w:rsid w:val="00E23EAE"/>
    <w:rsid w:val="00E23F88"/>
    <w:rsid w:val="00E247C1"/>
    <w:rsid w:val="00E248C0"/>
    <w:rsid w:val="00E24A04"/>
    <w:rsid w:val="00E24AD2"/>
    <w:rsid w:val="00E24EA4"/>
    <w:rsid w:val="00E252A6"/>
    <w:rsid w:val="00E25C76"/>
    <w:rsid w:val="00E25CA4"/>
    <w:rsid w:val="00E25FF2"/>
    <w:rsid w:val="00E2625F"/>
    <w:rsid w:val="00E26431"/>
    <w:rsid w:val="00E2662F"/>
    <w:rsid w:val="00E26A76"/>
    <w:rsid w:val="00E26ADE"/>
    <w:rsid w:val="00E272AF"/>
    <w:rsid w:val="00E2774A"/>
    <w:rsid w:val="00E27A55"/>
    <w:rsid w:val="00E27C02"/>
    <w:rsid w:val="00E27C58"/>
    <w:rsid w:val="00E27C63"/>
    <w:rsid w:val="00E27F33"/>
    <w:rsid w:val="00E300F7"/>
    <w:rsid w:val="00E3045A"/>
    <w:rsid w:val="00E30F64"/>
    <w:rsid w:val="00E311AE"/>
    <w:rsid w:val="00E31370"/>
    <w:rsid w:val="00E31739"/>
    <w:rsid w:val="00E3226C"/>
    <w:rsid w:val="00E32381"/>
    <w:rsid w:val="00E32644"/>
    <w:rsid w:val="00E3280B"/>
    <w:rsid w:val="00E32E40"/>
    <w:rsid w:val="00E3301B"/>
    <w:rsid w:val="00E330A2"/>
    <w:rsid w:val="00E3312D"/>
    <w:rsid w:val="00E33C5E"/>
    <w:rsid w:val="00E33CF6"/>
    <w:rsid w:val="00E34299"/>
    <w:rsid w:val="00E34326"/>
    <w:rsid w:val="00E3443E"/>
    <w:rsid w:val="00E34D29"/>
    <w:rsid w:val="00E34D9E"/>
    <w:rsid w:val="00E353BF"/>
    <w:rsid w:val="00E355B9"/>
    <w:rsid w:val="00E355BC"/>
    <w:rsid w:val="00E356FD"/>
    <w:rsid w:val="00E358BB"/>
    <w:rsid w:val="00E35E31"/>
    <w:rsid w:val="00E360D1"/>
    <w:rsid w:val="00E36802"/>
    <w:rsid w:val="00E3696D"/>
    <w:rsid w:val="00E3754C"/>
    <w:rsid w:val="00E37683"/>
    <w:rsid w:val="00E37818"/>
    <w:rsid w:val="00E37DF5"/>
    <w:rsid w:val="00E37FF0"/>
    <w:rsid w:val="00E400D5"/>
    <w:rsid w:val="00E4077A"/>
    <w:rsid w:val="00E4092E"/>
    <w:rsid w:val="00E40A71"/>
    <w:rsid w:val="00E40DEB"/>
    <w:rsid w:val="00E41B9C"/>
    <w:rsid w:val="00E41C14"/>
    <w:rsid w:val="00E41F03"/>
    <w:rsid w:val="00E41FBF"/>
    <w:rsid w:val="00E420A2"/>
    <w:rsid w:val="00E42412"/>
    <w:rsid w:val="00E4250D"/>
    <w:rsid w:val="00E4271C"/>
    <w:rsid w:val="00E42B64"/>
    <w:rsid w:val="00E42BD9"/>
    <w:rsid w:val="00E43513"/>
    <w:rsid w:val="00E43577"/>
    <w:rsid w:val="00E4385D"/>
    <w:rsid w:val="00E43ABF"/>
    <w:rsid w:val="00E43DC0"/>
    <w:rsid w:val="00E43E4C"/>
    <w:rsid w:val="00E44083"/>
    <w:rsid w:val="00E44215"/>
    <w:rsid w:val="00E443EA"/>
    <w:rsid w:val="00E444A0"/>
    <w:rsid w:val="00E445AE"/>
    <w:rsid w:val="00E4466F"/>
    <w:rsid w:val="00E44D35"/>
    <w:rsid w:val="00E44D37"/>
    <w:rsid w:val="00E44E75"/>
    <w:rsid w:val="00E45759"/>
    <w:rsid w:val="00E45A5C"/>
    <w:rsid w:val="00E45D4E"/>
    <w:rsid w:val="00E45E4C"/>
    <w:rsid w:val="00E45F13"/>
    <w:rsid w:val="00E46247"/>
    <w:rsid w:val="00E463F2"/>
    <w:rsid w:val="00E4677F"/>
    <w:rsid w:val="00E46D7D"/>
    <w:rsid w:val="00E47026"/>
    <w:rsid w:val="00E471D6"/>
    <w:rsid w:val="00E47E19"/>
    <w:rsid w:val="00E47E56"/>
    <w:rsid w:val="00E50B5F"/>
    <w:rsid w:val="00E50D46"/>
    <w:rsid w:val="00E5156C"/>
    <w:rsid w:val="00E5174A"/>
    <w:rsid w:val="00E51C1B"/>
    <w:rsid w:val="00E521DB"/>
    <w:rsid w:val="00E52370"/>
    <w:rsid w:val="00E523ED"/>
    <w:rsid w:val="00E52711"/>
    <w:rsid w:val="00E5286A"/>
    <w:rsid w:val="00E53290"/>
    <w:rsid w:val="00E538D7"/>
    <w:rsid w:val="00E53925"/>
    <w:rsid w:val="00E54068"/>
    <w:rsid w:val="00E54204"/>
    <w:rsid w:val="00E5421F"/>
    <w:rsid w:val="00E54C9F"/>
    <w:rsid w:val="00E55294"/>
    <w:rsid w:val="00E555D9"/>
    <w:rsid w:val="00E55953"/>
    <w:rsid w:val="00E55C38"/>
    <w:rsid w:val="00E5600D"/>
    <w:rsid w:val="00E561BD"/>
    <w:rsid w:val="00E5621B"/>
    <w:rsid w:val="00E56347"/>
    <w:rsid w:val="00E5638C"/>
    <w:rsid w:val="00E563D4"/>
    <w:rsid w:val="00E574F4"/>
    <w:rsid w:val="00E57C30"/>
    <w:rsid w:val="00E57E53"/>
    <w:rsid w:val="00E57FEF"/>
    <w:rsid w:val="00E60357"/>
    <w:rsid w:val="00E60E1A"/>
    <w:rsid w:val="00E60E4E"/>
    <w:rsid w:val="00E61015"/>
    <w:rsid w:val="00E6113C"/>
    <w:rsid w:val="00E61612"/>
    <w:rsid w:val="00E61869"/>
    <w:rsid w:val="00E61BC4"/>
    <w:rsid w:val="00E61E8B"/>
    <w:rsid w:val="00E6273E"/>
    <w:rsid w:val="00E63EC4"/>
    <w:rsid w:val="00E63FE2"/>
    <w:rsid w:val="00E64403"/>
    <w:rsid w:val="00E6472E"/>
    <w:rsid w:val="00E6491B"/>
    <w:rsid w:val="00E64A9E"/>
    <w:rsid w:val="00E64F70"/>
    <w:rsid w:val="00E65260"/>
    <w:rsid w:val="00E658FD"/>
    <w:rsid w:val="00E65F2D"/>
    <w:rsid w:val="00E66467"/>
    <w:rsid w:val="00E664C8"/>
    <w:rsid w:val="00E6665B"/>
    <w:rsid w:val="00E6694E"/>
    <w:rsid w:val="00E671D7"/>
    <w:rsid w:val="00E672D4"/>
    <w:rsid w:val="00E67599"/>
    <w:rsid w:val="00E676C3"/>
    <w:rsid w:val="00E67937"/>
    <w:rsid w:val="00E67BDC"/>
    <w:rsid w:val="00E67C0C"/>
    <w:rsid w:val="00E701F0"/>
    <w:rsid w:val="00E708BD"/>
    <w:rsid w:val="00E70A81"/>
    <w:rsid w:val="00E717C4"/>
    <w:rsid w:val="00E72C30"/>
    <w:rsid w:val="00E72D95"/>
    <w:rsid w:val="00E731B5"/>
    <w:rsid w:val="00E733A7"/>
    <w:rsid w:val="00E7357E"/>
    <w:rsid w:val="00E735CD"/>
    <w:rsid w:val="00E73A9F"/>
    <w:rsid w:val="00E73B88"/>
    <w:rsid w:val="00E74A3D"/>
    <w:rsid w:val="00E74C6D"/>
    <w:rsid w:val="00E7518F"/>
    <w:rsid w:val="00E75787"/>
    <w:rsid w:val="00E7578B"/>
    <w:rsid w:val="00E75D8E"/>
    <w:rsid w:val="00E75E01"/>
    <w:rsid w:val="00E76174"/>
    <w:rsid w:val="00E7656B"/>
    <w:rsid w:val="00E76875"/>
    <w:rsid w:val="00E773B0"/>
    <w:rsid w:val="00E77515"/>
    <w:rsid w:val="00E7762F"/>
    <w:rsid w:val="00E77D19"/>
    <w:rsid w:val="00E77EB4"/>
    <w:rsid w:val="00E80140"/>
    <w:rsid w:val="00E80A0F"/>
    <w:rsid w:val="00E80CE1"/>
    <w:rsid w:val="00E80FC8"/>
    <w:rsid w:val="00E8106B"/>
    <w:rsid w:val="00E81132"/>
    <w:rsid w:val="00E81569"/>
    <w:rsid w:val="00E81B6D"/>
    <w:rsid w:val="00E82C67"/>
    <w:rsid w:val="00E83438"/>
    <w:rsid w:val="00E83687"/>
    <w:rsid w:val="00E83738"/>
    <w:rsid w:val="00E843D7"/>
    <w:rsid w:val="00E846E2"/>
    <w:rsid w:val="00E84740"/>
    <w:rsid w:val="00E84B11"/>
    <w:rsid w:val="00E852B9"/>
    <w:rsid w:val="00E85549"/>
    <w:rsid w:val="00E85BE5"/>
    <w:rsid w:val="00E85D22"/>
    <w:rsid w:val="00E860C3"/>
    <w:rsid w:val="00E86117"/>
    <w:rsid w:val="00E867AA"/>
    <w:rsid w:val="00E86839"/>
    <w:rsid w:val="00E86D85"/>
    <w:rsid w:val="00E86F20"/>
    <w:rsid w:val="00E87246"/>
    <w:rsid w:val="00E87256"/>
    <w:rsid w:val="00E8752C"/>
    <w:rsid w:val="00E875C5"/>
    <w:rsid w:val="00E87CBB"/>
    <w:rsid w:val="00E87D30"/>
    <w:rsid w:val="00E9006C"/>
    <w:rsid w:val="00E903F9"/>
    <w:rsid w:val="00E9077C"/>
    <w:rsid w:val="00E909A5"/>
    <w:rsid w:val="00E90C76"/>
    <w:rsid w:val="00E90C77"/>
    <w:rsid w:val="00E91292"/>
    <w:rsid w:val="00E91945"/>
    <w:rsid w:val="00E91A35"/>
    <w:rsid w:val="00E91CCA"/>
    <w:rsid w:val="00E91D1E"/>
    <w:rsid w:val="00E91F31"/>
    <w:rsid w:val="00E91FDF"/>
    <w:rsid w:val="00E920CF"/>
    <w:rsid w:val="00E92B3F"/>
    <w:rsid w:val="00E92B99"/>
    <w:rsid w:val="00E92CC3"/>
    <w:rsid w:val="00E93057"/>
    <w:rsid w:val="00E930D6"/>
    <w:rsid w:val="00E9310F"/>
    <w:rsid w:val="00E9322D"/>
    <w:rsid w:val="00E93848"/>
    <w:rsid w:val="00E93A3B"/>
    <w:rsid w:val="00E93AAD"/>
    <w:rsid w:val="00E94E4D"/>
    <w:rsid w:val="00E94E96"/>
    <w:rsid w:val="00E953F0"/>
    <w:rsid w:val="00E958BE"/>
    <w:rsid w:val="00E95A1B"/>
    <w:rsid w:val="00E95D37"/>
    <w:rsid w:val="00E95DBB"/>
    <w:rsid w:val="00E96496"/>
    <w:rsid w:val="00E964F3"/>
    <w:rsid w:val="00E96D74"/>
    <w:rsid w:val="00E96FE6"/>
    <w:rsid w:val="00E9744C"/>
    <w:rsid w:val="00E97512"/>
    <w:rsid w:val="00E97722"/>
    <w:rsid w:val="00E978A6"/>
    <w:rsid w:val="00E978EC"/>
    <w:rsid w:val="00E979C9"/>
    <w:rsid w:val="00E97BE7"/>
    <w:rsid w:val="00E97EAA"/>
    <w:rsid w:val="00EA054C"/>
    <w:rsid w:val="00EA05FC"/>
    <w:rsid w:val="00EA0BC1"/>
    <w:rsid w:val="00EA103F"/>
    <w:rsid w:val="00EA1482"/>
    <w:rsid w:val="00EA1762"/>
    <w:rsid w:val="00EA1974"/>
    <w:rsid w:val="00EA2496"/>
    <w:rsid w:val="00EA2683"/>
    <w:rsid w:val="00EA2887"/>
    <w:rsid w:val="00EA2B2D"/>
    <w:rsid w:val="00EA2BE5"/>
    <w:rsid w:val="00EA39F2"/>
    <w:rsid w:val="00EA3A25"/>
    <w:rsid w:val="00EA3E57"/>
    <w:rsid w:val="00EA4016"/>
    <w:rsid w:val="00EA4303"/>
    <w:rsid w:val="00EA4527"/>
    <w:rsid w:val="00EA4BEA"/>
    <w:rsid w:val="00EA4DB9"/>
    <w:rsid w:val="00EA4DDA"/>
    <w:rsid w:val="00EA4E54"/>
    <w:rsid w:val="00EA5223"/>
    <w:rsid w:val="00EA5579"/>
    <w:rsid w:val="00EA568B"/>
    <w:rsid w:val="00EA5A4C"/>
    <w:rsid w:val="00EA69D7"/>
    <w:rsid w:val="00EA69DE"/>
    <w:rsid w:val="00EA7105"/>
    <w:rsid w:val="00EA7624"/>
    <w:rsid w:val="00EA7876"/>
    <w:rsid w:val="00EA7AAE"/>
    <w:rsid w:val="00EA7D1D"/>
    <w:rsid w:val="00EB0229"/>
    <w:rsid w:val="00EB0EDF"/>
    <w:rsid w:val="00EB1218"/>
    <w:rsid w:val="00EB139A"/>
    <w:rsid w:val="00EB175A"/>
    <w:rsid w:val="00EB24FA"/>
    <w:rsid w:val="00EB264D"/>
    <w:rsid w:val="00EB2B44"/>
    <w:rsid w:val="00EB2E67"/>
    <w:rsid w:val="00EB3662"/>
    <w:rsid w:val="00EB39EB"/>
    <w:rsid w:val="00EB3AE2"/>
    <w:rsid w:val="00EB3B7A"/>
    <w:rsid w:val="00EB4371"/>
    <w:rsid w:val="00EB5CC3"/>
    <w:rsid w:val="00EB5E6C"/>
    <w:rsid w:val="00EB69DC"/>
    <w:rsid w:val="00EB6B25"/>
    <w:rsid w:val="00EB6D6F"/>
    <w:rsid w:val="00EB6F6E"/>
    <w:rsid w:val="00EB71BD"/>
    <w:rsid w:val="00EB7632"/>
    <w:rsid w:val="00EB7A63"/>
    <w:rsid w:val="00EB7B63"/>
    <w:rsid w:val="00EB7C39"/>
    <w:rsid w:val="00EC046A"/>
    <w:rsid w:val="00EC0501"/>
    <w:rsid w:val="00EC0A63"/>
    <w:rsid w:val="00EC1238"/>
    <w:rsid w:val="00EC1F62"/>
    <w:rsid w:val="00EC21C5"/>
    <w:rsid w:val="00EC2AAE"/>
    <w:rsid w:val="00EC2BE1"/>
    <w:rsid w:val="00EC2E29"/>
    <w:rsid w:val="00EC3C53"/>
    <w:rsid w:val="00EC4072"/>
    <w:rsid w:val="00EC491E"/>
    <w:rsid w:val="00EC4CEC"/>
    <w:rsid w:val="00EC4E91"/>
    <w:rsid w:val="00EC503B"/>
    <w:rsid w:val="00EC5251"/>
    <w:rsid w:val="00EC5381"/>
    <w:rsid w:val="00EC58BE"/>
    <w:rsid w:val="00EC592A"/>
    <w:rsid w:val="00EC5AA0"/>
    <w:rsid w:val="00EC5C20"/>
    <w:rsid w:val="00EC6226"/>
    <w:rsid w:val="00EC68C9"/>
    <w:rsid w:val="00EC6C5A"/>
    <w:rsid w:val="00EC7214"/>
    <w:rsid w:val="00EC757C"/>
    <w:rsid w:val="00EC796E"/>
    <w:rsid w:val="00EC7BF1"/>
    <w:rsid w:val="00EC7E3F"/>
    <w:rsid w:val="00ED0DA0"/>
    <w:rsid w:val="00ED1327"/>
    <w:rsid w:val="00ED13F1"/>
    <w:rsid w:val="00ED1536"/>
    <w:rsid w:val="00ED19DA"/>
    <w:rsid w:val="00ED20AB"/>
    <w:rsid w:val="00ED20B6"/>
    <w:rsid w:val="00ED33ED"/>
    <w:rsid w:val="00ED3CEC"/>
    <w:rsid w:val="00ED40F5"/>
    <w:rsid w:val="00ED4475"/>
    <w:rsid w:val="00ED5020"/>
    <w:rsid w:val="00ED526E"/>
    <w:rsid w:val="00ED54AB"/>
    <w:rsid w:val="00ED56D0"/>
    <w:rsid w:val="00ED5986"/>
    <w:rsid w:val="00ED66A3"/>
    <w:rsid w:val="00ED6910"/>
    <w:rsid w:val="00ED6A95"/>
    <w:rsid w:val="00ED72AF"/>
    <w:rsid w:val="00ED7505"/>
    <w:rsid w:val="00ED752B"/>
    <w:rsid w:val="00ED7CE7"/>
    <w:rsid w:val="00ED7D00"/>
    <w:rsid w:val="00ED7F3C"/>
    <w:rsid w:val="00EE0597"/>
    <w:rsid w:val="00EE0AAF"/>
    <w:rsid w:val="00EE0DE1"/>
    <w:rsid w:val="00EE11F3"/>
    <w:rsid w:val="00EE134A"/>
    <w:rsid w:val="00EE13F4"/>
    <w:rsid w:val="00EE1BEC"/>
    <w:rsid w:val="00EE1DA6"/>
    <w:rsid w:val="00EE20E0"/>
    <w:rsid w:val="00EE2680"/>
    <w:rsid w:val="00EE28F9"/>
    <w:rsid w:val="00EE2D25"/>
    <w:rsid w:val="00EE313E"/>
    <w:rsid w:val="00EE3302"/>
    <w:rsid w:val="00EE3328"/>
    <w:rsid w:val="00EE3463"/>
    <w:rsid w:val="00EE3495"/>
    <w:rsid w:val="00EE34DC"/>
    <w:rsid w:val="00EE3596"/>
    <w:rsid w:val="00EE4E98"/>
    <w:rsid w:val="00EE5040"/>
    <w:rsid w:val="00EE552E"/>
    <w:rsid w:val="00EE56C8"/>
    <w:rsid w:val="00EE66AF"/>
    <w:rsid w:val="00EE6B5F"/>
    <w:rsid w:val="00EE6D01"/>
    <w:rsid w:val="00EE71A0"/>
    <w:rsid w:val="00EE72B3"/>
    <w:rsid w:val="00EE799B"/>
    <w:rsid w:val="00EE7B07"/>
    <w:rsid w:val="00EF020A"/>
    <w:rsid w:val="00EF048E"/>
    <w:rsid w:val="00EF077F"/>
    <w:rsid w:val="00EF0A9E"/>
    <w:rsid w:val="00EF0E74"/>
    <w:rsid w:val="00EF10A8"/>
    <w:rsid w:val="00EF17AF"/>
    <w:rsid w:val="00EF2131"/>
    <w:rsid w:val="00EF25BE"/>
    <w:rsid w:val="00EF26EA"/>
    <w:rsid w:val="00EF2EB0"/>
    <w:rsid w:val="00EF2F26"/>
    <w:rsid w:val="00EF3BDC"/>
    <w:rsid w:val="00EF4058"/>
    <w:rsid w:val="00EF472F"/>
    <w:rsid w:val="00EF48B6"/>
    <w:rsid w:val="00EF4C7B"/>
    <w:rsid w:val="00EF4D08"/>
    <w:rsid w:val="00EF4FA2"/>
    <w:rsid w:val="00EF4FAD"/>
    <w:rsid w:val="00EF578F"/>
    <w:rsid w:val="00EF5B4E"/>
    <w:rsid w:val="00EF6059"/>
    <w:rsid w:val="00EF60A9"/>
    <w:rsid w:val="00EF64AD"/>
    <w:rsid w:val="00EF6B9D"/>
    <w:rsid w:val="00EF6DF5"/>
    <w:rsid w:val="00EF6FDA"/>
    <w:rsid w:val="00EF7E8F"/>
    <w:rsid w:val="00F00421"/>
    <w:rsid w:val="00F009AF"/>
    <w:rsid w:val="00F01900"/>
    <w:rsid w:val="00F01E2A"/>
    <w:rsid w:val="00F01ECA"/>
    <w:rsid w:val="00F02080"/>
    <w:rsid w:val="00F02ADA"/>
    <w:rsid w:val="00F02B10"/>
    <w:rsid w:val="00F03A70"/>
    <w:rsid w:val="00F03BB0"/>
    <w:rsid w:val="00F03FFD"/>
    <w:rsid w:val="00F0426B"/>
    <w:rsid w:val="00F046A1"/>
    <w:rsid w:val="00F048C2"/>
    <w:rsid w:val="00F04949"/>
    <w:rsid w:val="00F049DD"/>
    <w:rsid w:val="00F04AB6"/>
    <w:rsid w:val="00F04CE4"/>
    <w:rsid w:val="00F05188"/>
    <w:rsid w:val="00F05C30"/>
    <w:rsid w:val="00F0630E"/>
    <w:rsid w:val="00F064C7"/>
    <w:rsid w:val="00F066D0"/>
    <w:rsid w:val="00F06B15"/>
    <w:rsid w:val="00F06F03"/>
    <w:rsid w:val="00F06F1A"/>
    <w:rsid w:val="00F072D0"/>
    <w:rsid w:val="00F1026B"/>
    <w:rsid w:val="00F104C5"/>
    <w:rsid w:val="00F1077C"/>
    <w:rsid w:val="00F10861"/>
    <w:rsid w:val="00F10DD8"/>
    <w:rsid w:val="00F10ED3"/>
    <w:rsid w:val="00F10F45"/>
    <w:rsid w:val="00F110AD"/>
    <w:rsid w:val="00F111E8"/>
    <w:rsid w:val="00F1130B"/>
    <w:rsid w:val="00F119C1"/>
    <w:rsid w:val="00F11CDB"/>
    <w:rsid w:val="00F11F27"/>
    <w:rsid w:val="00F121FE"/>
    <w:rsid w:val="00F1231F"/>
    <w:rsid w:val="00F1232F"/>
    <w:rsid w:val="00F124B4"/>
    <w:rsid w:val="00F12705"/>
    <w:rsid w:val="00F12FD7"/>
    <w:rsid w:val="00F13457"/>
    <w:rsid w:val="00F13EC1"/>
    <w:rsid w:val="00F1459F"/>
    <w:rsid w:val="00F146D6"/>
    <w:rsid w:val="00F148C3"/>
    <w:rsid w:val="00F148F0"/>
    <w:rsid w:val="00F14AE9"/>
    <w:rsid w:val="00F14F45"/>
    <w:rsid w:val="00F154A6"/>
    <w:rsid w:val="00F156D5"/>
    <w:rsid w:val="00F1586D"/>
    <w:rsid w:val="00F158D2"/>
    <w:rsid w:val="00F15ABB"/>
    <w:rsid w:val="00F15E81"/>
    <w:rsid w:val="00F15FA4"/>
    <w:rsid w:val="00F16043"/>
    <w:rsid w:val="00F163D7"/>
    <w:rsid w:val="00F16DA0"/>
    <w:rsid w:val="00F171A3"/>
    <w:rsid w:val="00F17281"/>
    <w:rsid w:val="00F1759F"/>
    <w:rsid w:val="00F17A03"/>
    <w:rsid w:val="00F17D2D"/>
    <w:rsid w:val="00F17E78"/>
    <w:rsid w:val="00F17EC7"/>
    <w:rsid w:val="00F204A5"/>
    <w:rsid w:val="00F20679"/>
    <w:rsid w:val="00F20BB4"/>
    <w:rsid w:val="00F2119C"/>
    <w:rsid w:val="00F212E1"/>
    <w:rsid w:val="00F21664"/>
    <w:rsid w:val="00F22119"/>
    <w:rsid w:val="00F2263A"/>
    <w:rsid w:val="00F2284C"/>
    <w:rsid w:val="00F229A2"/>
    <w:rsid w:val="00F23622"/>
    <w:rsid w:val="00F23772"/>
    <w:rsid w:val="00F23A9C"/>
    <w:rsid w:val="00F23C27"/>
    <w:rsid w:val="00F23E41"/>
    <w:rsid w:val="00F240EF"/>
    <w:rsid w:val="00F24197"/>
    <w:rsid w:val="00F24684"/>
    <w:rsid w:val="00F246B7"/>
    <w:rsid w:val="00F2475B"/>
    <w:rsid w:val="00F24D3A"/>
    <w:rsid w:val="00F24EAA"/>
    <w:rsid w:val="00F2518D"/>
    <w:rsid w:val="00F251C8"/>
    <w:rsid w:val="00F252CD"/>
    <w:rsid w:val="00F25563"/>
    <w:rsid w:val="00F25573"/>
    <w:rsid w:val="00F255C0"/>
    <w:rsid w:val="00F25D74"/>
    <w:rsid w:val="00F2680B"/>
    <w:rsid w:val="00F26B56"/>
    <w:rsid w:val="00F26D90"/>
    <w:rsid w:val="00F270A4"/>
    <w:rsid w:val="00F2740B"/>
    <w:rsid w:val="00F309DA"/>
    <w:rsid w:val="00F30A8F"/>
    <w:rsid w:val="00F30FB4"/>
    <w:rsid w:val="00F313EC"/>
    <w:rsid w:val="00F31A72"/>
    <w:rsid w:val="00F31AF8"/>
    <w:rsid w:val="00F31C27"/>
    <w:rsid w:val="00F31CAE"/>
    <w:rsid w:val="00F31F0F"/>
    <w:rsid w:val="00F32065"/>
    <w:rsid w:val="00F32819"/>
    <w:rsid w:val="00F32F0C"/>
    <w:rsid w:val="00F32FEC"/>
    <w:rsid w:val="00F33EE6"/>
    <w:rsid w:val="00F340E5"/>
    <w:rsid w:val="00F341E6"/>
    <w:rsid w:val="00F349F5"/>
    <w:rsid w:val="00F34D07"/>
    <w:rsid w:val="00F34DB8"/>
    <w:rsid w:val="00F354A1"/>
    <w:rsid w:val="00F359D3"/>
    <w:rsid w:val="00F35F57"/>
    <w:rsid w:val="00F36060"/>
    <w:rsid w:val="00F360D5"/>
    <w:rsid w:val="00F361EB"/>
    <w:rsid w:val="00F362B5"/>
    <w:rsid w:val="00F36539"/>
    <w:rsid w:val="00F36642"/>
    <w:rsid w:val="00F36769"/>
    <w:rsid w:val="00F36A8B"/>
    <w:rsid w:val="00F37021"/>
    <w:rsid w:val="00F370CD"/>
    <w:rsid w:val="00F37179"/>
    <w:rsid w:val="00F3736B"/>
    <w:rsid w:val="00F37679"/>
    <w:rsid w:val="00F37CAB"/>
    <w:rsid w:val="00F37D25"/>
    <w:rsid w:val="00F40934"/>
    <w:rsid w:val="00F40AAE"/>
    <w:rsid w:val="00F40DAD"/>
    <w:rsid w:val="00F40E0C"/>
    <w:rsid w:val="00F40E45"/>
    <w:rsid w:val="00F40F54"/>
    <w:rsid w:val="00F40F71"/>
    <w:rsid w:val="00F412B5"/>
    <w:rsid w:val="00F412D7"/>
    <w:rsid w:val="00F414E6"/>
    <w:rsid w:val="00F4183D"/>
    <w:rsid w:val="00F41BDE"/>
    <w:rsid w:val="00F41D12"/>
    <w:rsid w:val="00F42BE7"/>
    <w:rsid w:val="00F4305D"/>
    <w:rsid w:val="00F43166"/>
    <w:rsid w:val="00F43323"/>
    <w:rsid w:val="00F43464"/>
    <w:rsid w:val="00F4356E"/>
    <w:rsid w:val="00F435B4"/>
    <w:rsid w:val="00F437BA"/>
    <w:rsid w:val="00F43A19"/>
    <w:rsid w:val="00F43C52"/>
    <w:rsid w:val="00F43C9B"/>
    <w:rsid w:val="00F43E15"/>
    <w:rsid w:val="00F441A2"/>
    <w:rsid w:val="00F4433A"/>
    <w:rsid w:val="00F44350"/>
    <w:rsid w:val="00F44C27"/>
    <w:rsid w:val="00F44D13"/>
    <w:rsid w:val="00F450A6"/>
    <w:rsid w:val="00F451A9"/>
    <w:rsid w:val="00F4539D"/>
    <w:rsid w:val="00F45535"/>
    <w:rsid w:val="00F4591E"/>
    <w:rsid w:val="00F45AA3"/>
    <w:rsid w:val="00F45ABA"/>
    <w:rsid w:val="00F45E38"/>
    <w:rsid w:val="00F463F1"/>
    <w:rsid w:val="00F46635"/>
    <w:rsid w:val="00F46953"/>
    <w:rsid w:val="00F46996"/>
    <w:rsid w:val="00F46AEA"/>
    <w:rsid w:val="00F46DEC"/>
    <w:rsid w:val="00F46FA0"/>
    <w:rsid w:val="00F47186"/>
    <w:rsid w:val="00F4741B"/>
    <w:rsid w:val="00F474D9"/>
    <w:rsid w:val="00F474E3"/>
    <w:rsid w:val="00F4752D"/>
    <w:rsid w:val="00F47C5C"/>
    <w:rsid w:val="00F47D4C"/>
    <w:rsid w:val="00F47E46"/>
    <w:rsid w:val="00F47E63"/>
    <w:rsid w:val="00F5014E"/>
    <w:rsid w:val="00F50DED"/>
    <w:rsid w:val="00F50F61"/>
    <w:rsid w:val="00F50FB6"/>
    <w:rsid w:val="00F52BC9"/>
    <w:rsid w:val="00F53ADD"/>
    <w:rsid w:val="00F53D92"/>
    <w:rsid w:val="00F54388"/>
    <w:rsid w:val="00F549B9"/>
    <w:rsid w:val="00F54EE1"/>
    <w:rsid w:val="00F55871"/>
    <w:rsid w:val="00F558DF"/>
    <w:rsid w:val="00F55A0A"/>
    <w:rsid w:val="00F55C68"/>
    <w:rsid w:val="00F56C88"/>
    <w:rsid w:val="00F5772A"/>
    <w:rsid w:val="00F5786F"/>
    <w:rsid w:val="00F57CB3"/>
    <w:rsid w:val="00F604DB"/>
    <w:rsid w:val="00F6092E"/>
    <w:rsid w:val="00F60E77"/>
    <w:rsid w:val="00F61065"/>
    <w:rsid w:val="00F612E7"/>
    <w:rsid w:val="00F621B4"/>
    <w:rsid w:val="00F6281D"/>
    <w:rsid w:val="00F628C4"/>
    <w:rsid w:val="00F62D64"/>
    <w:rsid w:val="00F63049"/>
    <w:rsid w:val="00F6363D"/>
    <w:rsid w:val="00F640AF"/>
    <w:rsid w:val="00F64483"/>
    <w:rsid w:val="00F6492A"/>
    <w:rsid w:val="00F64B58"/>
    <w:rsid w:val="00F64E6A"/>
    <w:rsid w:val="00F64EFA"/>
    <w:rsid w:val="00F64F08"/>
    <w:rsid w:val="00F65034"/>
    <w:rsid w:val="00F65235"/>
    <w:rsid w:val="00F6540C"/>
    <w:rsid w:val="00F65578"/>
    <w:rsid w:val="00F6638F"/>
    <w:rsid w:val="00F6640F"/>
    <w:rsid w:val="00F667DD"/>
    <w:rsid w:val="00F66A46"/>
    <w:rsid w:val="00F6762E"/>
    <w:rsid w:val="00F67FF9"/>
    <w:rsid w:val="00F7014B"/>
    <w:rsid w:val="00F70700"/>
    <w:rsid w:val="00F70A5F"/>
    <w:rsid w:val="00F70D9C"/>
    <w:rsid w:val="00F70FB6"/>
    <w:rsid w:val="00F7102D"/>
    <w:rsid w:val="00F71057"/>
    <w:rsid w:val="00F7147C"/>
    <w:rsid w:val="00F716BA"/>
    <w:rsid w:val="00F7171A"/>
    <w:rsid w:val="00F718AF"/>
    <w:rsid w:val="00F71F10"/>
    <w:rsid w:val="00F72181"/>
    <w:rsid w:val="00F72521"/>
    <w:rsid w:val="00F72A1E"/>
    <w:rsid w:val="00F72FE1"/>
    <w:rsid w:val="00F737E3"/>
    <w:rsid w:val="00F73B9C"/>
    <w:rsid w:val="00F743E2"/>
    <w:rsid w:val="00F75066"/>
    <w:rsid w:val="00F751AB"/>
    <w:rsid w:val="00F75400"/>
    <w:rsid w:val="00F75883"/>
    <w:rsid w:val="00F758CA"/>
    <w:rsid w:val="00F75922"/>
    <w:rsid w:val="00F75AB0"/>
    <w:rsid w:val="00F75B87"/>
    <w:rsid w:val="00F75CF8"/>
    <w:rsid w:val="00F76029"/>
    <w:rsid w:val="00F763EB"/>
    <w:rsid w:val="00F76472"/>
    <w:rsid w:val="00F7653F"/>
    <w:rsid w:val="00F765FE"/>
    <w:rsid w:val="00F76A00"/>
    <w:rsid w:val="00F76A40"/>
    <w:rsid w:val="00F7715F"/>
    <w:rsid w:val="00F771E1"/>
    <w:rsid w:val="00F7726B"/>
    <w:rsid w:val="00F80307"/>
    <w:rsid w:val="00F8038B"/>
    <w:rsid w:val="00F80920"/>
    <w:rsid w:val="00F82161"/>
    <w:rsid w:val="00F82285"/>
    <w:rsid w:val="00F82852"/>
    <w:rsid w:val="00F82DB8"/>
    <w:rsid w:val="00F83646"/>
    <w:rsid w:val="00F83765"/>
    <w:rsid w:val="00F83D2A"/>
    <w:rsid w:val="00F84793"/>
    <w:rsid w:val="00F84AAF"/>
    <w:rsid w:val="00F84DFD"/>
    <w:rsid w:val="00F85029"/>
    <w:rsid w:val="00F85465"/>
    <w:rsid w:val="00F856FE"/>
    <w:rsid w:val="00F85844"/>
    <w:rsid w:val="00F85944"/>
    <w:rsid w:val="00F85C58"/>
    <w:rsid w:val="00F85DB6"/>
    <w:rsid w:val="00F867A5"/>
    <w:rsid w:val="00F86BD5"/>
    <w:rsid w:val="00F876ED"/>
    <w:rsid w:val="00F87B93"/>
    <w:rsid w:val="00F87DD5"/>
    <w:rsid w:val="00F87EFE"/>
    <w:rsid w:val="00F904EF"/>
    <w:rsid w:val="00F9085E"/>
    <w:rsid w:val="00F9099E"/>
    <w:rsid w:val="00F90FC3"/>
    <w:rsid w:val="00F91471"/>
    <w:rsid w:val="00F91586"/>
    <w:rsid w:val="00F9164C"/>
    <w:rsid w:val="00F919D1"/>
    <w:rsid w:val="00F9214B"/>
    <w:rsid w:val="00F92370"/>
    <w:rsid w:val="00F9253F"/>
    <w:rsid w:val="00F92E86"/>
    <w:rsid w:val="00F930D0"/>
    <w:rsid w:val="00F931A3"/>
    <w:rsid w:val="00F93661"/>
    <w:rsid w:val="00F93951"/>
    <w:rsid w:val="00F940DC"/>
    <w:rsid w:val="00F942F0"/>
    <w:rsid w:val="00F9481F"/>
    <w:rsid w:val="00F9495B"/>
    <w:rsid w:val="00F95117"/>
    <w:rsid w:val="00F95447"/>
    <w:rsid w:val="00F95854"/>
    <w:rsid w:val="00F95EF0"/>
    <w:rsid w:val="00F95F39"/>
    <w:rsid w:val="00F960AA"/>
    <w:rsid w:val="00F961F0"/>
    <w:rsid w:val="00F962CF"/>
    <w:rsid w:val="00F96B79"/>
    <w:rsid w:val="00F96C60"/>
    <w:rsid w:val="00F97285"/>
    <w:rsid w:val="00F976A5"/>
    <w:rsid w:val="00F97784"/>
    <w:rsid w:val="00F978E2"/>
    <w:rsid w:val="00FA010A"/>
    <w:rsid w:val="00FA03B9"/>
    <w:rsid w:val="00FA0815"/>
    <w:rsid w:val="00FA09AA"/>
    <w:rsid w:val="00FA0B91"/>
    <w:rsid w:val="00FA12C0"/>
    <w:rsid w:val="00FA13EA"/>
    <w:rsid w:val="00FA1967"/>
    <w:rsid w:val="00FA19C9"/>
    <w:rsid w:val="00FA1BA2"/>
    <w:rsid w:val="00FA20B5"/>
    <w:rsid w:val="00FA2345"/>
    <w:rsid w:val="00FA27F1"/>
    <w:rsid w:val="00FA287F"/>
    <w:rsid w:val="00FA2A2A"/>
    <w:rsid w:val="00FA2C71"/>
    <w:rsid w:val="00FA2CFF"/>
    <w:rsid w:val="00FA32F0"/>
    <w:rsid w:val="00FA376C"/>
    <w:rsid w:val="00FA3A58"/>
    <w:rsid w:val="00FA3CF2"/>
    <w:rsid w:val="00FA401F"/>
    <w:rsid w:val="00FA41AD"/>
    <w:rsid w:val="00FA42EC"/>
    <w:rsid w:val="00FA42FE"/>
    <w:rsid w:val="00FA49AE"/>
    <w:rsid w:val="00FA4A1A"/>
    <w:rsid w:val="00FA5657"/>
    <w:rsid w:val="00FA5798"/>
    <w:rsid w:val="00FA5CA0"/>
    <w:rsid w:val="00FA5E6C"/>
    <w:rsid w:val="00FA639B"/>
    <w:rsid w:val="00FA664C"/>
    <w:rsid w:val="00FA665A"/>
    <w:rsid w:val="00FA66FD"/>
    <w:rsid w:val="00FA6886"/>
    <w:rsid w:val="00FA6981"/>
    <w:rsid w:val="00FA6A0C"/>
    <w:rsid w:val="00FA6D84"/>
    <w:rsid w:val="00FA6DDB"/>
    <w:rsid w:val="00FA75AE"/>
    <w:rsid w:val="00FA76E3"/>
    <w:rsid w:val="00FA78D7"/>
    <w:rsid w:val="00FB0205"/>
    <w:rsid w:val="00FB032A"/>
    <w:rsid w:val="00FB0704"/>
    <w:rsid w:val="00FB13DE"/>
    <w:rsid w:val="00FB168E"/>
    <w:rsid w:val="00FB19C5"/>
    <w:rsid w:val="00FB1A90"/>
    <w:rsid w:val="00FB1CEB"/>
    <w:rsid w:val="00FB1F49"/>
    <w:rsid w:val="00FB26B3"/>
    <w:rsid w:val="00FB28B6"/>
    <w:rsid w:val="00FB2ABA"/>
    <w:rsid w:val="00FB2EBA"/>
    <w:rsid w:val="00FB316B"/>
    <w:rsid w:val="00FB3273"/>
    <w:rsid w:val="00FB357E"/>
    <w:rsid w:val="00FB4026"/>
    <w:rsid w:val="00FB403C"/>
    <w:rsid w:val="00FB4545"/>
    <w:rsid w:val="00FB47D7"/>
    <w:rsid w:val="00FB5549"/>
    <w:rsid w:val="00FB5729"/>
    <w:rsid w:val="00FB5A61"/>
    <w:rsid w:val="00FB5C39"/>
    <w:rsid w:val="00FB5C9C"/>
    <w:rsid w:val="00FB6729"/>
    <w:rsid w:val="00FB6ABB"/>
    <w:rsid w:val="00FB6B13"/>
    <w:rsid w:val="00FB6CF3"/>
    <w:rsid w:val="00FB70EE"/>
    <w:rsid w:val="00FB765A"/>
    <w:rsid w:val="00FB77FC"/>
    <w:rsid w:val="00FB7BF9"/>
    <w:rsid w:val="00FB7C33"/>
    <w:rsid w:val="00FB7D23"/>
    <w:rsid w:val="00FB7E0B"/>
    <w:rsid w:val="00FC0085"/>
    <w:rsid w:val="00FC01FA"/>
    <w:rsid w:val="00FC07BC"/>
    <w:rsid w:val="00FC0996"/>
    <w:rsid w:val="00FC108A"/>
    <w:rsid w:val="00FC10F3"/>
    <w:rsid w:val="00FC172D"/>
    <w:rsid w:val="00FC1ECC"/>
    <w:rsid w:val="00FC240F"/>
    <w:rsid w:val="00FC293F"/>
    <w:rsid w:val="00FC2AE4"/>
    <w:rsid w:val="00FC2C5E"/>
    <w:rsid w:val="00FC2EA0"/>
    <w:rsid w:val="00FC2ED1"/>
    <w:rsid w:val="00FC2EEA"/>
    <w:rsid w:val="00FC3728"/>
    <w:rsid w:val="00FC390E"/>
    <w:rsid w:val="00FC3D0E"/>
    <w:rsid w:val="00FC3DDA"/>
    <w:rsid w:val="00FC3F29"/>
    <w:rsid w:val="00FC45A8"/>
    <w:rsid w:val="00FC48EA"/>
    <w:rsid w:val="00FC5142"/>
    <w:rsid w:val="00FC596F"/>
    <w:rsid w:val="00FC62C2"/>
    <w:rsid w:val="00FC653A"/>
    <w:rsid w:val="00FC6955"/>
    <w:rsid w:val="00FC762D"/>
    <w:rsid w:val="00FC7787"/>
    <w:rsid w:val="00FC7814"/>
    <w:rsid w:val="00FC7CE6"/>
    <w:rsid w:val="00FC7EBD"/>
    <w:rsid w:val="00FC7EE9"/>
    <w:rsid w:val="00FD0150"/>
    <w:rsid w:val="00FD0303"/>
    <w:rsid w:val="00FD040D"/>
    <w:rsid w:val="00FD05F0"/>
    <w:rsid w:val="00FD08EE"/>
    <w:rsid w:val="00FD0C06"/>
    <w:rsid w:val="00FD1195"/>
    <w:rsid w:val="00FD12A9"/>
    <w:rsid w:val="00FD19E7"/>
    <w:rsid w:val="00FD1B77"/>
    <w:rsid w:val="00FD2072"/>
    <w:rsid w:val="00FD2547"/>
    <w:rsid w:val="00FD2706"/>
    <w:rsid w:val="00FD27A1"/>
    <w:rsid w:val="00FD2C3D"/>
    <w:rsid w:val="00FD3771"/>
    <w:rsid w:val="00FD3891"/>
    <w:rsid w:val="00FD399C"/>
    <w:rsid w:val="00FD3A07"/>
    <w:rsid w:val="00FD3E26"/>
    <w:rsid w:val="00FD404E"/>
    <w:rsid w:val="00FD4229"/>
    <w:rsid w:val="00FD450B"/>
    <w:rsid w:val="00FD451E"/>
    <w:rsid w:val="00FD4525"/>
    <w:rsid w:val="00FD4BCA"/>
    <w:rsid w:val="00FD4C62"/>
    <w:rsid w:val="00FD5261"/>
    <w:rsid w:val="00FD53CA"/>
    <w:rsid w:val="00FD53CE"/>
    <w:rsid w:val="00FD53D4"/>
    <w:rsid w:val="00FD5A2C"/>
    <w:rsid w:val="00FD5BF0"/>
    <w:rsid w:val="00FD619B"/>
    <w:rsid w:val="00FD639C"/>
    <w:rsid w:val="00FD63E2"/>
    <w:rsid w:val="00FD67B8"/>
    <w:rsid w:val="00FD6DF3"/>
    <w:rsid w:val="00FD759F"/>
    <w:rsid w:val="00FD76A1"/>
    <w:rsid w:val="00FD775C"/>
    <w:rsid w:val="00FD79AE"/>
    <w:rsid w:val="00FE05D5"/>
    <w:rsid w:val="00FE093E"/>
    <w:rsid w:val="00FE14A4"/>
    <w:rsid w:val="00FE1782"/>
    <w:rsid w:val="00FE17CE"/>
    <w:rsid w:val="00FE181D"/>
    <w:rsid w:val="00FE1B39"/>
    <w:rsid w:val="00FE1E0C"/>
    <w:rsid w:val="00FE1F92"/>
    <w:rsid w:val="00FE1FAB"/>
    <w:rsid w:val="00FE23E7"/>
    <w:rsid w:val="00FE2844"/>
    <w:rsid w:val="00FE2A67"/>
    <w:rsid w:val="00FE2F51"/>
    <w:rsid w:val="00FE31DC"/>
    <w:rsid w:val="00FE349D"/>
    <w:rsid w:val="00FE388D"/>
    <w:rsid w:val="00FE3CF3"/>
    <w:rsid w:val="00FE3ED0"/>
    <w:rsid w:val="00FE465F"/>
    <w:rsid w:val="00FE4CE0"/>
    <w:rsid w:val="00FE4D9D"/>
    <w:rsid w:val="00FE4F5C"/>
    <w:rsid w:val="00FE5355"/>
    <w:rsid w:val="00FE55EA"/>
    <w:rsid w:val="00FE57F6"/>
    <w:rsid w:val="00FE5856"/>
    <w:rsid w:val="00FE5ADA"/>
    <w:rsid w:val="00FE5AED"/>
    <w:rsid w:val="00FE6558"/>
    <w:rsid w:val="00FE6802"/>
    <w:rsid w:val="00FE6BA2"/>
    <w:rsid w:val="00FE6E10"/>
    <w:rsid w:val="00FE703C"/>
    <w:rsid w:val="00FE7508"/>
    <w:rsid w:val="00FE77D0"/>
    <w:rsid w:val="00FE79F6"/>
    <w:rsid w:val="00FE7A9F"/>
    <w:rsid w:val="00FE7CD8"/>
    <w:rsid w:val="00FF0543"/>
    <w:rsid w:val="00FF08F8"/>
    <w:rsid w:val="00FF0917"/>
    <w:rsid w:val="00FF0AF6"/>
    <w:rsid w:val="00FF1037"/>
    <w:rsid w:val="00FF17B6"/>
    <w:rsid w:val="00FF1E84"/>
    <w:rsid w:val="00FF2C7D"/>
    <w:rsid w:val="00FF2E38"/>
    <w:rsid w:val="00FF36E7"/>
    <w:rsid w:val="00FF3E08"/>
    <w:rsid w:val="00FF3F55"/>
    <w:rsid w:val="00FF40D3"/>
    <w:rsid w:val="00FF4142"/>
    <w:rsid w:val="00FF42AC"/>
    <w:rsid w:val="00FF4982"/>
    <w:rsid w:val="00FF4FD2"/>
    <w:rsid w:val="00FF5462"/>
    <w:rsid w:val="00FF5625"/>
    <w:rsid w:val="00FF57B1"/>
    <w:rsid w:val="00FF5B75"/>
    <w:rsid w:val="00FF629E"/>
    <w:rsid w:val="00FF6FB9"/>
    <w:rsid w:val="00FF7388"/>
    <w:rsid w:val="00FF74B1"/>
    <w:rsid w:val="00FF7604"/>
    <w:rsid w:val="00FF7620"/>
    <w:rsid w:val="00FF76A0"/>
    <w:rsid w:val="00FF76FE"/>
    <w:rsid w:val="00FF7921"/>
    <w:rsid w:val="00FF7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1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4C96"/>
    <w:rPr>
      <w:rFonts w:cs="Times New Roman"/>
      <w:snapToGrid w:val="0"/>
      <w:lang w:bidi="ar-SA"/>
    </w:rPr>
  </w:style>
  <w:style w:type="paragraph" w:styleId="1">
    <w:name w:val="heading 1"/>
    <w:basedOn w:val="a0"/>
    <w:next w:val="a0"/>
    <w:qFormat/>
    <w:pPr>
      <w:keepNext/>
      <w:keepLines/>
      <w:spacing w:before="240" w:after="60"/>
      <w:outlineLvl w:val="0"/>
    </w:pPr>
    <w:rPr>
      <w:rFonts w:ascii="Arial" w:cs="Arial"/>
      <w:b/>
      <w:bCs/>
      <w:kern w:val="28"/>
      <w:sz w:val="28"/>
      <w:szCs w:val="28"/>
    </w:rPr>
  </w:style>
  <w:style w:type="paragraph" w:styleId="2">
    <w:name w:val="heading 2"/>
    <w:basedOn w:val="1"/>
    <w:next w:val="a0"/>
    <w:qFormat/>
    <w:pPr>
      <w:outlineLvl w:val="1"/>
    </w:pPr>
    <w:rPr>
      <w:i/>
      <w:iCs/>
      <w:sz w:val="24"/>
      <w:szCs w:val="24"/>
    </w:rPr>
  </w:style>
  <w:style w:type="paragraph" w:styleId="3">
    <w:name w:val="heading 3"/>
    <w:basedOn w:val="2"/>
    <w:next w:val="a0"/>
    <w:qFormat/>
    <w:pPr>
      <w:outlineLvl w:val="2"/>
    </w:pPr>
    <w:rPr>
      <w:b w:val="0"/>
      <w:bCs w:val="0"/>
    </w:rPr>
  </w:style>
  <w:style w:type="paragraph" w:styleId="4">
    <w:name w:val="heading 4"/>
    <w:basedOn w:val="a0"/>
    <w:next w:val="a0"/>
    <w:qFormat/>
    <w:pPr>
      <w:keepNext/>
      <w:keepLines/>
      <w:spacing w:before="120" w:after="60"/>
      <w:outlineLvl w:val="3"/>
    </w:pPr>
    <w:rPr>
      <w:b/>
      <w:bCs/>
      <w:smallCap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lock">
    <w:name w:val="block"/>
    <w:basedOn w:val="a0"/>
    <w:pPr>
      <w:spacing w:after="120"/>
      <w:ind w:firstLine="432"/>
    </w:pPr>
    <w:rPr>
      <w:sz w:val="24"/>
      <w:szCs w:val="24"/>
    </w:rPr>
  </w:style>
  <w:style w:type="paragraph" w:styleId="a4">
    <w:name w:val="Body Text"/>
    <w:basedOn w:val="a0"/>
    <w:pPr>
      <w:ind w:firstLine="432"/>
    </w:pPr>
    <w:rPr>
      <w:sz w:val="24"/>
      <w:szCs w:val="24"/>
    </w:rPr>
  </w:style>
  <w:style w:type="paragraph" w:styleId="a5">
    <w:name w:val="Body Text Indent"/>
    <w:basedOn w:val="a0"/>
    <w:pPr>
      <w:jc w:val="right"/>
    </w:pPr>
    <w:rPr>
      <w:b/>
      <w:bCs/>
      <w:sz w:val="24"/>
      <w:szCs w:val="24"/>
    </w:rPr>
  </w:style>
  <w:style w:type="paragraph" w:styleId="a6">
    <w:name w:val="caption"/>
    <w:basedOn w:val="a0"/>
    <w:next w:val="a0"/>
    <w:qFormat/>
    <w:pPr>
      <w:ind w:firstLine="432"/>
    </w:pPr>
    <w:rPr>
      <w:b/>
      <w:bCs/>
      <w:sz w:val="24"/>
      <w:szCs w:val="24"/>
    </w:rPr>
  </w:style>
  <w:style w:type="paragraph" w:styleId="a7">
    <w:name w:val="Title"/>
    <w:basedOn w:val="1"/>
    <w:next w:val="a8"/>
    <w:qFormat/>
    <w:pPr>
      <w:spacing w:before="360" w:after="240"/>
      <w:outlineLvl w:val="9"/>
    </w:pPr>
    <w:rPr>
      <w:sz w:val="32"/>
      <w:szCs w:val="32"/>
    </w:rPr>
  </w:style>
  <w:style w:type="paragraph" w:styleId="a8">
    <w:name w:val="Subtitle"/>
    <w:basedOn w:val="a0"/>
    <w:qFormat/>
    <w:pPr>
      <w:spacing w:after="60"/>
      <w:jc w:val="center"/>
      <w:outlineLvl w:val="1"/>
    </w:pPr>
    <w:rPr>
      <w:rFonts w:ascii="Arial" w:cs="Arial"/>
      <w:sz w:val="24"/>
      <w:szCs w:val="24"/>
    </w:rPr>
  </w:style>
  <w:style w:type="paragraph" w:customStyle="1" w:styleId="CB">
    <w:name w:val="CB"/>
    <w:basedOn w:val="a7"/>
    <w:pPr>
      <w:jc w:val="center"/>
      <w:outlineLvl w:val="0"/>
    </w:pPr>
  </w:style>
  <w:style w:type="paragraph" w:styleId="a9">
    <w:name w:val="Closing"/>
    <w:basedOn w:val="a0"/>
    <w:pPr>
      <w:ind w:left="4320" w:firstLine="432"/>
    </w:pPr>
    <w:rPr>
      <w:sz w:val="24"/>
      <w:szCs w:val="24"/>
    </w:rPr>
  </w:style>
  <w:style w:type="paragraph" w:customStyle="1" w:styleId="CP">
    <w:name w:val="CP"/>
    <w:basedOn w:val="a8"/>
    <w:next w:val="1"/>
    <w:pPr>
      <w:keepNext/>
      <w:keepLines/>
      <w:spacing w:before="240" w:after="120"/>
      <w:outlineLvl w:val="9"/>
    </w:pPr>
    <w:rPr>
      <w:i/>
      <w:iCs/>
      <w:kern w:val="28"/>
    </w:rPr>
  </w:style>
  <w:style w:type="paragraph" w:styleId="aa">
    <w:name w:val="endnote text"/>
    <w:basedOn w:val="a0"/>
    <w:semiHidden/>
    <w:pPr>
      <w:ind w:left="432" w:hanging="432"/>
    </w:pPr>
  </w:style>
  <w:style w:type="paragraph" w:customStyle="1" w:styleId="FH">
    <w:name w:val="FH"/>
    <w:basedOn w:val="1"/>
    <w:next w:val="PC"/>
  </w:style>
  <w:style w:type="paragraph" w:customStyle="1" w:styleId="FH0">
    <w:name w:val="FH0"/>
    <w:basedOn w:val="FH"/>
    <w:next w:val="a0"/>
    <w:pPr>
      <w:spacing w:before="0"/>
    </w:pPr>
  </w:style>
  <w:style w:type="paragraph" w:styleId="ab">
    <w:name w:val="footnote text"/>
    <w:basedOn w:val="a0"/>
    <w:link w:val="ac"/>
    <w:semiHidden/>
    <w:pPr>
      <w:spacing w:line="480" w:lineRule="auto"/>
    </w:pPr>
  </w:style>
  <w:style w:type="character" w:customStyle="1" w:styleId="Hidden">
    <w:name w:val="Hidden"/>
    <w:basedOn w:val="a1"/>
    <w:rPr>
      <w:rFonts w:cs="Arial"/>
      <w:vanish/>
    </w:rPr>
  </w:style>
  <w:style w:type="paragraph" w:customStyle="1" w:styleId="IQ">
    <w:name w:val="IQ"/>
    <w:basedOn w:val="a0"/>
    <w:pPr>
      <w:spacing w:before="120" w:after="120"/>
      <w:ind w:left="864" w:right="432"/>
    </w:pPr>
    <w:rPr>
      <w:sz w:val="24"/>
      <w:szCs w:val="24"/>
    </w:rPr>
  </w:style>
  <w:style w:type="paragraph" w:styleId="ad">
    <w:name w:val="List"/>
    <w:basedOn w:val="a0"/>
    <w:pPr>
      <w:tabs>
        <w:tab w:val="left" w:pos="432"/>
      </w:tabs>
      <w:ind w:left="432" w:hanging="432"/>
    </w:pPr>
    <w:rPr>
      <w:sz w:val="24"/>
      <w:szCs w:val="24"/>
    </w:rPr>
  </w:style>
  <w:style w:type="paragraph" w:styleId="20">
    <w:name w:val="List 2"/>
    <w:basedOn w:val="ad"/>
    <w:pPr>
      <w:tabs>
        <w:tab w:val="left" w:pos="864"/>
      </w:tabs>
      <w:ind w:left="864"/>
    </w:pPr>
  </w:style>
  <w:style w:type="paragraph" w:styleId="30">
    <w:name w:val="List 3"/>
    <w:basedOn w:val="ad"/>
    <w:pPr>
      <w:ind w:left="1296"/>
    </w:pPr>
  </w:style>
  <w:style w:type="paragraph" w:styleId="a">
    <w:name w:val="List Bullet"/>
    <w:basedOn w:val="ad"/>
    <w:autoRedefine/>
    <w:pPr>
      <w:numPr>
        <w:numId w:val="1"/>
      </w:numPr>
    </w:pPr>
  </w:style>
  <w:style w:type="paragraph" w:styleId="21">
    <w:name w:val="List Bullet 2"/>
    <w:basedOn w:val="a"/>
    <w:autoRedefine/>
    <w:pPr>
      <w:numPr>
        <w:numId w:val="0"/>
      </w:numPr>
      <w:tabs>
        <w:tab w:val="num" w:pos="360"/>
      </w:tabs>
      <w:ind w:left="792" w:hanging="360"/>
    </w:pPr>
  </w:style>
  <w:style w:type="paragraph" w:styleId="31">
    <w:name w:val="List Bullet 3"/>
    <w:basedOn w:val="30"/>
    <w:autoRedefine/>
    <w:pPr>
      <w:tabs>
        <w:tab w:val="num" w:pos="1080"/>
        <w:tab w:val="left" w:pos="1224"/>
      </w:tabs>
      <w:ind w:left="1224" w:right="1080" w:hanging="360"/>
    </w:pPr>
  </w:style>
  <w:style w:type="paragraph" w:styleId="ae">
    <w:name w:val="List Number"/>
    <w:basedOn w:val="a"/>
  </w:style>
  <w:style w:type="paragraph" w:styleId="22">
    <w:name w:val="List Number 2"/>
    <w:basedOn w:val="21"/>
  </w:style>
  <w:style w:type="paragraph" w:styleId="32">
    <w:name w:val="List Number 3"/>
    <w:basedOn w:val="31"/>
  </w:style>
  <w:style w:type="paragraph" w:styleId="af">
    <w:name w:val="macro"/>
    <w:semiHidden/>
    <w:pPr>
      <w:tabs>
        <w:tab w:val="left" w:pos="480"/>
        <w:tab w:val="left" w:pos="960"/>
        <w:tab w:val="left" w:pos="1440"/>
        <w:tab w:val="left" w:pos="1920"/>
        <w:tab w:val="left" w:pos="2400"/>
        <w:tab w:val="left" w:pos="2880"/>
        <w:tab w:val="left" w:pos="3360"/>
        <w:tab w:val="left" w:pos="3840"/>
        <w:tab w:val="left" w:pos="4320"/>
      </w:tabs>
      <w:ind w:left="288" w:hanging="288"/>
    </w:pPr>
    <w:rPr>
      <w:rFonts w:ascii="Courier New" w:cs="Courier New"/>
      <w:snapToGrid w:val="0"/>
      <w:lang w:bidi="ar-SA"/>
    </w:rPr>
  </w:style>
  <w:style w:type="paragraph" w:customStyle="1" w:styleId="Normal-1">
    <w:name w:val="Normal-1"/>
    <w:basedOn w:val="a0"/>
    <w:pPr>
      <w:ind w:firstLine="216"/>
      <w:jc w:val="both"/>
    </w:pPr>
    <w:rPr>
      <w:i/>
      <w:iCs/>
      <w:sz w:val="22"/>
      <w:szCs w:val="22"/>
    </w:rPr>
  </w:style>
  <w:style w:type="character" w:styleId="af0">
    <w:name w:val="page number"/>
    <w:basedOn w:val="a1"/>
    <w:rPr>
      <w:rFonts w:cs="Arial"/>
    </w:rPr>
  </w:style>
  <w:style w:type="paragraph" w:customStyle="1" w:styleId="PC">
    <w:name w:val="PC"/>
    <w:basedOn w:val="a0"/>
    <w:next w:val="PS"/>
    <w:rPr>
      <w:sz w:val="24"/>
      <w:szCs w:val="24"/>
    </w:rPr>
  </w:style>
  <w:style w:type="paragraph" w:customStyle="1" w:styleId="PC-1">
    <w:name w:val="PC-1"/>
    <w:basedOn w:val="PC"/>
    <w:pPr>
      <w:jc w:val="both"/>
    </w:pPr>
    <w:rPr>
      <w:i/>
      <w:iCs/>
      <w:sz w:val="22"/>
      <w:szCs w:val="22"/>
    </w:rPr>
  </w:style>
  <w:style w:type="paragraph" w:customStyle="1" w:styleId="PS">
    <w:name w:val="PS"/>
    <w:basedOn w:val="a0"/>
    <w:pPr>
      <w:ind w:firstLine="432"/>
    </w:pPr>
    <w:rPr>
      <w:sz w:val="24"/>
      <w:szCs w:val="24"/>
    </w:rPr>
  </w:style>
  <w:style w:type="paragraph" w:customStyle="1" w:styleId="SH">
    <w:name w:val="SH"/>
    <w:basedOn w:val="2"/>
    <w:next w:val="PC"/>
  </w:style>
  <w:style w:type="paragraph" w:customStyle="1" w:styleId="SH0">
    <w:name w:val="SH0"/>
    <w:basedOn w:val="SH"/>
    <w:next w:val="PC"/>
    <w:pPr>
      <w:spacing w:before="0"/>
    </w:pPr>
  </w:style>
  <w:style w:type="paragraph" w:customStyle="1" w:styleId="TH">
    <w:name w:val="TH"/>
    <w:basedOn w:val="3"/>
    <w:next w:val="PC"/>
  </w:style>
  <w:style w:type="paragraph" w:customStyle="1" w:styleId="TH0">
    <w:name w:val="TH0"/>
    <w:basedOn w:val="TH"/>
    <w:next w:val="PC"/>
    <w:pPr>
      <w:spacing w:before="0"/>
    </w:pPr>
  </w:style>
  <w:style w:type="paragraph" w:styleId="40">
    <w:name w:val="List 4"/>
    <w:basedOn w:val="30"/>
    <w:pPr>
      <w:ind w:left="1872" w:hanging="576"/>
    </w:pPr>
  </w:style>
  <w:style w:type="character" w:customStyle="1" w:styleId="deleted">
    <w:name w:val="deleted"/>
    <w:basedOn w:val="a1"/>
    <w:rPr>
      <w:rFonts w:cs="Arial"/>
      <w:strike/>
      <w:noProof w:val="0"/>
      <w:lang w:val="en-GB"/>
    </w:rPr>
  </w:style>
  <w:style w:type="paragraph" w:styleId="af1">
    <w:name w:val="Plain Text"/>
    <w:basedOn w:val="a0"/>
    <w:rPr>
      <w:rFonts w:ascii="Courier New" w:cs="Courier New"/>
    </w:rPr>
  </w:style>
  <w:style w:type="paragraph" w:styleId="NormalWeb">
    <w:name w:val="Normal (Web)"/>
    <w:basedOn w:val="a0"/>
    <w:uiPriority w:val="99"/>
    <w:pPr>
      <w:spacing w:before="100" w:after="100"/>
    </w:pPr>
    <w:rPr>
      <w:rFonts w:ascii="Arial Unicode MS" w:cs="Arial Unicode MS"/>
      <w:sz w:val="24"/>
      <w:szCs w:val="24"/>
    </w:rPr>
  </w:style>
  <w:style w:type="character" w:customStyle="1" w:styleId="title1">
    <w:name w:val="title1"/>
    <w:basedOn w:val="a1"/>
    <w:rPr>
      <w:rFonts w:ascii="Arial" w:cs="Arial"/>
      <w:b/>
      <w:bCs/>
      <w:color w:val="000080"/>
      <w:sz w:val="16"/>
      <w:szCs w:val="16"/>
      <w:u w:val="none"/>
      <w:effect w:val="none"/>
    </w:rPr>
  </w:style>
  <w:style w:type="character" w:styleId="af2">
    <w:name w:val="footnote reference"/>
    <w:basedOn w:val="a1"/>
    <w:semiHidden/>
    <w:rPr>
      <w:rFonts w:cs="Arial"/>
      <w:vertAlign w:val="superscript"/>
    </w:rPr>
  </w:style>
  <w:style w:type="paragraph" w:customStyle="1" w:styleId="pxc">
    <w:name w:val="pxc"/>
    <w:basedOn w:val="PS"/>
  </w:style>
  <w:style w:type="paragraph" w:customStyle="1" w:styleId="pq">
    <w:name w:val="pq"/>
    <w:basedOn w:val="PS"/>
  </w:style>
  <w:style w:type="character" w:styleId="af3">
    <w:name w:val="endnote reference"/>
    <w:basedOn w:val="a1"/>
    <w:semiHidden/>
    <w:rPr>
      <w:rFonts w:cs="Times New Roman"/>
      <w:vertAlign w:val="superscript"/>
    </w:rPr>
  </w:style>
  <w:style w:type="paragraph" w:styleId="af4">
    <w:name w:val="footer"/>
    <w:basedOn w:val="a0"/>
    <w:pPr>
      <w:tabs>
        <w:tab w:val="center" w:pos="4320"/>
        <w:tab w:val="right" w:pos="8640"/>
      </w:tabs>
    </w:pPr>
  </w:style>
  <w:style w:type="paragraph" w:styleId="af5">
    <w:name w:val="header"/>
    <w:basedOn w:val="a0"/>
    <w:link w:val="af6"/>
    <w:pPr>
      <w:tabs>
        <w:tab w:val="center" w:pos="4320"/>
        <w:tab w:val="right" w:pos="8640"/>
      </w:tabs>
    </w:pPr>
  </w:style>
  <w:style w:type="paragraph" w:customStyle="1" w:styleId="px">
    <w:name w:val="px"/>
    <w:basedOn w:val="ab"/>
  </w:style>
  <w:style w:type="paragraph" w:customStyle="1" w:styleId="af7">
    <w:name w:val="פב"/>
    <w:basedOn w:val="px"/>
  </w:style>
  <w:style w:type="paragraph" w:customStyle="1" w:styleId="8">
    <w:name w:val="עבריתהערה8"/>
    <w:basedOn w:val="a0"/>
    <w:pPr>
      <w:bidi/>
      <w:spacing w:line="360" w:lineRule="auto"/>
      <w:ind w:left="170" w:hanging="170"/>
      <w:outlineLvl w:val="5"/>
    </w:pPr>
    <w:rPr>
      <w:snapToGrid/>
      <w:szCs w:val="22"/>
    </w:rPr>
  </w:style>
  <w:style w:type="paragraph" w:styleId="af8">
    <w:name w:val="Document Map"/>
    <w:basedOn w:val="a0"/>
    <w:semiHidden/>
    <w:pPr>
      <w:shd w:val="clear" w:color="auto" w:fill="000080"/>
    </w:pPr>
    <w:rPr>
      <w:rFonts w:ascii="Tahoma" w:cs="Miriam"/>
    </w:rPr>
  </w:style>
  <w:style w:type="table" w:styleId="af9">
    <w:name w:val="Table Grid"/>
    <w:basedOn w:val="a2"/>
    <w:rsid w:val="00EC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61">
    <w:name w:val="subtitle161"/>
    <w:basedOn w:val="a1"/>
    <w:rsid w:val="00401C76"/>
    <w:rPr>
      <w:rFonts w:ascii="Arial" w:hAnsi="Arial" w:cs="Arial" w:hint="default"/>
      <w:b/>
      <w:bCs/>
      <w:color w:val="003F64"/>
      <w:sz w:val="24"/>
      <w:szCs w:val="24"/>
    </w:rPr>
  </w:style>
  <w:style w:type="character" w:customStyle="1" w:styleId="subtitle1">
    <w:name w:val="subtitle1"/>
    <w:basedOn w:val="a1"/>
    <w:rsid w:val="00401C76"/>
    <w:rPr>
      <w:rFonts w:ascii="Arial" w:hAnsi="Arial" w:cs="Arial" w:hint="default"/>
      <w:b/>
      <w:bCs/>
      <w:color w:val="003F64"/>
      <w:sz w:val="23"/>
      <w:szCs w:val="23"/>
    </w:rPr>
  </w:style>
  <w:style w:type="paragraph" w:customStyle="1" w:styleId="Ppc">
    <w:name w:val="Ppc"/>
    <w:basedOn w:val="PS"/>
    <w:rsid w:val="00611902"/>
  </w:style>
  <w:style w:type="paragraph" w:customStyle="1" w:styleId="afa">
    <w:name w:val="ךןדא"/>
    <w:basedOn w:val="PS"/>
    <w:rsid w:val="008E1742"/>
  </w:style>
  <w:style w:type="character" w:styleId="afb">
    <w:name w:val="Emphasis"/>
    <w:basedOn w:val="a1"/>
    <w:qFormat/>
    <w:rsid w:val="0084609A"/>
    <w:rPr>
      <w:b/>
      <w:bCs/>
      <w:i w:val="0"/>
      <w:iCs w:val="0"/>
    </w:rPr>
  </w:style>
  <w:style w:type="paragraph" w:customStyle="1" w:styleId="NormalWeb1">
    <w:name w:val="Normal (Web)‎1"/>
    <w:basedOn w:val="a0"/>
    <w:rsid w:val="00AB33A8"/>
    <w:pPr>
      <w:spacing w:after="240"/>
    </w:pPr>
    <w:rPr>
      <w:snapToGrid/>
      <w:sz w:val="24"/>
      <w:szCs w:val="24"/>
      <w:lang w:bidi="he-IL"/>
    </w:rPr>
  </w:style>
  <w:style w:type="paragraph" w:styleId="afc">
    <w:name w:val="Block Text"/>
    <w:basedOn w:val="a0"/>
    <w:rsid w:val="00BB5900"/>
    <w:pPr>
      <w:bidi/>
      <w:spacing w:before="120" w:line="360" w:lineRule="auto"/>
      <w:ind w:left="567" w:right="567"/>
      <w:jc w:val="both"/>
    </w:pPr>
    <w:rPr>
      <w:rFonts w:ascii="Garamond" w:hAnsi="Garamond" w:cs="David"/>
      <w:snapToGrid/>
      <w:color w:val="000000"/>
      <w:sz w:val="22"/>
      <w:szCs w:val="24"/>
      <w:lang w:bidi="he-IL"/>
    </w:rPr>
  </w:style>
  <w:style w:type="character" w:styleId="Hyperlink">
    <w:name w:val="Hyperlink"/>
    <w:basedOn w:val="a1"/>
    <w:rsid w:val="00B4268E"/>
    <w:rPr>
      <w:color w:val="0000FF"/>
      <w:u w:val="single"/>
    </w:rPr>
  </w:style>
  <w:style w:type="paragraph" w:customStyle="1" w:styleId="10">
    <w:name w:val="(1)"/>
    <w:basedOn w:val="30"/>
    <w:rsid w:val="00DA5A62"/>
  </w:style>
  <w:style w:type="character" w:customStyle="1" w:styleId="ft">
    <w:name w:val="ft"/>
    <w:basedOn w:val="a1"/>
    <w:rsid w:val="000C71C4"/>
  </w:style>
  <w:style w:type="paragraph" w:customStyle="1" w:styleId="Lsit2">
    <w:name w:val="Lsit 2"/>
    <w:basedOn w:val="PS"/>
    <w:rsid w:val="00B82E55"/>
  </w:style>
  <w:style w:type="paragraph" w:styleId="afd">
    <w:name w:val="List Paragraph"/>
    <w:basedOn w:val="a0"/>
    <w:uiPriority w:val="34"/>
    <w:qFormat/>
    <w:rsid w:val="00B25E7E"/>
    <w:pPr>
      <w:spacing w:after="200" w:line="276" w:lineRule="auto"/>
      <w:ind w:left="720"/>
      <w:contextualSpacing/>
    </w:pPr>
    <w:rPr>
      <w:rFonts w:ascii="Calibri" w:hAnsi="Calibri" w:cs="Arial"/>
      <w:snapToGrid/>
      <w:sz w:val="22"/>
      <w:szCs w:val="22"/>
      <w:lang w:bidi="he-IL"/>
    </w:rPr>
  </w:style>
  <w:style w:type="paragraph" w:styleId="afe">
    <w:name w:val="Balloon Text"/>
    <w:basedOn w:val="a0"/>
    <w:semiHidden/>
    <w:rsid w:val="00B25E7E"/>
    <w:rPr>
      <w:rFonts w:ascii="Tahoma" w:hAnsi="Tahoma" w:cs="Tahoma"/>
      <w:sz w:val="16"/>
      <w:szCs w:val="16"/>
    </w:rPr>
  </w:style>
  <w:style w:type="character" w:customStyle="1" w:styleId="ac">
    <w:name w:val="טקסט הערת שוליים תו"/>
    <w:basedOn w:val="a1"/>
    <w:link w:val="ab"/>
    <w:semiHidden/>
    <w:locked/>
    <w:rsid w:val="00253171"/>
    <w:rPr>
      <w:snapToGrid w:val="0"/>
      <w:lang w:val="en-US" w:eastAsia="en-US" w:bidi="ar-SA"/>
    </w:rPr>
  </w:style>
  <w:style w:type="character" w:styleId="aff">
    <w:name w:val="annotation reference"/>
    <w:basedOn w:val="a1"/>
    <w:semiHidden/>
    <w:rsid w:val="009A1A91"/>
    <w:rPr>
      <w:sz w:val="16"/>
      <w:szCs w:val="16"/>
    </w:rPr>
  </w:style>
  <w:style w:type="paragraph" w:styleId="aff0">
    <w:name w:val="annotation text"/>
    <w:basedOn w:val="a0"/>
    <w:semiHidden/>
    <w:rsid w:val="009A1A91"/>
  </w:style>
  <w:style w:type="paragraph" w:styleId="aff1">
    <w:name w:val="annotation subject"/>
    <w:basedOn w:val="aff0"/>
    <w:next w:val="aff0"/>
    <w:semiHidden/>
    <w:rsid w:val="009A1A91"/>
    <w:rPr>
      <w:b/>
      <w:bCs/>
    </w:rPr>
  </w:style>
  <w:style w:type="character" w:styleId="FollowedHyperlink">
    <w:name w:val="FollowedHyperlink"/>
    <w:basedOn w:val="a1"/>
    <w:rsid w:val="00675F40"/>
    <w:rPr>
      <w:color w:val="606420"/>
      <w:u w:val="single"/>
    </w:rPr>
  </w:style>
  <w:style w:type="paragraph" w:customStyle="1" w:styleId="regpar">
    <w:name w:val="regpar"/>
    <w:basedOn w:val="a0"/>
    <w:rsid w:val="00C81579"/>
    <w:pPr>
      <w:spacing w:line="300" w:lineRule="exact"/>
      <w:ind w:firstLine="240"/>
      <w:jc w:val="both"/>
    </w:pPr>
    <w:rPr>
      <w:rFonts w:ascii="Times" w:hAnsi="Times" w:cs="Times"/>
      <w:snapToGrid/>
      <w:sz w:val="24"/>
      <w:szCs w:val="24"/>
      <w:lang w:bidi="he-IL"/>
    </w:rPr>
  </w:style>
  <w:style w:type="character" w:customStyle="1" w:styleId="af6">
    <w:name w:val="כותרת עליונה תו"/>
    <w:basedOn w:val="a1"/>
    <w:link w:val="af5"/>
    <w:locked/>
    <w:rsid w:val="009460DF"/>
    <w:rPr>
      <w:rFonts w:cs="Times New Roman"/>
      <w:snapToGrid w:val="0"/>
      <w:lang w:bidi="ar-SA"/>
    </w:rPr>
  </w:style>
  <w:style w:type="paragraph" w:styleId="aff2">
    <w:name w:val="Revision"/>
    <w:hidden/>
    <w:uiPriority w:val="99"/>
    <w:semiHidden/>
    <w:rsid w:val="00995BE7"/>
    <w:rPr>
      <w:rFonts w:cs="Times New Roman"/>
      <w:snapToGrid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4C96"/>
    <w:rPr>
      <w:rFonts w:cs="Times New Roman"/>
      <w:snapToGrid w:val="0"/>
      <w:lang w:bidi="ar-SA"/>
    </w:rPr>
  </w:style>
  <w:style w:type="paragraph" w:styleId="1">
    <w:name w:val="heading 1"/>
    <w:basedOn w:val="a0"/>
    <w:next w:val="a0"/>
    <w:qFormat/>
    <w:pPr>
      <w:keepNext/>
      <w:keepLines/>
      <w:spacing w:before="240" w:after="60"/>
      <w:outlineLvl w:val="0"/>
    </w:pPr>
    <w:rPr>
      <w:rFonts w:ascii="Arial" w:cs="Arial"/>
      <w:b/>
      <w:bCs/>
      <w:kern w:val="28"/>
      <w:sz w:val="28"/>
      <w:szCs w:val="28"/>
    </w:rPr>
  </w:style>
  <w:style w:type="paragraph" w:styleId="2">
    <w:name w:val="heading 2"/>
    <w:basedOn w:val="1"/>
    <w:next w:val="a0"/>
    <w:qFormat/>
    <w:pPr>
      <w:outlineLvl w:val="1"/>
    </w:pPr>
    <w:rPr>
      <w:i/>
      <w:iCs/>
      <w:sz w:val="24"/>
      <w:szCs w:val="24"/>
    </w:rPr>
  </w:style>
  <w:style w:type="paragraph" w:styleId="3">
    <w:name w:val="heading 3"/>
    <w:basedOn w:val="2"/>
    <w:next w:val="a0"/>
    <w:qFormat/>
    <w:pPr>
      <w:outlineLvl w:val="2"/>
    </w:pPr>
    <w:rPr>
      <w:b w:val="0"/>
      <w:bCs w:val="0"/>
    </w:rPr>
  </w:style>
  <w:style w:type="paragraph" w:styleId="4">
    <w:name w:val="heading 4"/>
    <w:basedOn w:val="a0"/>
    <w:next w:val="a0"/>
    <w:qFormat/>
    <w:pPr>
      <w:keepNext/>
      <w:keepLines/>
      <w:spacing w:before="120" w:after="60"/>
      <w:outlineLvl w:val="3"/>
    </w:pPr>
    <w:rPr>
      <w:b/>
      <w:bCs/>
      <w:smallCap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lock">
    <w:name w:val="block"/>
    <w:basedOn w:val="a0"/>
    <w:pPr>
      <w:spacing w:after="120"/>
      <w:ind w:firstLine="432"/>
    </w:pPr>
    <w:rPr>
      <w:sz w:val="24"/>
      <w:szCs w:val="24"/>
    </w:rPr>
  </w:style>
  <w:style w:type="paragraph" w:styleId="a4">
    <w:name w:val="Body Text"/>
    <w:basedOn w:val="a0"/>
    <w:pPr>
      <w:ind w:firstLine="432"/>
    </w:pPr>
    <w:rPr>
      <w:sz w:val="24"/>
      <w:szCs w:val="24"/>
    </w:rPr>
  </w:style>
  <w:style w:type="paragraph" w:styleId="a5">
    <w:name w:val="Body Text Indent"/>
    <w:basedOn w:val="a0"/>
    <w:pPr>
      <w:jc w:val="right"/>
    </w:pPr>
    <w:rPr>
      <w:b/>
      <w:bCs/>
      <w:sz w:val="24"/>
      <w:szCs w:val="24"/>
    </w:rPr>
  </w:style>
  <w:style w:type="paragraph" w:styleId="a6">
    <w:name w:val="caption"/>
    <w:basedOn w:val="a0"/>
    <w:next w:val="a0"/>
    <w:qFormat/>
    <w:pPr>
      <w:ind w:firstLine="432"/>
    </w:pPr>
    <w:rPr>
      <w:b/>
      <w:bCs/>
      <w:sz w:val="24"/>
      <w:szCs w:val="24"/>
    </w:rPr>
  </w:style>
  <w:style w:type="paragraph" w:styleId="a7">
    <w:name w:val="Title"/>
    <w:basedOn w:val="1"/>
    <w:next w:val="a8"/>
    <w:qFormat/>
    <w:pPr>
      <w:spacing w:before="360" w:after="240"/>
      <w:outlineLvl w:val="9"/>
    </w:pPr>
    <w:rPr>
      <w:sz w:val="32"/>
      <w:szCs w:val="32"/>
    </w:rPr>
  </w:style>
  <w:style w:type="paragraph" w:styleId="a8">
    <w:name w:val="Subtitle"/>
    <w:basedOn w:val="a0"/>
    <w:qFormat/>
    <w:pPr>
      <w:spacing w:after="60"/>
      <w:jc w:val="center"/>
      <w:outlineLvl w:val="1"/>
    </w:pPr>
    <w:rPr>
      <w:rFonts w:ascii="Arial" w:cs="Arial"/>
      <w:sz w:val="24"/>
      <w:szCs w:val="24"/>
    </w:rPr>
  </w:style>
  <w:style w:type="paragraph" w:customStyle="1" w:styleId="CB">
    <w:name w:val="CB"/>
    <w:basedOn w:val="a7"/>
    <w:pPr>
      <w:jc w:val="center"/>
      <w:outlineLvl w:val="0"/>
    </w:pPr>
  </w:style>
  <w:style w:type="paragraph" w:styleId="a9">
    <w:name w:val="Closing"/>
    <w:basedOn w:val="a0"/>
    <w:pPr>
      <w:ind w:left="4320" w:firstLine="432"/>
    </w:pPr>
    <w:rPr>
      <w:sz w:val="24"/>
      <w:szCs w:val="24"/>
    </w:rPr>
  </w:style>
  <w:style w:type="paragraph" w:customStyle="1" w:styleId="CP">
    <w:name w:val="CP"/>
    <w:basedOn w:val="a8"/>
    <w:next w:val="1"/>
    <w:pPr>
      <w:keepNext/>
      <w:keepLines/>
      <w:spacing w:before="240" w:after="120"/>
      <w:outlineLvl w:val="9"/>
    </w:pPr>
    <w:rPr>
      <w:i/>
      <w:iCs/>
      <w:kern w:val="28"/>
    </w:rPr>
  </w:style>
  <w:style w:type="paragraph" w:styleId="aa">
    <w:name w:val="endnote text"/>
    <w:basedOn w:val="a0"/>
    <w:semiHidden/>
    <w:pPr>
      <w:ind w:left="432" w:hanging="432"/>
    </w:pPr>
  </w:style>
  <w:style w:type="paragraph" w:customStyle="1" w:styleId="FH">
    <w:name w:val="FH"/>
    <w:basedOn w:val="1"/>
    <w:next w:val="PC"/>
  </w:style>
  <w:style w:type="paragraph" w:customStyle="1" w:styleId="FH0">
    <w:name w:val="FH0"/>
    <w:basedOn w:val="FH"/>
    <w:next w:val="a0"/>
    <w:pPr>
      <w:spacing w:before="0"/>
    </w:pPr>
  </w:style>
  <w:style w:type="paragraph" w:styleId="ab">
    <w:name w:val="footnote text"/>
    <w:basedOn w:val="a0"/>
    <w:link w:val="ac"/>
    <w:semiHidden/>
    <w:pPr>
      <w:spacing w:line="480" w:lineRule="auto"/>
    </w:pPr>
  </w:style>
  <w:style w:type="character" w:customStyle="1" w:styleId="Hidden">
    <w:name w:val="Hidden"/>
    <w:basedOn w:val="a1"/>
    <w:rPr>
      <w:rFonts w:cs="Arial"/>
      <w:vanish/>
    </w:rPr>
  </w:style>
  <w:style w:type="paragraph" w:customStyle="1" w:styleId="IQ">
    <w:name w:val="IQ"/>
    <w:basedOn w:val="a0"/>
    <w:pPr>
      <w:spacing w:before="120" w:after="120"/>
      <w:ind w:left="864" w:right="432"/>
    </w:pPr>
    <w:rPr>
      <w:sz w:val="24"/>
      <w:szCs w:val="24"/>
    </w:rPr>
  </w:style>
  <w:style w:type="paragraph" w:styleId="ad">
    <w:name w:val="List"/>
    <w:basedOn w:val="a0"/>
    <w:pPr>
      <w:tabs>
        <w:tab w:val="left" w:pos="432"/>
      </w:tabs>
      <w:ind w:left="432" w:hanging="432"/>
    </w:pPr>
    <w:rPr>
      <w:sz w:val="24"/>
      <w:szCs w:val="24"/>
    </w:rPr>
  </w:style>
  <w:style w:type="paragraph" w:styleId="20">
    <w:name w:val="List 2"/>
    <w:basedOn w:val="ad"/>
    <w:pPr>
      <w:tabs>
        <w:tab w:val="left" w:pos="864"/>
      </w:tabs>
      <w:ind w:left="864"/>
    </w:pPr>
  </w:style>
  <w:style w:type="paragraph" w:styleId="30">
    <w:name w:val="List 3"/>
    <w:basedOn w:val="ad"/>
    <w:pPr>
      <w:ind w:left="1296"/>
    </w:pPr>
  </w:style>
  <w:style w:type="paragraph" w:styleId="a">
    <w:name w:val="List Bullet"/>
    <w:basedOn w:val="ad"/>
    <w:autoRedefine/>
    <w:pPr>
      <w:numPr>
        <w:numId w:val="1"/>
      </w:numPr>
    </w:pPr>
  </w:style>
  <w:style w:type="paragraph" w:styleId="21">
    <w:name w:val="List Bullet 2"/>
    <w:basedOn w:val="a"/>
    <w:autoRedefine/>
    <w:pPr>
      <w:numPr>
        <w:numId w:val="0"/>
      </w:numPr>
      <w:tabs>
        <w:tab w:val="num" w:pos="360"/>
      </w:tabs>
      <w:ind w:left="792" w:hanging="360"/>
    </w:pPr>
  </w:style>
  <w:style w:type="paragraph" w:styleId="31">
    <w:name w:val="List Bullet 3"/>
    <w:basedOn w:val="30"/>
    <w:autoRedefine/>
    <w:pPr>
      <w:tabs>
        <w:tab w:val="num" w:pos="1080"/>
        <w:tab w:val="left" w:pos="1224"/>
      </w:tabs>
      <w:ind w:left="1224" w:right="1080" w:hanging="360"/>
    </w:pPr>
  </w:style>
  <w:style w:type="paragraph" w:styleId="ae">
    <w:name w:val="List Number"/>
    <w:basedOn w:val="a"/>
  </w:style>
  <w:style w:type="paragraph" w:styleId="22">
    <w:name w:val="List Number 2"/>
    <w:basedOn w:val="21"/>
  </w:style>
  <w:style w:type="paragraph" w:styleId="32">
    <w:name w:val="List Number 3"/>
    <w:basedOn w:val="31"/>
  </w:style>
  <w:style w:type="paragraph" w:styleId="af">
    <w:name w:val="macro"/>
    <w:semiHidden/>
    <w:pPr>
      <w:tabs>
        <w:tab w:val="left" w:pos="480"/>
        <w:tab w:val="left" w:pos="960"/>
        <w:tab w:val="left" w:pos="1440"/>
        <w:tab w:val="left" w:pos="1920"/>
        <w:tab w:val="left" w:pos="2400"/>
        <w:tab w:val="left" w:pos="2880"/>
        <w:tab w:val="left" w:pos="3360"/>
        <w:tab w:val="left" w:pos="3840"/>
        <w:tab w:val="left" w:pos="4320"/>
      </w:tabs>
      <w:ind w:left="288" w:hanging="288"/>
    </w:pPr>
    <w:rPr>
      <w:rFonts w:ascii="Courier New" w:cs="Courier New"/>
      <w:snapToGrid w:val="0"/>
      <w:lang w:bidi="ar-SA"/>
    </w:rPr>
  </w:style>
  <w:style w:type="paragraph" w:customStyle="1" w:styleId="Normal-1">
    <w:name w:val="Normal-1"/>
    <w:basedOn w:val="a0"/>
    <w:pPr>
      <w:ind w:firstLine="216"/>
      <w:jc w:val="both"/>
    </w:pPr>
    <w:rPr>
      <w:i/>
      <w:iCs/>
      <w:sz w:val="22"/>
      <w:szCs w:val="22"/>
    </w:rPr>
  </w:style>
  <w:style w:type="character" w:styleId="af0">
    <w:name w:val="page number"/>
    <w:basedOn w:val="a1"/>
    <w:rPr>
      <w:rFonts w:cs="Arial"/>
    </w:rPr>
  </w:style>
  <w:style w:type="paragraph" w:customStyle="1" w:styleId="PC">
    <w:name w:val="PC"/>
    <w:basedOn w:val="a0"/>
    <w:next w:val="PS"/>
    <w:rPr>
      <w:sz w:val="24"/>
      <w:szCs w:val="24"/>
    </w:rPr>
  </w:style>
  <w:style w:type="paragraph" w:customStyle="1" w:styleId="PC-1">
    <w:name w:val="PC-1"/>
    <w:basedOn w:val="PC"/>
    <w:pPr>
      <w:jc w:val="both"/>
    </w:pPr>
    <w:rPr>
      <w:i/>
      <w:iCs/>
      <w:sz w:val="22"/>
      <w:szCs w:val="22"/>
    </w:rPr>
  </w:style>
  <w:style w:type="paragraph" w:customStyle="1" w:styleId="PS">
    <w:name w:val="PS"/>
    <w:basedOn w:val="a0"/>
    <w:pPr>
      <w:ind w:firstLine="432"/>
    </w:pPr>
    <w:rPr>
      <w:sz w:val="24"/>
      <w:szCs w:val="24"/>
    </w:rPr>
  </w:style>
  <w:style w:type="paragraph" w:customStyle="1" w:styleId="SH">
    <w:name w:val="SH"/>
    <w:basedOn w:val="2"/>
    <w:next w:val="PC"/>
  </w:style>
  <w:style w:type="paragraph" w:customStyle="1" w:styleId="SH0">
    <w:name w:val="SH0"/>
    <w:basedOn w:val="SH"/>
    <w:next w:val="PC"/>
    <w:pPr>
      <w:spacing w:before="0"/>
    </w:pPr>
  </w:style>
  <w:style w:type="paragraph" w:customStyle="1" w:styleId="TH">
    <w:name w:val="TH"/>
    <w:basedOn w:val="3"/>
    <w:next w:val="PC"/>
  </w:style>
  <w:style w:type="paragraph" w:customStyle="1" w:styleId="TH0">
    <w:name w:val="TH0"/>
    <w:basedOn w:val="TH"/>
    <w:next w:val="PC"/>
    <w:pPr>
      <w:spacing w:before="0"/>
    </w:pPr>
  </w:style>
  <w:style w:type="paragraph" w:styleId="40">
    <w:name w:val="List 4"/>
    <w:basedOn w:val="30"/>
    <w:pPr>
      <w:ind w:left="1872" w:hanging="576"/>
    </w:pPr>
  </w:style>
  <w:style w:type="character" w:customStyle="1" w:styleId="deleted">
    <w:name w:val="deleted"/>
    <w:basedOn w:val="a1"/>
    <w:rPr>
      <w:rFonts w:cs="Arial"/>
      <w:strike/>
      <w:noProof w:val="0"/>
      <w:lang w:val="en-GB"/>
    </w:rPr>
  </w:style>
  <w:style w:type="paragraph" w:styleId="af1">
    <w:name w:val="Plain Text"/>
    <w:basedOn w:val="a0"/>
    <w:rPr>
      <w:rFonts w:ascii="Courier New" w:cs="Courier New"/>
    </w:rPr>
  </w:style>
  <w:style w:type="paragraph" w:styleId="NormalWeb">
    <w:name w:val="Normal (Web)"/>
    <w:basedOn w:val="a0"/>
    <w:uiPriority w:val="99"/>
    <w:pPr>
      <w:spacing w:before="100" w:after="100"/>
    </w:pPr>
    <w:rPr>
      <w:rFonts w:ascii="Arial Unicode MS" w:cs="Arial Unicode MS"/>
      <w:sz w:val="24"/>
      <w:szCs w:val="24"/>
    </w:rPr>
  </w:style>
  <w:style w:type="character" w:customStyle="1" w:styleId="title1">
    <w:name w:val="title1"/>
    <w:basedOn w:val="a1"/>
    <w:rPr>
      <w:rFonts w:ascii="Arial" w:cs="Arial"/>
      <w:b/>
      <w:bCs/>
      <w:color w:val="000080"/>
      <w:sz w:val="16"/>
      <w:szCs w:val="16"/>
      <w:u w:val="none"/>
      <w:effect w:val="none"/>
    </w:rPr>
  </w:style>
  <w:style w:type="character" w:styleId="af2">
    <w:name w:val="footnote reference"/>
    <w:basedOn w:val="a1"/>
    <w:semiHidden/>
    <w:rPr>
      <w:rFonts w:cs="Arial"/>
      <w:vertAlign w:val="superscript"/>
    </w:rPr>
  </w:style>
  <w:style w:type="paragraph" w:customStyle="1" w:styleId="pxc">
    <w:name w:val="pxc"/>
    <w:basedOn w:val="PS"/>
  </w:style>
  <w:style w:type="paragraph" w:customStyle="1" w:styleId="pq">
    <w:name w:val="pq"/>
    <w:basedOn w:val="PS"/>
  </w:style>
  <w:style w:type="character" w:styleId="af3">
    <w:name w:val="endnote reference"/>
    <w:basedOn w:val="a1"/>
    <w:semiHidden/>
    <w:rPr>
      <w:rFonts w:cs="Times New Roman"/>
      <w:vertAlign w:val="superscript"/>
    </w:rPr>
  </w:style>
  <w:style w:type="paragraph" w:styleId="af4">
    <w:name w:val="footer"/>
    <w:basedOn w:val="a0"/>
    <w:pPr>
      <w:tabs>
        <w:tab w:val="center" w:pos="4320"/>
        <w:tab w:val="right" w:pos="8640"/>
      </w:tabs>
    </w:pPr>
  </w:style>
  <w:style w:type="paragraph" w:styleId="af5">
    <w:name w:val="header"/>
    <w:basedOn w:val="a0"/>
    <w:link w:val="af6"/>
    <w:pPr>
      <w:tabs>
        <w:tab w:val="center" w:pos="4320"/>
        <w:tab w:val="right" w:pos="8640"/>
      </w:tabs>
    </w:pPr>
  </w:style>
  <w:style w:type="paragraph" w:customStyle="1" w:styleId="px">
    <w:name w:val="px"/>
    <w:basedOn w:val="ab"/>
  </w:style>
  <w:style w:type="paragraph" w:customStyle="1" w:styleId="af7">
    <w:name w:val="פב"/>
    <w:basedOn w:val="px"/>
  </w:style>
  <w:style w:type="paragraph" w:customStyle="1" w:styleId="8">
    <w:name w:val="עבריתהערה8"/>
    <w:basedOn w:val="a0"/>
    <w:pPr>
      <w:bidi/>
      <w:spacing w:line="360" w:lineRule="auto"/>
      <w:ind w:left="170" w:hanging="170"/>
      <w:outlineLvl w:val="5"/>
    </w:pPr>
    <w:rPr>
      <w:snapToGrid/>
      <w:szCs w:val="22"/>
    </w:rPr>
  </w:style>
  <w:style w:type="paragraph" w:styleId="af8">
    <w:name w:val="Document Map"/>
    <w:basedOn w:val="a0"/>
    <w:semiHidden/>
    <w:pPr>
      <w:shd w:val="clear" w:color="auto" w:fill="000080"/>
    </w:pPr>
    <w:rPr>
      <w:rFonts w:ascii="Tahoma" w:cs="Miriam"/>
    </w:rPr>
  </w:style>
  <w:style w:type="table" w:styleId="af9">
    <w:name w:val="Table Grid"/>
    <w:basedOn w:val="a2"/>
    <w:rsid w:val="00EC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61">
    <w:name w:val="subtitle161"/>
    <w:basedOn w:val="a1"/>
    <w:rsid w:val="00401C76"/>
    <w:rPr>
      <w:rFonts w:ascii="Arial" w:hAnsi="Arial" w:cs="Arial" w:hint="default"/>
      <w:b/>
      <w:bCs/>
      <w:color w:val="003F64"/>
      <w:sz w:val="24"/>
      <w:szCs w:val="24"/>
    </w:rPr>
  </w:style>
  <w:style w:type="character" w:customStyle="1" w:styleId="subtitle1">
    <w:name w:val="subtitle1"/>
    <w:basedOn w:val="a1"/>
    <w:rsid w:val="00401C76"/>
    <w:rPr>
      <w:rFonts w:ascii="Arial" w:hAnsi="Arial" w:cs="Arial" w:hint="default"/>
      <w:b/>
      <w:bCs/>
      <w:color w:val="003F64"/>
      <w:sz w:val="23"/>
      <w:szCs w:val="23"/>
    </w:rPr>
  </w:style>
  <w:style w:type="paragraph" w:customStyle="1" w:styleId="Ppc">
    <w:name w:val="Ppc"/>
    <w:basedOn w:val="PS"/>
    <w:rsid w:val="00611902"/>
  </w:style>
  <w:style w:type="paragraph" w:customStyle="1" w:styleId="afa">
    <w:name w:val="ךןדא"/>
    <w:basedOn w:val="PS"/>
    <w:rsid w:val="008E1742"/>
  </w:style>
  <w:style w:type="character" w:styleId="afb">
    <w:name w:val="Emphasis"/>
    <w:basedOn w:val="a1"/>
    <w:qFormat/>
    <w:rsid w:val="0084609A"/>
    <w:rPr>
      <w:b/>
      <w:bCs/>
      <w:i w:val="0"/>
      <w:iCs w:val="0"/>
    </w:rPr>
  </w:style>
  <w:style w:type="paragraph" w:customStyle="1" w:styleId="NormalWeb1">
    <w:name w:val="Normal (Web)‎1"/>
    <w:basedOn w:val="a0"/>
    <w:rsid w:val="00AB33A8"/>
    <w:pPr>
      <w:spacing w:after="240"/>
    </w:pPr>
    <w:rPr>
      <w:snapToGrid/>
      <w:sz w:val="24"/>
      <w:szCs w:val="24"/>
      <w:lang w:bidi="he-IL"/>
    </w:rPr>
  </w:style>
  <w:style w:type="paragraph" w:styleId="afc">
    <w:name w:val="Block Text"/>
    <w:basedOn w:val="a0"/>
    <w:rsid w:val="00BB5900"/>
    <w:pPr>
      <w:bidi/>
      <w:spacing w:before="120" w:line="360" w:lineRule="auto"/>
      <w:ind w:left="567" w:right="567"/>
      <w:jc w:val="both"/>
    </w:pPr>
    <w:rPr>
      <w:rFonts w:ascii="Garamond" w:hAnsi="Garamond" w:cs="David"/>
      <w:snapToGrid/>
      <w:color w:val="000000"/>
      <w:sz w:val="22"/>
      <w:szCs w:val="24"/>
      <w:lang w:bidi="he-IL"/>
    </w:rPr>
  </w:style>
  <w:style w:type="character" w:styleId="Hyperlink">
    <w:name w:val="Hyperlink"/>
    <w:basedOn w:val="a1"/>
    <w:rsid w:val="00B4268E"/>
    <w:rPr>
      <w:color w:val="0000FF"/>
      <w:u w:val="single"/>
    </w:rPr>
  </w:style>
  <w:style w:type="paragraph" w:customStyle="1" w:styleId="10">
    <w:name w:val="(1)"/>
    <w:basedOn w:val="30"/>
    <w:rsid w:val="00DA5A62"/>
  </w:style>
  <w:style w:type="character" w:customStyle="1" w:styleId="ft">
    <w:name w:val="ft"/>
    <w:basedOn w:val="a1"/>
    <w:rsid w:val="000C71C4"/>
  </w:style>
  <w:style w:type="paragraph" w:customStyle="1" w:styleId="Lsit2">
    <w:name w:val="Lsit 2"/>
    <w:basedOn w:val="PS"/>
    <w:rsid w:val="00B82E55"/>
  </w:style>
  <w:style w:type="paragraph" w:styleId="afd">
    <w:name w:val="List Paragraph"/>
    <w:basedOn w:val="a0"/>
    <w:uiPriority w:val="34"/>
    <w:qFormat/>
    <w:rsid w:val="00B25E7E"/>
    <w:pPr>
      <w:spacing w:after="200" w:line="276" w:lineRule="auto"/>
      <w:ind w:left="720"/>
      <w:contextualSpacing/>
    </w:pPr>
    <w:rPr>
      <w:rFonts w:ascii="Calibri" w:hAnsi="Calibri" w:cs="Arial"/>
      <w:snapToGrid/>
      <w:sz w:val="22"/>
      <w:szCs w:val="22"/>
      <w:lang w:bidi="he-IL"/>
    </w:rPr>
  </w:style>
  <w:style w:type="paragraph" w:styleId="afe">
    <w:name w:val="Balloon Text"/>
    <w:basedOn w:val="a0"/>
    <w:semiHidden/>
    <w:rsid w:val="00B25E7E"/>
    <w:rPr>
      <w:rFonts w:ascii="Tahoma" w:hAnsi="Tahoma" w:cs="Tahoma"/>
      <w:sz w:val="16"/>
      <w:szCs w:val="16"/>
    </w:rPr>
  </w:style>
  <w:style w:type="character" w:customStyle="1" w:styleId="ac">
    <w:name w:val="טקסט הערת שוליים תו"/>
    <w:basedOn w:val="a1"/>
    <w:link w:val="ab"/>
    <w:semiHidden/>
    <w:locked/>
    <w:rsid w:val="00253171"/>
    <w:rPr>
      <w:snapToGrid w:val="0"/>
      <w:lang w:val="en-US" w:eastAsia="en-US" w:bidi="ar-SA"/>
    </w:rPr>
  </w:style>
  <w:style w:type="character" w:styleId="aff">
    <w:name w:val="annotation reference"/>
    <w:basedOn w:val="a1"/>
    <w:semiHidden/>
    <w:rsid w:val="009A1A91"/>
    <w:rPr>
      <w:sz w:val="16"/>
      <w:szCs w:val="16"/>
    </w:rPr>
  </w:style>
  <w:style w:type="paragraph" w:styleId="aff0">
    <w:name w:val="annotation text"/>
    <w:basedOn w:val="a0"/>
    <w:semiHidden/>
    <w:rsid w:val="009A1A91"/>
  </w:style>
  <w:style w:type="paragraph" w:styleId="aff1">
    <w:name w:val="annotation subject"/>
    <w:basedOn w:val="aff0"/>
    <w:next w:val="aff0"/>
    <w:semiHidden/>
    <w:rsid w:val="009A1A91"/>
    <w:rPr>
      <w:b/>
      <w:bCs/>
    </w:rPr>
  </w:style>
  <w:style w:type="character" w:styleId="FollowedHyperlink">
    <w:name w:val="FollowedHyperlink"/>
    <w:basedOn w:val="a1"/>
    <w:rsid w:val="00675F40"/>
    <w:rPr>
      <w:color w:val="606420"/>
      <w:u w:val="single"/>
    </w:rPr>
  </w:style>
  <w:style w:type="paragraph" w:customStyle="1" w:styleId="regpar">
    <w:name w:val="regpar"/>
    <w:basedOn w:val="a0"/>
    <w:rsid w:val="00C81579"/>
    <w:pPr>
      <w:spacing w:line="300" w:lineRule="exact"/>
      <w:ind w:firstLine="240"/>
      <w:jc w:val="both"/>
    </w:pPr>
    <w:rPr>
      <w:rFonts w:ascii="Times" w:hAnsi="Times" w:cs="Times"/>
      <w:snapToGrid/>
      <w:sz w:val="24"/>
      <w:szCs w:val="24"/>
      <w:lang w:bidi="he-IL"/>
    </w:rPr>
  </w:style>
  <w:style w:type="character" w:customStyle="1" w:styleId="af6">
    <w:name w:val="כותרת עליונה תו"/>
    <w:basedOn w:val="a1"/>
    <w:link w:val="af5"/>
    <w:locked/>
    <w:rsid w:val="009460DF"/>
    <w:rPr>
      <w:rFonts w:cs="Times New Roman"/>
      <w:snapToGrid w:val="0"/>
      <w:lang w:bidi="ar-SA"/>
    </w:rPr>
  </w:style>
  <w:style w:type="paragraph" w:styleId="aff2">
    <w:name w:val="Revision"/>
    <w:hidden/>
    <w:uiPriority w:val="99"/>
    <w:semiHidden/>
    <w:rsid w:val="00995BE7"/>
    <w:rPr>
      <w:rFonts w:cs="Times New Roman"/>
      <w:snapToGrid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3683">
      <w:bodyDiv w:val="1"/>
      <w:marLeft w:val="0"/>
      <w:marRight w:val="0"/>
      <w:marTop w:val="0"/>
      <w:marBottom w:val="0"/>
      <w:divBdr>
        <w:top w:val="none" w:sz="0" w:space="0" w:color="auto"/>
        <w:left w:val="none" w:sz="0" w:space="0" w:color="auto"/>
        <w:bottom w:val="none" w:sz="0" w:space="0" w:color="auto"/>
        <w:right w:val="none" w:sz="0" w:space="0" w:color="auto"/>
      </w:divBdr>
      <w:divsChild>
        <w:div w:id="247472384">
          <w:marLeft w:val="0"/>
          <w:marRight w:val="0"/>
          <w:marTop w:val="0"/>
          <w:marBottom w:val="0"/>
          <w:divBdr>
            <w:top w:val="none" w:sz="0" w:space="0" w:color="auto"/>
            <w:left w:val="none" w:sz="0" w:space="0" w:color="auto"/>
            <w:bottom w:val="none" w:sz="0" w:space="0" w:color="auto"/>
            <w:right w:val="none" w:sz="0" w:space="0" w:color="auto"/>
          </w:divBdr>
        </w:div>
      </w:divsChild>
    </w:div>
    <w:div w:id="506099833">
      <w:bodyDiv w:val="1"/>
      <w:marLeft w:val="0"/>
      <w:marRight w:val="0"/>
      <w:marTop w:val="0"/>
      <w:marBottom w:val="0"/>
      <w:divBdr>
        <w:top w:val="none" w:sz="0" w:space="0" w:color="auto"/>
        <w:left w:val="none" w:sz="0" w:space="0" w:color="auto"/>
        <w:bottom w:val="none" w:sz="0" w:space="0" w:color="auto"/>
        <w:right w:val="none" w:sz="0" w:space="0" w:color="auto"/>
      </w:divBdr>
    </w:div>
    <w:div w:id="528681699">
      <w:bodyDiv w:val="1"/>
      <w:marLeft w:val="0"/>
      <w:marRight w:val="0"/>
      <w:marTop w:val="0"/>
      <w:marBottom w:val="0"/>
      <w:divBdr>
        <w:top w:val="none" w:sz="0" w:space="0" w:color="auto"/>
        <w:left w:val="none" w:sz="0" w:space="0" w:color="auto"/>
        <w:bottom w:val="none" w:sz="0" w:space="0" w:color="auto"/>
        <w:right w:val="none" w:sz="0" w:space="0" w:color="auto"/>
      </w:divBdr>
    </w:div>
    <w:div w:id="694044668">
      <w:bodyDiv w:val="1"/>
      <w:marLeft w:val="0"/>
      <w:marRight w:val="0"/>
      <w:marTop w:val="0"/>
      <w:marBottom w:val="0"/>
      <w:divBdr>
        <w:top w:val="none" w:sz="0" w:space="0" w:color="auto"/>
        <w:left w:val="none" w:sz="0" w:space="0" w:color="auto"/>
        <w:bottom w:val="none" w:sz="0" w:space="0" w:color="auto"/>
        <w:right w:val="none" w:sz="0" w:space="0" w:color="auto"/>
      </w:divBdr>
    </w:div>
    <w:div w:id="764882645">
      <w:bodyDiv w:val="1"/>
      <w:marLeft w:val="0"/>
      <w:marRight w:val="0"/>
      <w:marTop w:val="0"/>
      <w:marBottom w:val="0"/>
      <w:divBdr>
        <w:top w:val="none" w:sz="0" w:space="0" w:color="auto"/>
        <w:left w:val="none" w:sz="0" w:space="0" w:color="auto"/>
        <w:bottom w:val="none" w:sz="0" w:space="0" w:color="auto"/>
        <w:right w:val="none" w:sz="0" w:space="0" w:color="auto"/>
      </w:divBdr>
      <w:divsChild>
        <w:div w:id="613442725">
          <w:marLeft w:val="0"/>
          <w:marRight w:val="0"/>
          <w:marTop w:val="0"/>
          <w:marBottom w:val="0"/>
          <w:divBdr>
            <w:top w:val="none" w:sz="0" w:space="0" w:color="auto"/>
            <w:left w:val="none" w:sz="0" w:space="0" w:color="auto"/>
            <w:bottom w:val="none" w:sz="0" w:space="0" w:color="auto"/>
            <w:right w:val="none" w:sz="0" w:space="0" w:color="auto"/>
          </w:divBdr>
          <w:divsChild>
            <w:div w:id="1915583558">
              <w:marLeft w:val="-240"/>
              <w:marRight w:val="-240"/>
              <w:marTop w:val="0"/>
              <w:marBottom w:val="0"/>
              <w:divBdr>
                <w:top w:val="none" w:sz="0" w:space="0" w:color="auto"/>
                <w:left w:val="none" w:sz="0" w:space="0" w:color="auto"/>
                <w:bottom w:val="none" w:sz="0" w:space="0" w:color="auto"/>
                <w:right w:val="none" w:sz="0" w:space="0" w:color="auto"/>
              </w:divBdr>
              <w:divsChild>
                <w:div w:id="1270698756">
                  <w:marLeft w:val="0"/>
                  <w:marRight w:val="0"/>
                  <w:marTop w:val="0"/>
                  <w:marBottom w:val="0"/>
                  <w:divBdr>
                    <w:top w:val="none" w:sz="0" w:space="0" w:color="auto"/>
                    <w:left w:val="none" w:sz="0" w:space="0" w:color="auto"/>
                    <w:bottom w:val="none" w:sz="0" w:space="0" w:color="auto"/>
                    <w:right w:val="none" w:sz="0" w:space="0" w:color="auto"/>
                  </w:divBdr>
                  <w:divsChild>
                    <w:div w:id="103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1692">
      <w:bodyDiv w:val="1"/>
      <w:marLeft w:val="0"/>
      <w:marRight w:val="0"/>
      <w:marTop w:val="0"/>
      <w:marBottom w:val="0"/>
      <w:divBdr>
        <w:top w:val="none" w:sz="0" w:space="0" w:color="auto"/>
        <w:left w:val="none" w:sz="0" w:space="0" w:color="auto"/>
        <w:bottom w:val="none" w:sz="0" w:space="0" w:color="auto"/>
        <w:right w:val="none" w:sz="0" w:space="0" w:color="auto"/>
      </w:divBdr>
    </w:div>
    <w:div w:id="1008755396">
      <w:bodyDiv w:val="1"/>
      <w:marLeft w:val="0"/>
      <w:marRight w:val="0"/>
      <w:marTop w:val="0"/>
      <w:marBottom w:val="0"/>
      <w:divBdr>
        <w:top w:val="none" w:sz="0" w:space="0" w:color="auto"/>
        <w:left w:val="none" w:sz="0" w:space="0" w:color="auto"/>
        <w:bottom w:val="none" w:sz="0" w:space="0" w:color="auto"/>
        <w:right w:val="none" w:sz="0" w:space="0" w:color="auto"/>
      </w:divBdr>
    </w:div>
    <w:div w:id="1639189636">
      <w:bodyDiv w:val="1"/>
      <w:marLeft w:val="0"/>
      <w:marRight w:val="0"/>
      <w:marTop w:val="0"/>
      <w:marBottom w:val="0"/>
      <w:divBdr>
        <w:top w:val="none" w:sz="0" w:space="0" w:color="auto"/>
        <w:left w:val="none" w:sz="0" w:space="0" w:color="auto"/>
        <w:bottom w:val="none" w:sz="0" w:space="0" w:color="auto"/>
        <w:right w:val="none" w:sz="0" w:space="0" w:color="auto"/>
      </w:divBdr>
    </w:div>
    <w:div w:id="1703942238">
      <w:bodyDiv w:val="1"/>
      <w:marLeft w:val="0"/>
      <w:marRight w:val="0"/>
      <w:marTop w:val="0"/>
      <w:marBottom w:val="0"/>
      <w:divBdr>
        <w:top w:val="none" w:sz="0" w:space="0" w:color="auto"/>
        <w:left w:val="none" w:sz="0" w:space="0" w:color="auto"/>
        <w:bottom w:val="none" w:sz="0" w:space="0" w:color="auto"/>
        <w:right w:val="none" w:sz="0" w:space="0" w:color="auto"/>
      </w:divBdr>
      <w:divsChild>
        <w:div w:id="1659114413">
          <w:marLeft w:val="0"/>
          <w:marRight w:val="0"/>
          <w:marTop w:val="0"/>
          <w:marBottom w:val="0"/>
          <w:divBdr>
            <w:top w:val="none" w:sz="0" w:space="0" w:color="auto"/>
            <w:left w:val="none" w:sz="0" w:space="0" w:color="auto"/>
            <w:bottom w:val="none" w:sz="0" w:space="0" w:color="auto"/>
            <w:right w:val="none" w:sz="0" w:space="0" w:color="auto"/>
          </w:divBdr>
        </w:div>
      </w:divsChild>
    </w:div>
    <w:div w:id="1840996906">
      <w:bodyDiv w:val="1"/>
      <w:marLeft w:val="0"/>
      <w:marRight w:val="0"/>
      <w:marTop w:val="0"/>
      <w:marBottom w:val="0"/>
      <w:divBdr>
        <w:top w:val="none" w:sz="0" w:space="0" w:color="auto"/>
        <w:left w:val="none" w:sz="0" w:space="0" w:color="auto"/>
        <w:bottom w:val="none" w:sz="0" w:space="0" w:color="auto"/>
        <w:right w:val="none" w:sz="0" w:space="0" w:color="auto"/>
      </w:divBdr>
    </w:div>
    <w:div w:id="19439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ustomXml" Target="../customXml/item2.xml"/><Relationship Id="rId10" Type="http://schemas.openxmlformats.org/officeDocument/2006/relationships/hyperlink" Target="http://www.boi.org.il/he/ConsumerInformation/ConsumerIssues/Pages/BankID.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____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en-US" sz="1100" b="1" i="0" kern="1200" baseline="0">
                <a:solidFill>
                  <a:srgbClr val="000000"/>
                </a:solidFill>
                <a:effectLst/>
                <a:latin typeface="David" panose="020E0502060401010101" pitchFamily="34" charset="-79"/>
                <a:ea typeface="Arial" panose="020B0604020202020204" pitchFamily="34" charset="0"/>
                <a:cs typeface="David" panose="020E0502060401010101" pitchFamily="34" charset="-79"/>
              </a:rPr>
              <a:t>The Commission Income Relative to Total Assets,</a:t>
            </a:r>
            <a:endParaRPr lang="he-IL" sz="1100">
              <a:effectLst/>
            </a:endParaRPr>
          </a:p>
          <a:p>
            <a:pPr>
              <a:defRPr sz="1100" b="1"/>
            </a:pPr>
            <a:r>
              <a:rPr lang="en-US" sz="1100" b="1" i="0" kern="1200" baseline="0">
                <a:solidFill>
                  <a:srgbClr val="000000"/>
                </a:solidFill>
                <a:effectLst/>
                <a:latin typeface="David" panose="020E0502060401010101" pitchFamily="34" charset="-79"/>
                <a:ea typeface="Arial" panose="020B0604020202020204" pitchFamily="34" charset="0"/>
                <a:cs typeface="David" panose="020E0502060401010101" pitchFamily="34" charset="-79"/>
              </a:rPr>
              <a:t>the Five Banking Groups, 2009 - September 2019</a:t>
            </a:r>
            <a:r>
              <a:rPr lang="en-US" sz="1100" b="1" i="0" kern="1200" baseline="30000">
                <a:solidFill>
                  <a:srgbClr val="000000"/>
                </a:solidFill>
                <a:effectLst/>
                <a:latin typeface="David" panose="020E0502060401010101" pitchFamily="34" charset="-79"/>
                <a:ea typeface="Arial" panose="020B0604020202020204" pitchFamily="34" charset="0"/>
                <a:cs typeface="David" panose="020E0502060401010101" pitchFamily="34" charset="-79"/>
              </a:rPr>
              <a:t>a,b</a:t>
            </a:r>
            <a:r>
              <a:rPr lang="en-US" sz="1100" b="0" i="0" kern="1200" baseline="0">
                <a:solidFill>
                  <a:srgbClr val="000000"/>
                </a:solidFill>
                <a:effectLst/>
                <a:latin typeface="David" panose="020E0502060401010101" pitchFamily="34" charset="-79"/>
                <a:ea typeface="Arial" panose="020B0604020202020204" pitchFamily="34" charset="0"/>
                <a:cs typeface="David" panose="020E0502060401010101" pitchFamily="34" charset="-79"/>
              </a:rPr>
              <a:t> </a:t>
            </a:r>
            <a:endParaRPr lang="he-IL" sz="1100">
              <a:effectLst/>
            </a:endParaRPr>
          </a:p>
        </c:rich>
      </c:tx>
      <c:layout>
        <c:manualLayout>
          <c:xMode val="edge"/>
          <c:yMode val="edge"/>
          <c:x val="0.21823471805437913"/>
          <c:y val="2.2841175397596329E-2"/>
        </c:manualLayout>
      </c:layout>
      <c:overlay val="0"/>
      <c:spPr>
        <a:noFill/>
        <a:ln w="25400">
          <a:noFill/>
        </a:ln>
      </c:spPr>
    </c:title>
    <c:autoTitleDeleted val="0"/>
    <c:plotArea>
      <c:layout>
        <c:manualLayout>
          <c:layoutTarget val="inner"/>
          <c:xMode val="edge"/>
          <c:yMode val="edge"/>
          <c:x val="4.8278867102396511E-2"/>
          <c:y val="0.14303120181726164"/>
          <c:w val="0.94006659267480575"/>
          <c:h val="0.58853964009215831"/>
        </c:manualLayout>
      </c:layout>
      <c:barChart>
        <c:barDir val="col"/>
        <c:grouping val="clustered"/>
        <c:varyColors val="0"/>
        <c:ser>
          <c:idx val="0"/>
          <c:order val="0"/>
          <c:tx>
            <c:strRef>
              <c:f>גרף5!$D$29</c:f>
              <c:strCache>
                <c:ptCount val="1"/>
                <c:pt idx="0">
                  <c:v>הכנסות מעמלות ביחס לנכסים</c:v>
                </c:pt>
              </c:strCache>
            </c:strRef>
          </c:tx>
          <c:spPr>
            <a:solidFill>
              <a:schemeClr val="accent1"/>
            </a:solidFill>
            <a:ln w="25400">
              <a:noFill/>
            </a:ln>
          </c:spPr>
          <c:invertIfNegative val="0"/>
          <c:dLbls>
            <c:dLbl>
              <c:idx val="5"/>
              <c:layout>
                <c:manualLayout>
                  <c:x val="2.4070458591514271E-3"/>
                  <c:y val="1.17742796423863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9B-4D4E-82C5-4CC00AD3202F}"/>
                </c:ext>
              </c:extLst>
            </c:dLbl>
            <c:dLbl>
              <c:idx val="6"/>
              <c:layout>
                <c:manualLayout>
                  <c:x val="0"/>
                  <c:y val="1.17742796423863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9B-4D4E-82C5-4CC00AD3202F}"/>
                </c:ext>
              </c:extLst>
            </c:dLbl>
            <c:numFmt formatCode="#,##0.00" sourceLinked="0"/>
            <c:spPr>
              <a:noFill/>
              <a:ln>
                <a:noFill/>
              </a:ln>
              <a:effectLst/>
            </c:spPr>
            <c:txPr>
              <a:bodyPr/>
              <a:lstStyle/>
              <a:p>
                <a:pPr>
                  <a:defRPr b="0">
                    <a:latin typeface="David" panose="020E0502060401010101" pitchFamily="34" charset="-79"/>
                    <a:cs typeface="David" panose="020E0502060401010101" pitchFamily="34" charset="-79"/>
                  </a:defRPr>
                </a:pPr>
                <a:endParaRPr lang="he-I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גרף5!$A$30:$A$40</c:f>
              <c:strCache>
                <c:ptCount val="11"/>
                <c:pt idx="0">
                  <c:v>12/09</c:v>
                </c:pt>
                <c:pt idx="1">
                  <c:v>12/10</c:v>
                </c:pt>
                <c:pt idx="2">
                  <c:v>12/11</c:v>
                </c:pt>
                <c:pt idx="3">
                  <c:v>12/12</c:v>
                </c:pt>
                <c:pt idx="4">
                  <c:v>12/13</c:v>
                </c:pt>
                <c:pt idx="5">
                  <c:v>12/14</c:v>
                </c:pt>
                <c:pt idx="6">
                  <c:v>12/15</c:v>
                </c:pt>
                <c:pt idx="7">
                  <c:v>12/16</c:v>
                </c:pt>
                <c:pt idx="8">
                  <c:v>06/17</c:v>
                </c:pt>
                <c:pt idx="9">
                  <c:v>12/17</c:v>
                </c:pt>
                <c:pt idx="10">
                  <c:v>06/18</c:v>
                </c:pt>
              </c:strCache>
            </c:strRef>
          </c:cat>
          <c:val>
            <c:numRef>
              <c:f>גרף5!$D$30:$D$41</c:f>
              <c:numCache>
                <c:formatCode>_(* #,##0.00_);_(* \(#,##0.00\);_(* "-"??_);_(@_)</c:formatCode>
                <c:ptCount val="11"/>
                <c:pt idx="0">
                  <c:v>1.3916369365755925</c:v>
                </c:pt>
                <c:pt idx="1">
                  <c:v>1.3989062450303</c:v>
                </c:pt>
                <c:pt idx="2">
                  <c:v>1.2585572114350612</c:v>
                </c:pt>
                <c:pt idx="3">
                  <c:v>1.2118835484945807</c:v>
                </c:pt>
                <c:pt idx="4">
                  <c:v>1.1942399168052176</c:v>
                </c:pt>
                <c:pt idx="5">
                  <c:v>1.1100000000000001</c:v>
                </c:pt>
                <c:pt idx="6">
                  <c:v>1.07</c:v>
                </c:pt>
                <c:pt idx="7">
                  <c:v>0.99</c:v>
                </c:pt>
                <c:pt idx="8">
                  <c:v>0.99</c:v>
                </c:pt>
                <c:pt idx="9">
                  <c:v>0.98</c:v>
                </c:pt>
                <c:pt idx="10">
                  <c:v>0.99</c:v>
                </c:pt>
              </c:numCache>
            </c:numRef>
          </c:val>
          <c:extLst xmlns:c16r2="http://schemas.microsoft.com/office/drawing/2015/06/chart">
            <c:ext xmlns:c16="http://schemas.microsoft.com/office/drawing/2014/chart" uri="{C3380CC4-5D6E-409C-BE32-E72D297353CC}">
              <c16:uniqueId val="{00000002-139B-4D4E-82C5-4CC00AD3202F}"/>
            </c:ext>
          </c:extLst>
        </c:ser>
        <c:dLbls>
          <c:showLegendKey val="0"/>
          <c:showVal val="0"/>
          <c:showCatName val="0"/>
          <c:showSerName val="0"/>
          <c:showPercent val="0"/>
          <c:showBubbleSize val="0"/>
        </c:dLbls>
        <c:gapWidth val="150"/>
        <c:axId val="71575424"/>
        <c:axId val="71576960"/>
      </c:barChart>
      <c:dateAx>
        <c:axId val="71575424"/>
        <c:scaling>
          <c:orientation val="minMax"/>
        </c:scaling>
        <c:delete val="0"/>
        <c:axPos val="b"/>
        <c:numFmt formatCode="General" sourceLinked="0"/>
        <c:majorTickMark val="in"/>
        <c:minorTickMark val="none"/>
        <c:tickLblPos val="nextTo"/>
        <c:spPr>
          <a:ln w="3175">
            <a:solidFill>
              <a:srgbClr val="000000"/>
            </a:solidFill>
            <a:prstDash val="solid"/>
          </a:ln>
        </c:spPr>
        <c:txPr>
          <a:bodyPr rot="0" vert="horz"/>
          <a:lstStyle/>
          <a:p>
            <a:pPr algn="ctr">
              <a:defRPr lang="he-IL" sz="1000" b="0" i="0" u="none" strike="noStrike" kern="1200" baseline="0">
                <a:solidFill>
                  <a:srgbClr val="000000"/>
                </a:solidFill>
                <a:latin typeface="David" pitchFamily="34" charset="-79"/>
                <a:ea typeface="Arial"/>
                <a:cs typeface="David" pitchFamily="34" charset="-79"/>
              </a:defRPr>
            </a:pPr>
            <a:endParaRPr lang="he-IL"/>
          </a:p>
        </c:txPr>
        <c:crossAx val="71576960"/>
        <c:crosses val="autoZero"/>
        <c:auto val="0"/>
        <c:lblOffset val="100"/>
        <c:baseTimeUnit val="days"/>
        <c:majorUnit val="1"/>
        <c:minorUnit val="1"/>
      </c:dateAx>
      <c:valAx>
        <c:axId val="71576960"/>
        <c:scaling>
          <c:orientation val="minMax"/>
        </c:scaling>
        <c:delete val="0"/>
        <c:axPos val="l"/>
        <c:majorGridlines>
          <c:spPr>
            <a:ln w="12700">
              <a:solidFill>
                <a:srgbClr val="000000"/>
              </a:solidFill>
              <a:prstDash val="solid"/>
            </a:ln>
          </c:spPr>
        </c:majorGridlines>
        <c:title>
          <c:tx>
            <c:rich>
              <a:bodyPr rot="0" vert="horz"/>
              <a:lstStyle/>
              <a:p>
                <a:pPr algn="l">
                  <a:defRPr/>
                </a:pPr>
                <a:r>
                  <a:rPr lang="he-IL"/>
                  <a:t>%</a:t>
                </a:r>
              </a:p>
            </c:rich>
          </c:tx>
          <c:layout>
            <c:manualLayout>
              <c:xMode val="edge"/>
              <c:yMode val="edge"/>
              <c:x val="1.1510816049954541E-3"/>
              <c:y val="8.3751044572343253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a:pPr>
            <a:endParaRPr lang="he-IL"/>
          </a:p>
        </c:txPr>
        <c:crossAx val="71575424"/>
        <c:crosses val="autoZero"/>
        <c:crossBetween val="between"/>
      </c:valAx>
      <c:spPr>
        <a:solidFill>
          <a:schemeClr val="bg1"/>
        </a:solidFill>
        <a:ln w="12700">
          <a:solidFill>
            <a:srgbClr val="000000"/>
          </a:solidFill>
          <a:prstDash val="solid"/>
        </a:ln>
      </c:spPr>
    </c:plotArea>
    <c:plotVisOnly val="1"/>
    <c:dispBlanksAs val="gap"/>
    <c:showDLblsOverMax val="0"/>
  </c:chart>
  <c:spPr>
    <a:solidFill>
      <a:srgbClr val="D4EFFC"/>
    </a:solidFill>
    <a:ln w="9525">
      <a:noFill/>
    </a:ln>
  </c:spPr>
  <c:txPr>
    <a:bodyPr/>
    <a:lstStyle/>
    <a:p>
      <a:pPr>
        <a:defRPr sz="1000" b="0" i="0" u="none" strike="noStrike" baseline="0">
          <a:solidFill>
            <a:srgbClr val="000000"/>
          </a:solidFill>
          <a:latin typeface="David" pitchFamily="34" charset="-79"/>
          <a:ea typeface="Arial"/>
          <a:cs typeface="David" pitchFamily="34" charset="-79"/>
        </a:defRPr>
      </a:pPr>
      <a:endParaRPr lang="he-I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62529485575184E-4"/>
          <c:y val="2.1324843775391094E-3"/>
          <c:w val="0.99958799856350666"/>
          <c:h val="0.64693977042738326"/>
        </c:manualLayout>
      </c:layout>
      <c:barChart>
        <c:barDir val="col"/>
        <c:grouping val="clustered"/>
        <c:varyColors val="0"/>
        <c:ser>
          <c:idx val="0"/>
          <c:order val="0"/>
          <c:tx>
            <c:strRef>
              <c:f>'אחוז לפי סוגי פעילות - 2018'!$H$6</c:f>
              <c:strCache>
                <c:ptCount val="1"/>
                <c:pt idx="0">
                  <c:v>2017</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'אחוז לפי סוגי פעילות - 2018'!$D$7:$F$12</c:f>
              <c:strCache>
                <c:ptCount val="6"/>
                <c:pt idx="0">
                  <c:v>Purchase/sale of securities</c:v>
                </c:pt>
                <c:pt idx="1">
                  <c:v>Transfers/payments</c:v>
                </c:pt>
                <c:pt idx="2">
                  <c:v>Checkbook orders</c:v>
                </c:pt>
                <c:pt idx="3">
                  <c:v>Check deposits</c:v>
                </c:pt>
                <c:pt idx="4">
                  <c:v>Deposit/withdrawal from deposit</c:v>
                </c:pt>
                <c:pt idx="5">
                  <c:v>Credit to account holders</c:v>
                </c:pt>
              </c:strCache>
            </c:strRef>
          </c:cat>
          <c:val>
            <c:numRef>
              <c:f>'אחוז לפי סוגי פעילות - 2018'!$H$7:$H$12</c:f>
              <c:numCache>
                <c:formatCode>0%</c:formatCode>
                <c:ptCount val="6"/>
                <c:pt idx="0">
                  <c:v>0.62398638590642352</c:v>
                </c:pt>
                <c:pt idx="1">
                  <c:v>0.78540485283091777</c:v>
                </c:pt>
                <c:pt idx="2">
                  <c:v>0.62816327442173314</c:v>
                </c:pt>
                <c:pt idx="3">
                  <c:v>0.56502044847659594</c:v>
                </c:pt>
                <c:pt idx="4">
                  <c:v>0.37374048058630577</c:v>
                </c:pt>
                <c:pt idx="5">
                  <c:v>0.3162232777281519</c:v>
                </c:pt>
              </c:numCache>
            </c:numRef>
          </c:val>
          <c:extLst xmlns:c16r2="http://schemas.microsoft.com/office/drawing/2015/06/chart">
            <c:ext xmlns:c16="http://schemas.microsoft.com/office/drawing/2014/chart" uri="{C3380CC4-5D6E-409C-BE32-E72D297353CC}">
              <c16:uniqueId val="{00000000-3F0A-48B4-9D5A-8F1CEA609B4F}"/>
            </c:ext>
          </c:extLst>
        </c:ser>
        <c:ser>
          <c:idx val="1"/>
          <c:order val="1"/>
          <c:tx>
            <c:strRef>
              <c:f>'אחוז לפי סוגי פעילות - 2018'!$I$6</c:f>
              <c:strCache>
                <c:ptCount val="1"/>
                <c:pt idx="0">
                  <c:v>2018</c:v>
                </c:pt>
              </c:strCache>
            </c:strRef>
          </c:tx>
          <c:spPr>
            <a:solidFill>
              <a:schemeClr val="accent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'אחוז לפי סוגי פעילות - 2018'!$D$7:$F$12</c:f>
              <c:strCache>
                <c:ptCount val="6"/>
                <c:pt idx="0">
                  <c:v>Purchase/sale of securities</c:v>
                </c:pt>
                <c:pt idx="1">
                  <c:v>Transfers/payments</c:v>
                </c:pt>
                <c:pt idx="2">
                  <c:v>Checkbook orders</c:v>
                </c:pt>
                <c:pt idx="3">
                  <c:v>Check deposits</c:v>
                </c:pt>
                <c:pt idx="4">
                  <c:v>Deposit/withdrawal from deposit</c:v>
                </c:pt>
                <c:pt idx="5">
                  <c:v>Credit to account holders</c:v>
                </c:pt>
              </c:strCache>
            </c:strRef>
          </c:cat>
          <c:val>
            <c:numRef>
              <c:f>'אחוז לפי סוגי פעילות - 2018'!$I$7:$I$12</c:f>
              <c:numCache>
                <c:formatCode>0%</c:formatCode>
                <c:ptCount val="6"/>
                <c:pt idx="0">
                  <c:v>0.64539120664012051</c:v>
                </c:pt>
                <c:pt idx="1">
                  <c:v>0.88073614130238265</c:v>
                </c:pt>
                <c:pt idx="2">
                  <c:v>0.67328862270394974</c:v>
                </c:pt>
                <c:pt idx="3">
                  <c:v>0.64547282001329276</c:v>
                </c:pt>
                <c:pt idx="4">
                  <c:v>0.4149013675689015</c:v>
                </c:pt>
                <c:pt idx="5">
                  <c:v>0.42548847776893262</c:v>
                </c:pt>
              </c:numCache>
            </c:numRef>
          </c:val>
          <c:extLst xmlns:c16r2="http://schemas.microsoft.com/office/drawing/2015/06/chart">
            <c:ext xmlns:c16="http://schemas.microsoft.com/office/drawing/2014/chart" uri="{C3380CC4-5D6E-409C-BE32-E72D297353CC}">
              <c16:uniqueId val="{00000001-3F0A-48B4-9D5A-8F1CEA609B4F}"/>
            </c:ext>
          </c:extLst>
        </c:ser>
        <c:ser>
          <c:idx val="2"/>
          <c:order val="2"/>
          <c:tx>
            <c:strRef>
              <c:f>'אחוז לפי סוגי פעילות - 2018'!$G$6</c:f>
              <c:strCache>
                <c:ptCount val="1"/>
                <c:pt idx="0">
                  <c:v>2016</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'אחוז לפי סוגי פעילות - 2018'!$G$7:$G$12</c:f>
              <c:numCache>
                <c:formatCode>0%</c:formatCode>
                <c:ptCount val="6"/>
                <c:pt idx="0">
                  <c:v>0.56000000000000005</c:v>
                </c:pt>
                <c:pt idx="1">
                  <c:v>0.7</c:v>
                </c:pt>
                <c:pt idx="2">
                  <c:v>0.51</c:v>
                </c:pt>
                <c:pt idx="3">
                  <c:v>0.52</c:v>
                </c:pt>
                <c:pt idx="4">
                  <c:v>0.33</c:v>
                </c:pt>
                <c:pt idx="5">
                  <c:v>0.27</c:v>
                </c:pt>
              </c:numCache>
            </c:numRef>
          </c:val>
          <c:extLst xmlns:c16r2="http://schemas.microsoft.com/office/drawing/2015/06/chart">
            <c:ext xmlns:c16="http://schemas.microsoft.com/office/drawing/2014/chart" uri="{C3380CC4-5D6E-409C-BE32-E72D297353CC}">
              <c16:uniqueId val="{00000002-3F0A-48B4-9D5A-8F1CEA609B4F}"/>
            </c:ext>
          </c:extLst>
        </c:ser>
        <c:dLbls>
          <c:dLblPos val="outEnd"/>
          <c:showLegendKey val="0"/>
          <c:showVal val="1"/>
          <c:showCatName val="0"/>
          <c:showSerName val="0"/>
          <c:showPercent val="0"/>
          <c:showBubbleSize val="0"/>
        </c:dLbls>
        <c:gapWidth val="75"/>
        <c:overlap val="-25"/>
        <c:axId val="72069888"/>
        <c:axId val="72071424"/>
      </c:barChart>
      <c:catAx>
        <c:axId val="72069888"/>
        <c:scaling>
          <c:orientation val="minMax"/>
        </c:scaling>
        <c:delete val="0"/>
        <c:axPos val="b"/>
        <c:majorGridlines/>
        <c:numFmt formatCode="General" sourceLinked="0"/>
        <c:majorTickMark val="out"/>
        <c:minorTickMark val="none"/>
        <c:tickLblPos val="nextTo"/>
        <c:txPr>
          <a:bodyPr/>
          <a:lstStyle/>
          <a:p>
            <a:pPr>
              <a:defRPr sz="900" b="0" baseline="0"/>
            </a:pPr>
            <a:endParaRPr lang="he-IL"/>
          </a:p>
        </c:txPr>
        <c:crossAx val="72071424"/>
        <c:crosses val="autoZero"/>
        <c:auto val="0"/>
        <c:lblAlgn val="ctr"/>
        <c:lblOffset val="100"/>
        <c:noMultiLvlLbl val="0"/>
      </c:catAx>
      <c:valAx>
        <c:axId val="72071424"/>
        <c:scaling>
          <c:orientation val="minMax"/>
        </c:scaling>
        <c:delete val="1"/>
        <c:axPos val="l"/>
        <c:numFmt formatCode="0%" sourceLinked="1"/>
        <c:majorTickMark val="none"/>
        <c:minorTickMark val="none"/>
        <c:tickLblPos val="nextTo"/>
        <c:crossAx val="72069888"/>
        <c:crosses val="autoZero"/>
        <c:crossBetween val="between"/>
      </c:valAx>
    </c:plotArea>
    <c:legend>
      <c:legendPos val="b"/>
      <c:layout>
        <c:manualLayout>
          <c:xMode val="edge"/>
          <c:yMode val="edge"/>
          <c:x val="0.31770030168081775"/>
          <c:y val="0.74496215646590147"/>
          <c:w val="0.3287169938379032"/>
          <c:h val="5.2074612773113205E-2"/>
        </c:manualLayout>
      </c:layout>
      <c:overlay val="0"/>
      <c:txPr>
        <a:bodyPr/>
        <a:lstStyle/>
        <a:p>
          <a:pPr>
            <a:defRPr sz="900"/>
          </a:pPr>
          <a:endParaRPr lang="he-IL"/>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0.80371</cdr:y>
    </cdr:from>
    <cdr:to>
      <cdr:x>1</cdr:x>
      <cdr:y>0.99861</cdr:y>
    </cdr:to>
    <cdr:sp macro="" textlink="">
      <cdr:nvSpPr>
        <cdr:cNvPr id="6" name="TextBox 1"/>
        <cdr:cNvSpPr txBox="1"/>
      </cdr:nvSpPr>
      <cdr:spPr>
        <a:xfrm xmlns:a="http://schemas.openxmlformats.org/drawingml/2006/main">
          <a:off x="0" y="3184635"/>
          <a:ext cx="5274310" cy="772258"/>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r>
            <a:rPr lang="en-US" sz="1100" baseline="30000">
              <a:latin typeface="David" panose="020E0502060401010101" pitchFamily="34" charset="-79"/>
              <a:cs typeface="David" panose="020E0502060401010101" pitchFamily="34" charset="-79"/>
            </a:rPr>
            <a:t>a </a:t>
          </a:r>
          <a:r>
            <a:rPr lang="en-US" sz="1100" strike="noStrike" baseline="0">
              <a:latin typeface="David" panose="020E0502060401010101" pitchFamily="34" charset="-79"/>
              <a:cs typeface="David" panose="020E0502060401010101" pitchFamily="34" charset="-79"/>
            </a:rPr>
            <a:t>Calculated on a yearly basis.</a:t>
          </a:r>
        </a:p>
        <a:p xmlns:a="http://schemas.openxmlformats.org/drawingml/2006/main">
          <a:pPr algn="l" rtl="0"/>
          <a:r>
            <a:rPr lang="en-US" sz="1100" baseline="30000">
              <a:latin typeface="David" panose="020E0502060401010101" pitchFamily="34" charset="-79"/>
              <a:cs typeface="David" panose="020E0502060401010101" pitchFamily="34" charset="-79"/>
            </a:rPr>
            <a:t>b </a:t>
          </a:r>
          <a:r>
            <a:rPr lang="en-US" sz="1100">
              <a:latin typeface="David" panose="020E0502060401010101" pitchFamily="34" charset="-79"/>
              <a:cs typeface="David" panose="020E0502060401010101" pitchFamily="34" charset="-79"/>
            </a:rPr>
            <a:t>The sharp decline in 2014 is derived from the accounting reclassification of income from credit activity as a result of a Supervisor of Banks directive.</a:t>
          </a:r>
        </a:p>
        <a:p xmlns:a="http://schemas.openxmlformats.org/drawingml/2006/main">
          <a:pPr algn="l" rtl="0"/>
          <a:r>
            <a:rPr lang="en-US" sz="1100">
              <a:latin typeface="David" panose="020E0502060401010101" pitchFamily="34" charset="-79"/>
              <a:cs typeface="David" panose="020E0502060401010101" pitchFamily="34" charset="-79"/>
            </a:rPr>
            <a:t>SOURCE: Based on published financial statements.</a:t>
          </a:r>
        </a:p>
      </cdr:txBody>
    </cdr:sp>
  </cdr:relSizeAnchor>
</c:userShapes>
</file>

<file path=word/drawings/drawing2.xml><?xml version="1.0" encoding="utf-8"?>
<c:userShapes xmlns:c="http://schemas.openxmlformats.org/drawingml/2006/chart">
  <cdr:relSizeAnchor xmlns:cdr="http://schemas.openxmlformats.org/drawingml/2006/chartDrawing">
    <cdr:from>
      <cdr:x>0.01514</cdr:x>
      <cdr:y>0.80962</cdr:y>
    </cdr:from>
    <cdr:to>
      <cdr:x>0.81447</cdr:x>
      <cdr:y>0.95816</cdr:y>
    </cdr:to>
    <cdr:sp macro="" textlink="">
      <cdr:nvSpPr>
        <cdr:cNvPr id="2" name="TextBox 1"/>
        <cdr:cNvSpPr txBox="1"/>
      </cdr:nvSpPr>
      <cdr:spPr>
        <a:xfrm xmlns:a="http://schemas.openxmlformats.org/drawingml/2006/main">
          <a:off x="87923" y="3288242"/>
          <a:ext cx="4640754" cy="60327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l" rtl="0"/>
          <a:r>
            <a:rPr lang="en-US" sz="1050" baseline="30000">
              <a:cs typeface="+mn-cs"/>
            </a:rPr>
            <a:t>a</a:t>
          </a:r>
          <a:r>
            <a:rPr lang="en-US" sz="900" baseline="0">
              <a:cs typeface="+mn-cs"/>
            </a:rPr>
            <a:t> Direct channels incude website, mobile app, ATMs and call centers (not including a telephone response by a bank teller).</a:t>
          </a:r>
        </a:p>
        <a:p xmlns:a="http://schemas.openxmlformats.org/drawingml/2006/main">
          <a:pPr algn="l" rtl="0"/>
          <a:r>
            <a:rPr lang="en-US" sz="900" baseline="0">
              <a:effectLst/>
              <a:latin typeface="+mn-lt"/>
              <a:ea typeface="+mn-ea"/>
              <a:cs typeface="+mn-cs"/>
            </a:rPr>
            <a:t>SOURCE: Reports by the five large banks to the Banking Supervision Department.</a:t>
          </a:r>
          <a:endParaRPr lang="he-IL" sz="900" baseline="0">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E125B960-8E5D-4D9F-8EDD-16303AAAC7F8}"/>
</file>

<file path=customXml/itemProps2.xml><?xml version="1.0" encoding="utf-8"?>
<ds:datastoreItem xmlns:ds="http://schemas.openxmlformats.org/officeDocument/2006/customXml" ds:itemID="{69F60B14-5223-4078-8A6E-7C72F378C8DB}"/>
</file>

<file path=customXml/itemProps3.xml><?xml version="1.0" encoding="utf-8"?>
<ds:datastoreItem xmlns:ds="http://schemas.openxmlformats.org/officeDocument/2006/customXml" ds:itemID="{F99964AB-75B7-406B-8FCE-2E86A313A1FD}"/>
</file>

<file path=customXml/itemProps4.xml><?xml version="1.0" encoding="utf-8"?>
<ds:datastoreItem xmlns:ds="http://schemas.openxmlformats.org/officeDocument/2006/customXml" ds:itemID="{D20BF4C6-EBB1-4C65-AE1B-7BD28B3BA0AE}"/>
</file>

<file path=docProps/app.xml><?xml version="1.0" encoding="utf-8"?>
<Properties xmlns="http://schemas.openxmlformats.org/officeDocument/2006/extended-properties" xmlns:vt="http://schemas.openxmlformats.org/officeDocument/2006/docPropsVTypes">
  <Template>Normal</Template>
  <TotalTime>12</TotalTime>
  <Pages>15</Pages>
  <Words>3947</Words>
  <Characters>19739</Characters>
  <Application>Microsoft Office Word</Application>
  <DocSecurity>0</DocSecurity>
  <Lines>164</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Bigosovka</vt:lpstr>
      <vt:lpstr>Bigosovka</vt:lpstr>
    </vt:vector>
  </TitlesOfParts>
  <Company>IBRT</Company>
  <LinksUpToDate>false</LinksUpToDate>
  <CharactersWithSpaces>23639</CharactersWithSpaces>
  <SharedDoc>false</SharedDoc>
  <HLinks>
    <vt:vector size="12" baseType="variant">
      <vt:variant>
        <vt:i4>1638416</vt:i4>
      </vt:variant>
      <vt:variant>
        <vt:i4>3</vt:i4>
      </vt:variant>
      <vt:variant>
        <vt:i4>0</vt:i4>
      </vt:variant>
      <vt:variant>
        <vt:i4>5</vt:i4>
      </vt:variant>
      <vt:variant>
        <vt:lpwstr>http://www.boi.org.il//en/ConsumerInformation/Pages/Default.aspx</vt:lpwstr>
      </vt:variant>
      <vt:variant>
        <vt:lpwstr/>
      </vt:variant>
      <vt:variant>
        <vt:i4>1638416</vt:i4>
      </vt:variant>
      <vt:variant>
        <vt:i4>0</vt:i4>
      </vt:variant>
      <vt:variant>
        <vt:i4>0</vt:i4>
      </vt:variant>
      <vt:variant>
        <vt:i4>5</vt:i4>
      </vt:variant>
      <vt:variant>
        <vt:lpwstr>http://www.boi.org.il//en/ConsumerInformation/Pages/Default.aspx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 Schramm</dc:creator>
  <cp:lastModifiedBy>Rickey Achdut Dovrut BOI</cp:lastModifiedBy>
  <cp:revision>4</cp:revision>
  <cp:lastPrinted>2016-02-02T06:36:00Z</cp:lastPrinted>
  <dcterms:created xsi:type="dcterms:W3CDTF">2020-01-21T08:00:00Z</dcterms:created>
  <dcterms:modified xsi:type="dcterms:W3CDTF">2020-01-21T08:11:00Z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
    <vt:bool>true</vt:bool>
  </property>
  <property fmtid="{D5CDD505-2E9C-101B-9397-08002B2CF9AE}" pid="3" name="ContentTypeId">
    <vt:lpwstr>0x010100BEE9343D4987C6478DC1BE6EDC107D2A</vt:lpwstr>
  </property>
</Properties>
</file>