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DD5923" w:rsidRPr="00DB1CBC" w:rsidTr="00D87676">
        <w:trPr>
          <w:jc w:val="center"/>
        </w:trPr>
        <w:tc>
          <w:tcPr>
            <w:tcW w:w="2840" w:type="dxa"/>
            <w:tcBorders>
              <w:top w:val="nil"/>
              <w:left w:val="nil"/>
              <w:bottom w:val="nil"/>
              <w:right w:val="nil"/>
            </w:tcBorders>
            <w:vAlign w:val="center"/>
          </w:tcPr>
          <w:p w:rsidR="00DD5923" w:rsidRDefault="00DD5923" w:rsidP="00D87676">
            <w:pPr>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D87676">
            <w:pPr>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DD5923" w:rsidRDefault="00DD5923" w:rsidP="00D87676">
            <w:pPr>
              <w:jc w:val="center"/>
            </w:pPr>
            <w:r>
              <w:rPr>
                <w:noProof/>
                <w:lang w:eastAsia="en-US"/>
              </w:rPr>
              <w:drawing>
                <wp:inline distT="0" distB="0" distL="0" distR="0" wp14:anchorId="32D6A652" wp14:editId="6FB77393">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DD5923" w:rsidRDefault="00DD5923" w:rsidP="008B5665">
            <w:pPr>
              <w:bidi/>
              <w:spacing w:line="48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8B5665">
              <w:rPr>
                <w:rFonts w:cs="David" w:hint="cs"/>
                <w:sz w:val="24"/>
                <w:szCs w:val="24"/>
                <w:rtl/>
              </w:rPr>
              <w:t>א' בטבת</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8B5665">
            <w:pPr>
              <w:spacing w:line="480" w:lineRule="auto"/>
              <w:rPr>
                <w:rFonts w:cs="David"/>
                <w:sz w:val="24"/>
                <w:szCs w:val="24"/>
              </w:rPr>
            </w:pPr>
            <w:r>
              <w:rPr>
                <w:rFonts w:cs="David" w:hint="eastAsia"/>
                <w:sz w:val="24"/>
                <w:szCs w:val="24"/>
                <w:rtl/>
              </w:rPr>
              <w:t>‏‏</w:t>
            </w:r>
            <w:r w:rsidR="008B5665">
              <w:rPr>
                <w:rFonts w:cs="David" w:hint="cs"/>
                <w:sz w:val="24"/>
                <w:szCs w:val="24"/>
                <w:rtl/>
              </w:rPr>
              <w:t>4</w:t>
            </w:r>
            <w:r w:rsidR="00F75061">
              <w:rPr>
                <w:rFonts w:cs="David" w:hint="cs"/>
                <w:sz w:val="24"/>
                <w:szCs w:val="24"/>
                <w:rtl/>
              </w:rPr>
              <w:t xml:space="preserve"> בדצמבר</w:t>
            </w:r>
            <w:r>
              <w:rPr>
                <w:rFonts w:cs="David"/>
                <w:sz w:val="24"/>
                <w:szCs w:val="24"/>
                <w:rtl/>
              </w:rPr>
              <w:t xml:space="preserve"> 2013</w:t>
            </w:r>
          </w:p>
        </w:tc>
      </w:tr>
    </w:tbl>
    <w:p w:rsidR="00FE034E" w:rsidRDefault="00FE034E" w:rsidP="007E18EE">
      <w:pPr>
        <w:bidi/>
        <w:rPr>
          <w:rtl/>
        </w:rPr>
      </w:pPr>
    </w:p>
    <w:p w:rsidR="007E18EE" w:rsidRDefault="007E18EE" w:rsidP="007E18EE">
      <w:pPr>
        <w:bidi/>
        <w:spacing w:line="360" w:lineRule="auto"/>
        <w:ind w:right="-101"/>
        <w:rPr>
          <w:rFonts w:cs="David"/>
          <w:sz w:val="24"/>
          <w:szCs w:val="24"/>
          <w:rtl/>
        </w:rPr>
      </w:pPr>
      <w:r w:rsidRPr="007E18EE">
        <w:rPr>
          <w:rFonts w:cs="David" w:hint="cs"/>
          <w:sz w:val="24"/>
          <w:szCs w:val="24"/>
          <w:rtl/>
        </w:rPr>
        <w:t>הודעה לעיתונות:</w:t>
      </w:r>
    </w:p>
    <w:p w:rsidR="00FD4062" w:rsidRDefault="00FD4062" w:rsidP="00E44563">
      <w:pPr>
        <w:bidi/>
        <w:spacing w:line="360" w:lineRule="auto"/>
        <w:jc w:val="center"/>
        <w:rPr>
          <w:rFonts w:cs="David"/>
          <w:b/>
          <w:bCs/>
          <w:sz w:val="26"/>
          <w:szCs w:val="26"/>
          <w:rtl/>
        </w:rPr>
      </w:pPr>
    </w:p>
    <w:p w:rsidR="00E44563" w:rsidRPr="00FD4062" w:rsidRDefault="00E44563" w:rsidP="00FD4062">
      <w:pPr>
        <w:bidi/>
        <w:spacing w:line="360" w:lineRule="auto"/>
        <w:rPr>
          <w:rFonts w:cs="David"/>
          <w:sz w:val="24"/>
          <w:szCs w:val="24"/>
        </w:rPr>
      </w:pPr>
      <w:r w:rsidRPr="00FD4062">
        <w:rPr>
          <w:rFonts w:cs="David"/>
          <w:sz w:val="24"/>
          <w:szCs w:val="24"/>
          <w:rtl/>
        </w:rPr>
        <w:t>קטע מסקירת "ההתפתחויות הכלכליות בחודשים האחרונים" שתפורסם בקרוב</w:t>
      </w:r>
      <w:r w:rsidRPr="00FD4062">
        <w:rPr>
          <w:rFonts w:cs="David" w:hint="cs"/>
          <w:sz w:val="24"/>
          <w:szCs w:val="24"/>
          <w:rtl/>
        </w:rPr>
        <w:t>:</w:t>
      </w:r>
    </w:p>
    <w:p w:rsidR="00E44563" w:rsidRPr="00E44563" w:rsidRDefault="00E44563" w:rsidP="00E44563">
      <w:pPr>
        <w:bidi/>
        <w:spacing w:line="360" w:lineRule="auto"/>
        <w:jc w:val="center"/>
        <w:rPr>
          <w:rFonts w:cs="David"/>
          <w:b/>
          <w:bCs/>
          <w:sz w:val="24"/>
          <w:szCs w:val="24"/>
          <w:rtl/>
        </w:rPr>
      </w:pPr>
    </w:p>
    <w:p w:rsidR="00E44563" w:rsidRPr="00FD4062" w:rsidRDefault="00E44563" w:rsidP="00E44563">
      <w:pPr>
        <w:bidi/>
        <w:spacing w:line="360" w:lineRule="auto"/>
        <w:jc w:val="center"/>
        <w:rPr>
          <w:rFonts w:cs="David"/>
          <w:b/>
          <w:bCs/>
          <w:sz w:val="26"/>
          <w:szCs w:val="26"/>
          <w:u w:val="single"/>
          <w:rtl/>
        </w:rPr>
      </w:pPr>
      <w:r w:rsidRPr="00FD4062">
        <w:rPr>
          <w:rFonts w:cs="David" w:hint="cs"/>
          <w:b/>
          <w:bCs/>
          <w:sz w:val="26"/>
          <w:szCs w:val="26"/>
          <w:u w:val="single"/>
          <w:rtl/>
        </w:rPr>
        <w:t>תשלום מענק העבודה</w:t>
      </w:r>
      <w:r w:rsidRPr="00FD4062">
        <w:rPr>
          <w:rStyle w:val="ab"/>
          <w:rFonts w:cs="David"/>
          <w:b/>
          <w:bCs/>
          <w:sz w:val="26"/>
          <w:szCs w:val="26"/>
          <w:u w:val="single"/>
          <w:rtl/>
        </w:rPr>
        <w:footnoteReference w:id="1"/>
      </w:r>
      <w:r w:rsidRPr="00FD4062">
        <w:rPr>
          <w:rFonts w:cs="David" w:hint="cs"/>
          <w:b/>
          <w:bCs/>
          <w:sz w:val="26"/>
          <w:szCs w:val="26"/>
          <w:u w:val="single"/>
          <w:rtl/>
        </w:rPr>
        <w:t xml:space="preserve"> ב-2012: השנה הראשונה לפריסתו הארצית</w:t>
      </w:r>
    </w:p>
    <w:p w:rsidR="00E44563" w:rsidRDefault="00E44563" w:rsidP="00E44563">
      <w:pPr>
        <w:spacing w:line="360" w:lineRule="auto"/>
        <w:jc w:val="center"/>
        <w:rPr>
          <w:rFonts w:cs="David"/>
          <w:b/>
          <w:bCs/>
          <w:sz w:val="24"/>
          <w:szCs w:val="24"/>
          <w:rtl/>
        </w:rPr>
      </w:pPr>
    </w:p>
    <w:p w:rsidR="00E44563" w:rsidRPr="006E7749" w:rsidRDefault="00E44563" w:rsidP="00E04CF1">
      <w:pPr>
        <w:pStyle w:val="ac"/>
        <w:numPr>
          <w:ilvl w:val="0"/>
          <w:numId w:val="1"/>
        </w:numPr>
        <w:spacing w:line="360" w:lineRule="auto"/>
        <w:jc w:val="both"/>
        <w:rPr>
          <w:rFonts w:cs="David"/>
          <w:b/>
          <w:bCs/>
          <w:sz w:val="24"/>
          <w:szCs w:val="24"/>
        </w:rPr>
      </w:pPr>
      <w:r>
        <w:rPr>
          <w:rFonts w:cs="David" w:hint="cs"/>
          <w:b/>
          <w:bCs/>
          <w:sz w:val="24"/>
          <w:szCs w:val="24"/>
          <w:rtl/>
        </w:rPr>
        <w:t>בשנה הראשונה להחלה הארצית של החוק</w:t>
      </w:r>
      <w:r w:rsidRPr="006E7749">
        <w:rPr>
          <w:rFonts w:cs="David" w:hint="cs"/>
          <w:b/>
          <w:bCs/>
          <w:sz w:val="24"/>
          <w:szCs w:val="24"/>
          <w:rtl/>
        </w:rPr>
        <w:t xml:space="preserve"> </w:t>
      </w:r>
      <w:r>
        <w:rPr>
          <w:rFonts w:cs="David" w:hint="cs"/>
          <w:b/>
          <w:bCs/>
          <w:sz w:val="24"/>
          <w:szCs w:val="24"/>
          <w:rtl/>
        </w:rPr>
        <w:t xml:space="preserve">עמד </w:t>
      </w:r>
      <w:r w:rsidRPr="006E7749">
        <w:rPr>
          <w:rFonts w:cs="David" w:hint="cs"/>
          <w:b/>
          <w:bCs/>
          <w:sz w:val="24"/>
          <w:szCs w:val="24"/>
          <w:rtl/>
        </w:rPr>
        <w:t>מספר מקבלי</w:t>
      </w:r>
      <w:r>
        <w:rPr>
          <w:rFonts w:cs="David" w:hint="cs"/>
          <w:b/>
          <w:bCs/>
          <w:sz w:val="24"/>
          <w:szCs w:val="24"/>
          <w:rtl/>
        </w:rPr>
        <w:t xml:space="preserve"> המענק</w:t>
      </w:r>
      <w:r w:rsidRPr="006E7749">
        <w:rPr>
          <w:rFonts w:cs="David" w:hint="cs"/>
          <w:b/>
          <w:bCs/>
          <w:sz w:val="24"/>
          <w:szCs w:val="24"/>
          <w:rtl/>
        </w:rPr>
        <w:t xml:space="preserve"> </w:t>
      </w:r>
      <w:r>
        <w:rPr>
          <w:rFonts w:cs="David" w:hint="cs"/>
          <w:b/>
          <w:bCs/>
          <w:sz w:val="24"/>
          <w:szCs w:val="24"/>
          <w:rtl/>
        </w:rPr>
        <w:t xml:space="preserve">על </w:t>
      </w:r>
      <w:r w:rsidRPr="006E7749">
        <w:rPr>
          <w:rFonts w:cs="David" w:hint="cs"/>
          <w:b/>
          <w:bCs/>
          <w:sz w:val="24"/>
          <w:szCs w:val="24"/>
          <w:rtl/>
        </w:rPr>
        <w:t>כ-181,000 אלף, ו</w:t>
      </w:r>
      <w:r w:rsidRPr="00923E2B">
        <w:rPr>
          <w:rFonts w:cs="David" w:hint="cs"/>
          <w:b/>
          <w:bCs/>
          <w:sz w:val="24"/>
          <w:szCs w:val="24"/>
          <w:rtl/>
        </w:rPr>
        <w:t xml:space="preserve">מספר הזכאים </w:t>
      </w:r>
      <w:r>
        <w:rPr>
          <w:rFonts w:cs="David" w:hint="cs"/>
          <w:b/>
          <w:bCs/>
          <w:sz w:val="24"/>
          <w:szCs w:val="24"/>
          <w:rtl/>
        </w:rPr>
        <w:t xml:space="preserve">על </w:t>
      </w:r>
      <w:r w:rsidRPr="00923E2B">
        <w:rPr>
          <w:rFonts w:cs="David" w:hint="cs"/>
          <w:b/>
          <w:bCs/>
          <w:sz w:val="24"/>
          <w:szCs w:val="24"/>
          <w:rtl/>
        </w:rPr>
        <w:t>כ-3</w:t>
      </w:r>
      <w:r>
        <w:rPr>
          <w:rFonts w:cs="David" w:hint="cs"/>
          <w:b/>
          <w:bCs/>
          <w:sz w:val="24"/>
          <w:szCs w:val="24"/>
          <w:rtl/>
        </w:rPr>
        <w:t>7</w:t>
      </w:r>
      <w:r w:rsidRPr="00923E2B">
        <w:rPr>
          <w:rFonts w:cs="David" w:hint="cs"/>
          <w:b/>
          <w:bCs/>
          <w:sz w:val="24"/>
          <w:szCs w:val="24"/>
          <w:rtl/>
        </w:rPr>
        <w:t xml:space="preserve">0,000. </w:t>
      </w:r>
    </w:p>
    <w:p w:rsidR="00E44563" w:rsidRPr="00581367" w:rsidRDefault="00E44563" w:rsidP="00E44563">
      <w:pPr>
        <w:pStyle w:val="ac"/>
        <w:numPr>
          <w:ilvl w:val="0"/>
          <w:numId w:val="1"/>
        </w:numPr>
        <w:spacing w:line="360" w:lineRule="auto"/>
        <w:jc w:val="both"/>
        <w:rPr>
          <w:rFonts w:cs="David"/>
          <w:b/>
          <w:bCs/>
          <w:sz w:val="24"/>
          <w:szCs w:val="24"/>
        </w:rPr>
      </w:pPr>
      <w:r w:rsidRPr="0037760B">
        <w:rPr>
          <w:rFonts w:cs="David" w:hint="cs"/>
          <w:b/>
          <w:bCs/>
          <w:sz w:val="24"/>
          <w:szCs w:val="24"/>
          <w:rtl/>
        </w:rPr>
        <w:t>ה</w:t>
      </w:r>
      <w:r w:rsidRPr="00581367">
        <w:rPr>
          <w:rFonts w:cs="David" w:hint="cs"/>
          <w:b/>
          <w:bCs/>
          <w:sz w:val="24"/>
          <w:szCs w:val="24"/>
          <w:rtl/>
        </w:rPr>
        <w:t>חוק</w:t>
      </w:r>
      <w:r w:rsidRPr="00581367">
        <w:rPr>
          <w:rFonts w:cs="David"/>
          <w:b/>
          <w:bCs/>
          <w:sz w:val="24"/>
          <w:szCs w:val="24"/>
          <w:rtl/>
        </w:rPr>
        <w:t xml:space="preserve"> </w:t>
      </w:r>
      <w:r w:rsidRPr="00581367">
        <w:rPr>
          <w:rFonts w:cs="David" w:hint="cs"/>
          <w:b/>
          <w:bCs/>
          <w:sz w:val="24"/>
          <w:szCs w:val="24"/>
          <w:rtl/>
        </w:rPr>
        <w:t>מ</w:t>
      </w:r>
      <w:r>
        <w:rPr>
          <w:rFonts w:cs="David" w:hint="cs"/>
          <w:b/>
          <w:bCs/>
          <w:sz w:val="24"/>
          <w:szCs w:val="24"/>
          <w:rtl/>
        </w:rPr>
        <w:t>מוקד</w:t>
      </w:r>
      <w:r w:rsidRPr="00581367">
        <w:rPr>
          <w:rFonts w:cs="David"/>
          <w:b/>
          <w:bCs/>
          <w:sz w:val="24"/>
          <w:szCs w:val="24"/>
          <w:rtl/>
        </w:rPr>
        <w:t xml:space="preserve"> </w:t>
      </w:r>
      <w:r w:rsidRPr="00581367">
        <w:rPr>
          <w:rFonts w:cs="David" w:hint="cs"/>
          <w:b/>
          <w:bCs/>
          <w:sz w:val="24"/>
          <w:szCs w:val="24"/>
          <w:rtl/>
        </w:rPr>
        <w:t>היטב</w:t>
      </w:r>
      <w:r w:rsidRPr="00581367">
        <w:rPr>
          <w:rFonts w:cs="David"/>
          <w:b/>
          <w:bCs/>
          <w:sz w:val="24"/>
          <w:szCs w:val="24"/>
          <w:rtl/>
        </w:rPr>
        <w:t xml:space="preserve"> </w:t>
      </w:r>
      <w:r w:rsidRPr="00581367">
        <w:rPr>
          <w:rFonts w:cs="David" w:hint="cs"/>
          <w:b/>
          <w:bCs/>
          <w:sz w:val="24"/>
          <w:szCs w:val="24"/>
          <w:rtl/>
        </w:rPr>
        <w:t>באוכלוסיות</w:t>
      </w:r>
      <w:r w:rsidRPr="00581367">
        <w:rPr>
          <w:rFonts w:cs="David"/>
          <w:b/>
          <w:bCs/>
          <w:sz w:val="24"/>
          <w:szCs w:val="24"/>
          <w:rtl/>
        </w:rPr>
        <w:t xml:space="preserve"> </w:t>
      </w:r>
      <w:r w:rsidRPr="00581367">
        <w:rPr>
          <w:rFonts w:cs="David" w:hint="cs"/>
          <w:b/>
          <w:bCs/>
          <w:sz w:val="24"/>
          <w:szCs w:val="24"/>
          <w:rtl/>
        </w:rPr>
        <w:t>המוחלשות</w:t>
      </w:r>
      <w:r w:rsidRPr="00581367">
        <w:rPr>
          <w:rFonts w:cs="David"/>
          <w:b/>
          <w:bCs/>
          <w:sz w:val="24"/>
          <w:szCs w:val="24"/>
          <w:rtl/>
        </w:rPr>
        <w:t xml:space="preserve">: </w:t>
      </w:r>
      <w:r w:rsidRPr="00581367">
        <w:rPr>
          <w:rFonts w:cs="David" w:hint="cs"/>
          <w:b/>
          <w:bCs/>
          <w:sz w:val="24"/>
          <w:szCs w:val="24"/>
          <w:rtl/>
        </w:rPr>
        <w:t>כ</w:t>
      </w:r>
      <w:r w:rsidRPr="00581367">
        <w:rPr>
          <w:rFonts w:cs="David"/>
          <w:b/>
          <w:bCs/>
          <w:sz w:val="24"/>
          <w:szCs w:val="24"/>
          <w:rtl/>
        </w:rPr>
        <w:t xml:space="preserve">-75 </w:t>
      </w:r>
      <w:r w:rsidRPr="00581367">
        <w:rPr>
          <w:rFonts w:cs="David" w:hint="cs"/>
          <w:b/>
          <w:bCs/>
          <w:sz w:val="24"/>
          <w:szCs w:val="24"/>
          <w:rtl/>
        </w:rPr>
        <w:t>אחוזים</w:t>
      </w:r>
      <w:r w:rsidRPr="00581367">
        <w:rPr>
          <w:rFonts w:cs="David"/>
          <w:b/>
          <w:bCs/>
          <w:sz w:val="24"/>
          <w:szCs w:val="24"/>
          <w:rtl/>
        </w:rPr>
        <w:t xml:space="preserve"> </w:t>
      </w:r>
      <w:r w:rsidRPr="00581367">
        <w:rPr>
          <w:rFonts w:cs="David" w:hint="cs"/>
          <w:b/>
          <w:bCs/>
          <w:sz w:val="24"/>
          <w:szCs w:val="24"/>
          <w:rtl/>
        </w:rPr>
        <w:t>מסך</w:t>
      </w:r>
      <w:r w:rsidRPr="00581367">
        <w:rPr>
          <w:rFonts w:cs="David"/>
          <w:b/>
          <w:bCs/>
          <w:sz w:val="24"/>
          <w:szCs w:val="24"/>
          <w:rtl/>
        </w:rPr>
        <w:t xml:space="preserve"> </w:t>
      </w:r>
      <w:r w:rsidRPr="00581367">
        <w:rPr>
          <w:rFonts w:cs="David" w:hint="cs"/>
          <w:b/>
          <w:bCs/>
          <w:sz w:val="24"/>
          <w:szCs w:val="24"/>
          <w:rtl/>
        </w:rPr>
        <w:t>התשלומים</w:t>
      </w:r>
      <w:r w:rsidRPr="00581367">
        <w:rPr>
          <w:rFonts w:cs="David"/>
          <w:b/>
          <w:bCs/>
          <w:sz w:val="24"/>
          <w:szCs w:val="24"/>
          <w:rtl/>
        </w:rPr>
        <w:t xml:space="preserve"> </w:t>
      </w:r>
      <w:r w:rsidRPr="00581367">
        <w:rPr>
          <w:rFonts w:cs="David" w:hint="cs"/>
          <w:b/>
          <w:bCs/>
          <w:sz w:val="24"/>
          <w:szCs w:val="24"/>
          <w:rtl/>
        </w:rPr>
        <w:t>הועברו</w:t>
      </w:r>
      <w:r w:rsidRPr="00581367">
        <w:rPr>
          <w:rFonts w:cs="David"/>
          <w:b/>
          <w:bCs/>
          <w:sz w:val="24"/>
          <w:szCs w:val="24"/>
          <w:rtl/>
        </w:rPr>
        <w:t xml:space="preserve"> </w:t>
      </w:r>
      <w:r w:rsidRPr="00581367">
        <w:rPr>
          <w:rFonts w:cs="David" w:hint="cs"/>
          <w:b/>
          <w:bCs/>
          <w:sz w:val="24"/>
          <w:szCs w:val="24"/>
          <w:rtl/>
        </w:rPr>
        <w:t>לשכירים</w:t>
      </w:r>
      <w:r w:rsidRPr="00581367">
        <w:rPr>
          <w:rFonts w:cs="David"/>
          <w:b/>
          <w:bCs/>
          <w:sz w:val="24"/>
          <w:szCs w:val="24"/>
          <w:rtl/>
        </w:rPr>
        <w:t xml:space="preserve"> </w:t>
      </w:r>
      <w:r w:rsidRPr="00581367">
        <w:rPr>
          <w:rFonts w:cs="David" w:hint="cs"/>
          <w:b/>
          <w:bCs/>
          <w:sz w:val="24"/>
          <w:szCs w:val="24"/>
          <w:rtl/>
        </w:rPr>
        <w:t>משני</w:t>
      </w:r>
      <w:r w:rsidRPr="00581367">
        <w:rPr>
          <w:rFonts w:cs="David"/>
          <w:b/>
          <w:bCs/>
          <w:sz w:val="24"/>
          <w:szCs w:val="24"/>
          <w:rtl/>
        </w:rPr>
        <w:t xml:space="preserve"> </w:t>
      </w:r>
      <w:proofErr w:type="spellStart"/>
      <w:r w:rsidRPr="00581367">
        <w:rPr>
          <w:rFonts w:cs="David" w:hint="cs"/>
          <w:b/>
          <w:bCs/>
          <w:sz w:val="24"/>
          <w:szCs w:val="24"/>
          <w:rtl/>
        </w:rPr>
        <w:t>חמישוני</w:t>
      </w:r>
      <w:proofErr w:type="spellEnd"/>
      <w:r w:rsidRPr="00581367">
        <w:rPr>
          <w:rFonts w:cs="David"/>
          <w:b/>
          <w:bCs/>
          <w:sz w:val="24"/>
          <w:szCs w:val="24"/>
          <w:rtl/>
        </w:rPr>
        <w:t xml:space="preserve"> </w:t>
      </w:r>
      <w:r w:rsidRPr="00581367">
        <w:rPr>
          <w:rFonts w:cs="David" w:hint="cs"/>
          <w:b/>
          <w:bCs/>
          <w:sz w:val="24"/>
          <w:szCs w:val="24"/>
          <w:rtl/>
        </w:rPr>
        <w:t>ההכנסה</w:t>
      </w:r>
      <w:r w:rsidRPr="00581367">
        <w:rPr>
          <w:rFonts w:cs="David"/>
          <w:b/>
          <w:bCs/>
          <w:sz w:val="24"/>
          <w:szCs w:val="24"/>
          <w:rtl/>
        </w:rPr>
        <w:t xml:space="preserve"> </w:t>
      </w:r>
      <w:r w:rsidRPr="00581367">
        <w:rPr>
          <w:rFonts w:cs="David" w:hint="cs"/>
          <w:b/>
          <w:bCs/>
          <w:sz w:val="24"/>
          <w:szCs w:val="24"/>
          <w:rtl/>
        </w:rPr>
        <w:t>התחתונים</w:t>
      </w:r>
      <w:r w:rsidRPr="00581367">
        <w:rPr>
          <w:rFonts w:cs="David"/>
          <w:b/>
          <w:bCs/>
          <w:sz w:val="24"/>
          <w:szCs w:val="24"/>
          <w:rtl/>
        </w:rPr>
        <w:t xml:space="preserve"> </w:t>
      </w:r>
      <w:r w:rsidRPr="00581367">
        <w:rPr>
          <w:rFonts w:cs="David" w:hint="cs"/>
          <w:b/>
          <w:bCs/>
          <w:sz w:val="24"/>
          <w:szCs w:val="24"/>
          <w:rtl/>
        </w:rPr>
        <w:t>בקרב</w:t>
      </w:r>
      <w:r w:rsidRPr="00581367">
        <w:rPr>
          <w:rFonts w:cs="David"/>
          <w:b/>
          <w:bCs/>
          <w:sz w:val="24"/>
          <w:szCs w:val="24"/>
          <w:rtl/>
        </w:rPr>
        <w:t xml:space="preserve"> </w:t>
      </w:r>
      <w:r w:rsidRPr="00581367">
        <w:rPr>
          <w:rFonts w:cs="David" w:hint="cs"/>
          <w:b/>
          <w:bCs/>
          <w:sz w:val="24"/>
          <w:szCs w:val="24"/>
          <w:rtl/>
        </w:rPr>
        <w:t>השכירים</w:t>
      </w:r>
      <w:r w:rsidRPr="00581367">
        <w:rPr>
          <w:rFonts w:cs="David"/>
          <w:b/>
          <w:bCs/>
          <w:sz w:val="24"/>
          <w:szCs w:val="24"/>
          <w:rtl/>
        </w:rPr>
        <w:t>.</w:t>
      </w:r>
    </w:p>
    <w:p w:rsidR="00E44563" w:rsidRDefault="00E44563" w:rsidP="00E44563">
      <w:pPr>
        <w:pStyle w:val="ac"/>
        <w:numPr>
          <w:ilvl w:val="0"/>
          <w:numId w:val="1"/>
        </w:numPr>
        <w:spacing w:line="360" w:lineRule="auto"/>
        <w:jc w:val="both"/>
        <w:rPr>
          <w:rFonts w:cs="David"/>
          <w:b/>
          <w:bCs/>
          <w:sz w:val="24"/>
          <w:szCs w:val="24"/>
        </w:rPr>
      </w:pPr>
      <w:r>
        <w:rPr>
          <w:rFonts w:cs="David" w:hint="cs"/>
          <w:b/>
          <w:bCs/>
          <w:sz w:val="24"/>
          <w:szCs w:val="24"/>
          <w:rtl/>
        </w:rPr>
        <w:t xml:space="preserve">כמחצית מהזכאים מימשו את זכאותם וקיבלו את המענק. הסכום השנתי הממוצע למממש עמד על כ-2,900 ש"ח. </w:t>
      </w:r>
    </w:p>
    <w:p w:rsidR="00E44563" w:rsidRPr="005A6583" w:rsidRDefault="00E44563" w:rsidP="00FD4062">
      <w:pPr>
        <w:pStyle w:val="ac"/>
        <w:spacing w:after="0" w:line="360" w:lineRule="auto"/>
        <w:ind w:left="420"/>
        <w:jc w:val="both"/>
        <w:rPr>
          <w:rFonts w:cs="David"/>
          <w:sz w:val="24"/>
          <w:szCs w:val="24"/>
          <w:rtl/>
        </w:rPr>
      </w:pPr>
    </w:p>
    <w:p w:rsidR="00E44563" w:rsidRPr="00BF6278" w:rsidRDefault="00E44563" w:rsidP="00FD4062">
      <w:pPr>
        <w:bidi/>
        <w:spacing w:line="360" w:lineRule="auto"/>
        <w:jc w:val="both"/>
        <w:rPr>
          <w:rFonts w:cs="David"/>
          <w:sz w:val="24"/>
          <w:szCs w:val="24"/>
          <w:rtl/>
        </w:rPr>
      </w:pPr>
      <w:r w:rsidRPr="00BF6278">
        <w:rPr>
          <w:rFonts w:cs="David" w:hint="cs"/>
          <w:sz w:val="24"/>
          <w:szCs w:val="24"/>
          <w:rtl/>
        </w:rPr>
        <w:t>מענק העבודה משולם מדי שנה, החל משנת 2008</w:t>
      </w:r>
      <w:r>
        <w:rPr>
          <w:rFonts w:cs="David" w:hint="cs"/>
          <w:sz w:val="24"/>
          <w:szCs w:val="24"/>
          <w:rtl/>
        </w:rPr>
        <w:t>,</w:t>
      </w:r>
      <w:r w:rsidRPr="00BF6278">
        <w:rPr>
          <w:rFonts w:cs="David" w:hint="cs"/>
          <w:sz w:val="24"/>
          <w:szCs w:val="24"/>
          <w:rtl/>
        </w:rPr>
        <w:t xml:space="preserve"> </w:t>
      </w:r>
      <w:r>
        <w:rPr>
          <w:rFonts w:cs="David" w:hint="cs"/>
          <w:sz w:val="24"/>
          <w:szCs w:val="24"/>
          <w:rtl/>
        </w:rPr>
        <w:t xml:space="preserve">והוא </w:t>
      </w:r>
      <w:r w:rsidRPr="00BF6278">
        <w:rPr>
          <w:rFonts w:cs="David" w:hint="cs"/>
          <w:sz w:val="24"/>
          <w:szCs w:val="24"/>
          <w:rtl/>
        </w:rPr>
        <w:t>נועד לשפר את רווחתן הכלכלית של משפחות העובדים בעלי ההכנסות הנמוכות יחסית. בשנתיים הראשונות ליישום החוק (2008 ו-2009) שו</w:t>
      </w:r>
      <w:r>
        <w:rPr>
          <w:rFonts w:cs="David" w:hint="cs"/>
          <w:sz w:val="24"/>
          <w:szCs w:val="24"/>
          <w:rtl/>
        </w:rPr>
        <w:t>לם</w:t>
      </w:r>
      <w:r w:rsidRPr="00BF6278">
        <w:rPr>
          <w:rFonts w:cs="David" w:hint="cs"/>
          <w:sz w:val="24"/>
          <w:szCs w:val="24"/>
          <w:rtl/>
        </w:rPr>
        <w:t xml:space="preserve"> המענק </w:t>
      </w:r>
      <w:r>
        <w:rPr>
          <w:rFonts w:cs="David" w:hint="cs"/>
          <w:sz w:val="24"/>
          <w:szCs w:val="24"/>
          <w:rtl/>
        </w:rPr>
        <w:t xml:space="preserve">רק </w:t>
      </w:r>
      <w:r w:rsidRPr="00BF6278">
        <w:rPr>
          <w:rFonts w:cs="David" w:hint="cs"/>
          <w:sz w:val="24"/>
          <w:szCs w:val="24"/>
          <w:rtl/>
        </w:rPr>
        <w:t>באזורים נבחרים ("אזורי שילוב"), ובשנים 2010 ו-2011 ה</w:t>
      </w:r>
      <w:r>
        <w:rPr>
          <w:rFonts w:cs="David" w:hint="cs"/>
          <w:sz w:val="24"/>
          <w:szCs w:val="24"/>
          <w:rtl/>
        </w:rPr>
        <w:t>ו</w:t>
      </w:r>
      <w:r w:rsidRPr="00BF6278">
        <w:rPr>
          <w:rFonts w:cs="David" w:hint="cs"/>
          <w:sz w:val="24"/>
          <w:szCs w:val="24"/>
          <w:rtl/>
        </w:rPr>
        <w:t>רחב</w:t>
      </w:r>
      <w:r>
        <w:rPr>
          <w:rFonts w:cs="David" w:hint="cs"/>
          <w:sz w:val="24"/>
          <w:szCs w:val="24"/>
          <w:rtl/>
        </w:rPr>
        <w:t>ה הזכאות</w:t>
      </w:r>
      <w:r w:rsidRPr="00BF6278">
        <w:rPr>
          <w:rFonts w:cs="David" w:hint="cs"/>
          <w:sz w:val="24"/>
          <w:szCs w:val="24"/>
          <w:rtl/>
        </w:rPr>
        <w:t xml:space="preserve"> </w:t>
      </w:r>
      <w:r>
        <w:rPr>
          <w:rFonts w:cs="David" w:hint="cs"/>
          <w:sz w:val="24"/>
          <w:szCs w:val="24"/>
          <w:rtl/>
        </w:rPr>
        <w:t>גם</w:t>
      </w:r>
      <w:r w:rsidRPr="00BF6278">
        <w:rPr>
          <w:rFonts w:cs="David" w:hint="cs"/>
          <w:sz w:val="24"/>
          <w:szCs w:val="24"/>
          <w:rtl/>
        </w:rPr>
        <w:t xml:space="preserve"> לאימהות לילדים עד גיל שנתיים </w:t>
      </w:r>
      <w:r>
        <w:rPr>
          <w:rFonts w:cs="David" w:hint="cs"/>
          <w:sz w:val="24"/>
          <w:szCs w:val="24"/>
          <w:rtl/>
        </w:rPr>
        <w:t>בכל הארץ</w:t>
      </w:r>
      <w:r w:rsidRPr="00BF6278">
        <w:rPr>
          <w:rFonts w:cs="David" w:hint="cs"/>
          <w:sz w:val="24"/>
          <w:szCs w:val="24"/>
          <w:rtl/>
        </w:rPr>
        <w:t>.</w:t>
      </w:r>
      <w:r>
        <w:rPr>
          <w:rFonts w:cs="David" w:hint="cs"/>
          <w:sz w:val="24"/>
          <w:szCs w:val="24"/>
          <w:rtl/>
        </w:rPr>
        <w:t xml:space="preserve"> </w:t>
      </w:r>
      <w:r w:rsidRPr="00BF6278">
        <w:rPr>
          <w:rFonts w:cs="David" w:hint="cs"/>
          <w:sz w:val="24"/>
          <w:szCs w:val="24"/>
          <w:rtl/>
        </w:rPr>
        <w:t>בשנ</w:t>
      </w:r>
      <w:r>
        <w:rPr>
          <w:rFonts w:cs="David" w:hint="cs"/>
          <w:sz w:val="24"/>
          <w:szCs w:val="24"/>
          <w:rtl/>
        </w:rPr>
        <w:t>ת 2011</w:t>
      </w:r>
      <w:r w:rsidRPr="00BF6278">
        <w:rPr>
          <w:rFonts w:cs="David" w:hint="cs"/>
          <w:sz w:val="24"/>
          <w:szCs w:val="24"/>
          <w:rtl/>
        </w:rPr>
        <w:t xml:space="preserve"> </w:t>
      </w:r>
      <w:r>
        <w:rPr>
          <w:rFonts w:cs="David" w:hint="cs"/>
          <w:sz w:val="24"/>
          <w:szCs w:val="24"/>
          <w:rtl/>
        </w:rPr>
        <w:t>יושם החוק לראשונה בכל הארץ, ו</w:t>
      </w:r>
      <w:r w:rsidRPr="00BF6278">
        <w:rPr>
          <w:rFonts w:cs="David" w:hint="cs"/>
          <w:sz w:val="24"/>
          <w:szCs w:val="24"/>
          <w:rtl/>
        </w:rPr>
        <w:t xml:space="preserve">מספר הזכאים </w:t>
      </w:r>
      <w:r>
        <w:rPr>
          <w:rFonts w:cs="David" w:hint="cs"/>
          <w:sz w:val="24"/>
          <w:szCs w:val="24"/>
          <w:rtl/>
        </w:rPr>
        <w:t xml:space="preserve">הסתכם </w:t>
      </w:r>
      <w:r w:rsidRPr="00BF6278">
        <w:rPr>
          <w:rFonts w:cs="David" w:hint="cs"/>
          <w:sz w:val="24"/>
          <w:szCs w:val="24"/>
          <w:rtl/>
        </w:rPr>
        <w:t>בכ-370,000</w:t>
      </w:r>
      <w:r>
        <w:rPr>
          <w:rFonts w:cs="David" w:hint="cs"/>
          <w:sz w:val="24"/>
          <w:szCs w:val="24"/>
          <w:rtl/>
        </w:rPr>
        <w:t>,</w:t>
      </w:r>
      <w:r w:rsidRPr="00BF6278">
        <w:rPr>
          <w:rFonts w:cs="David" w:hint="cs"/>
          <w:sz w:val="24"/>
          <w:szCs w:val="24"/>
          <w:rtl/>
        </w:rPr>
        <w:t xml:space="preserve"> </w:t>
      </w:r>
      <w:r>
        <w:rPr>
          <w:rFonts w:cs="David" w:hint="cs"/>
          <w:sz w:val="24"/>
          <w:szCs w:val="24"/>
          <w:rtl/>
        </w:rPr>
        <w:t>ש</w:t>
      </w:r>
      <w:r w:rsidRPr="00BF6278">
        <w:rPr>
          <w:rFonts w:cs="David" w:hint="cs"/>
          <w:sz w:val="24"/>
          <w:szCs w:val="24"/>
          <w:rtl/>
        </w:rPr>
        <w:t>הם כ-10 אחוזים מכלל השכירים. מרבית הזכאים (80 אחוזים) הם הורים לילדים</w:t>
      </w:r>
      <w:r>
        <w:rPr>
          <w:rFonts w:cs="David" w:hint="cs"/>
          <w:sz w:val="24"/>
          <w:szCs w:val="24"/>
          <w:rtl/>
        </w:rPr>
        <w:t>,</w:t>
      </w:r>
      <w:r w:rsidRPr="00BF6278">
        <w:rPr>
          <w:rFonts w:cs="David" w:hint="cs"/>
          <w:sz w:val="24"/>
          <w:szCs w:val="24"/>
          <w:rtl/>
        </w:rPr>
        <w:t xml:space="preserve"> </w:t>
      </w:r>
      <w:r>
        <w:rPr>
          <w:rFonts w:cs="David" w:hint="cs"/>
          <w:sz w:val="24"/>
          <w:szCs w:val="24"/>
          <w:rtl/>
        </w:rPr>
        <w:t>ומתוכם</w:t>
      </w:r>
      <w:r w:rsidRPr="00BF6278">
        <w:rPr>
          <w:rFonts w:cs="David" w:hint="cs"/>
          <w:sz w:val="24"/>
          <w:szCs w:val="24"/>
          <w:rtl/>
        </w:rPr>
        <w:t xml:space="preserve"> </w:t>
      </w:r>
      <w:r>
        <w:rPr>
          <w:rFonts w:cs="David" w:hint="cs"/>
          <w:sz w:val="24"/>
          <w:szCs w:val="24"/>
          <w:rtl/>
        </w:rPr>
        <w:t xml:space="preserve">כשליש הם </w:t>
      </w:r>
      <w:r w:rsidRPr="00BF6278">
        <w:rPr>
          <w:rFonts w:cs="David" w:hint="cs"/>
          <w:sz w:val="24"/>
          <w:szCs w:val="24"/>
          <w:rtl/>
        </w:rPr>
        <w:t>הורים לשלושה ילדים או יותר. כרבע מהזכאים הם עולים, כחמישית ערבים וכ-7 אחוזים חרדים.</w:t>
      </w:r>
      <w:r>
        <w:rPr>
          <w:rFonts w:cs="David" w:hint="cs"/>
          <w:sz w:val="24"/>
          <w:szCs w:val="24"/>
          <w:rtl/>
        </w:rPr>
        <w:t xml:space="preserve"> </w:t>
      </w:r>
      <w:r w:rsidRPr="00BF6278">
        <w:rPr>
          <w:rFonts w:cs="David" w:hint="cs"/>
          <w:sz w:val="24"/>
          <w:szCs w:val="24"/>
          <w:rtl/>
        </w:rPr>
        <w:t xml:space="preserve">המענק משולם פעם ברבעון בשנה העוקבת לשנת הזכאות, היינו שנת העבודה שעבורה שולם המענק. </w:t>
      </w:r>
    </w:p>
    <w:p w:rsidR="00E44563" w:rsidRPr="00A03D16" w:rsidRDefault="00FD4062" w:rsidP="00FD4062">
      <w:pPr>
        <w:bidi/>
        <w:spacing w:line="360" w:lineRule="auto"/>
        <w:jc w:val="both"/>
        <w:rPr>
          <w:rFonts w:cs="David"/>
          <w:sz w:val="24"/>
          <w:szCs w:val="24"/>
        </w:rPr>
      </w:pPr>
      <w:r>
        <w:rPr>
          <w:rFonts w:cs="David"/>
          <w:sz w:val="24"/>
          <w:szCs w:val="24"/>
          <w:rtl/>
        </w:rPr>
        <w:br/>
      </w:r>
      <w:r w:rsidR="00E44563">
        <w:rPr>
          <w:rFonts w:cs="David" w:hint="cs"/>
          <w:sz w:val="24"/>
          <w:szCs w:val="24"/>
          <w:rtl/>
        </w:rPr>
        <w:t xml:space="preserve">בשנת 2012, שבה שולם המענק בגין ההכנסות ב-2011, מחצית מהזכאים הגישו בקשה למענק וקיבלו אותו. שיעור המימוש היה גבוה יותר באזורי היישום ה"ותיקים" </w:t>
      </w:r>
      <w:r w:rsidR="00E44563">
        <w:rPr>
          <w:rFonts w:cs="David"/>
          <w:sz w:val="24"/>
          <w:szCs w:val="24"/>
          <w:rtl/>
        </w:rPr>
        <w:t>–</w:t>
      </w:r>
      <w:r w:rsidR="00E44563">
        <w:rPr>
          <w:rFonts w:cs="David" w:hint="cs"/>
          <w:sz w:val="24"/>
          <w:szCs w:val="24"/>
          <w:rtl/>
        </w:rPr>
        <w:t xml:space="preserve"> אזורי השילוב </w:t>
      </w:r>
      <w:r w:rsidR="00E44563">
        <w:rPr>
          <w:rFonts w:cs="David"/>
          <w:sz w:val="24"/>
          <w:szCs w:val="24"/>
          <w:rtl/>
        </w:rPr>
        <w:t>–</w:t>
      </w:r>
      <w:r w:rsidR="00E44563">
        <w:rPr>
          <w:rFonts w:cs="David" w:hint="cs"/>
          <w:sz w:val="24"/>
          <w:szCs w:val="24"/>
          <w:rtl/>
        </w:rPr>
        <w:t xml:space="preserve"> וכ-52 אחוזים מהזכאים באזורים אלה קיבלו את המענק. שיעור המימוש באזורים ה"חדשים" עמד על 49 אחוזים. בין הגורמים שמגבירים, על פי הממצאים, את הסיכוי למימוש: קבלת מענק בשנים הקודמות, מגורים באזורי שילוב, גובה המענק, עבודה במגזר הציבורי וקבלת המענק על ידי בן/בת הזוג.</w:t>
      </w:r>
      <w:r w:rsidR="00E44563" w:rsidRPr="00A03D16">
        <w:rPr>
          <w:rFonts w:cs="David" w:hint="cs"/>
          <w:sz w:val="24"/>
          <w:szCs w:val="24"/>
          <w:rtl/>
        </w:rPr>
        <w:t xml:space="preserve"> </w:t>
      </w:r>
      <w:r w:rsidR="00E44563">
        <w:rPr>
          <w:rFonts w:cs="David" w:hint="cs"/>
          <w:sz w:val="24"/>
          <w:szCs w:val="24"/>
          <w:rtl/>
        </w:rPr>
        <w:t xml:space="preserve">כדי להגדיל את שיעורי המימוש, רשות המסים שולחת לזכאים שלא פנו לקבל את המענק מכתבים ובהם הודעה על זכאותם. השנה שופר נוסח המכתבים. נוסף על כך, </w:t>
      </w:r>
      <w:r w:rsidR="00E44563" w:rsidRPr="00BF6278">
        <w:rPr>
          <w:rFonts w:cs="David" w:hint="cs"/>
          <w:sz w:val="24"/>
          <w:szCs w:val="24"/>
          <w:rtl/>
        </w:rPr>
        <w:t xml:space="preserve">מנובמבר השנה ניתן לבדוק את הזכאות </w:t>
      </w:r>
      <w:r w:rsidR="00E44563">
        <w:rPr>
          <w:rFonts w:cs="David" w:hint="cs"/>
          <w:sz w:val="24"/>
          <w:szCs w:val="24"/>
          <w:rtl/>
        </w:rPr>
        <w:t xml:space="preserve">ישירות, </w:t>
      </w:r>
      <w:r w:rsidR="00E44563" w:rsidRPr="00BF6278">
        <w:rPr>
          <w:rFonts w:cs="David" w:hint="cs"/>
          <w:sz w:val="24"/>
          <w:szCs w:val="24"/>
          <w:rtl/>
        </w:rPr>
        <w:t>באתר האינטרנט של רשות המסים.</w:t>
      </w:r>
      <w:r w:rsidR="00E44563">
        <w:rPr>
          <w:rFonts w:cs="David" w:hint="cs"/>
          <w:sz w:val="24"/>
          <w:szCs w:val="24"/>
          <w:rtl/>
        </w:rPr>
        <w:t xml:space="preserve"> הסימנים הראשונים מעידים כי שיעור המימוש בגין ההכנסות ב-2012 עלה משמעותית. </w:t>
      </w:r>
      <w:r w:rsidR="00E44563" w:rsidRPr="00BF6278">
        <w:rPr>
          <w:rFonts w:cs="David" w:hint="cs"/>
          <w:sz w:val="24"/>
          <w:szCs w:val="24"/>
          <w:rtl/>
        </w:rPr>
        <w:t xml:space="preserve"> </w:t>
      </w:r>
    </w:p>
    <w:p w:rsidR="00FD4062" w:rsidRDefault="00FD4062">
      <w:pPr>
        <w:spacing w:after="200" w:line="276" w:lineRule="auto"/>
        <w:rPr>
          <w:rFonts w:cs="David"/>
          <w:sz w:val="24"/>
          <w:szCs w:val="24"/>
          <w:rtl/>
        </w:rPr>
      </w:pPr>
      <w:r>
        <w:rPr>
          <w:rFonts w:cs="David"/>
          <w:sz w:val="24"/>
          <w:szCs w:val="24"/>
          <w:rtl/>
        </w:rPr>
        <w:br w:type="page"/>
      </w:r>
    </w:p>
    <w:p w:rsidR="00E44563" w:rsidRDefault="00FD4062" w:rsidP="00FD4062">
      <w:pPr>
        <w:bidi/>
        <w:spacing w:line="360" w:lineRule="auto"/>
        <w:jc w:val="both"/>
        <w:rPr>
          <w:rFonts w:cs="David"/>
          <w:sz w:val="24"/>
          <w:szCs w:val="24"/>
          <w:rtl/>
        </w:rPr>
      </w:pPr>
      <w:r>
        <w:rPr>
          <w:rFonts w:cs="David"/>
          <w:sz w:val="24"/>
          <w:szCs w:val="24"/>
          <w:rtl/>
        </w:rPr>
        <w:lastRenderedPageBreak/>
        <w:br/>
      </w:r>
      <w:r w:rsidR="00E44563" w:rsidRPr="00BF6278">
        <w:rPr>
          <w:rFonts w:cs="David" w:hint="cs"/>
          <w:sz w:val="24"/>
          <w:szCs w:val="24"/>
          <w:rtl/>
        </w:rPr>
        <w:t xml:space="preserve">סכום המענק השנתי הממוצע </w:t>
      </w:r>
      <w:r w:rsidR="00E44563">
        <w:rPr>
          <w:rFonts w:cs="David" w:hint="cs"/>
          <w:sz w:val="24"/>
          <w:szCs w:val="24"/>
          <w:rtl/>
        </w:rPr>
        <w:t xml:space="preserve">בגין העבודה בשנת 2011 </w:t>
      </w:r>
      <w:r w:rsidR="00E44563" w:rsidRPr="00BF6278">
        <w:rPr>
          <w:rFonts w:cs="David" w:hint="cs"/>
          <w:sz w:val="24"/>
          <w:szCs w:val="24"/>
          <w:rtl/>
        </w:rPr>
        <w:t xml:space="preserve">עמד על כ-2,900 ש"ח. עובדים עם 3 ילדים </w:t>
      </w:r>
      <w:r w:rsidR="00E44563">
        <w:rPr>
          <w:rFonts w:cs="David" w:hint="cs"/>
          <w:sz w:val="24"/>
          <w:szCs w:val="24"/>
          <w:rtl/>
        </w:rPr>
        <w:t xml:space="preserve">או יותר </w:t>
      </w:r>
      <w:r w:rsidR="00E44563" w:rsidRPr="00BF6278">
        <w:rPr>
          <w:rFonts w:cs="David" w:hint="cs"/>
          <w:sz w:val="24"/>
          <w:szCs w:val="24"/>
          <w:rtl/>
        </w:rPr>
        <w:t>זכאים למענק מוגדל</w:t>
      </w:r>
      <w:r w:rsidR="00E44563">
        <w:rPr>
          <w:rFonts w:cs="David" w:hint="cs"/>
          <w:sz w:val="24"/>
          <w:szCs w:val="24"/>
          <w:rtl/>
        </w:rPr>
        <w:t>,</w:t>
      </w:r>
      <w:r w:rsidR="00E44563" w:rsidRPr="00BF6278">
        <w:rPr>
          <w:rFonts w:cs="David" w:hint="cs"/>
          <w:sz w:val="24"/>
          <w:szCs w:val="24"/>
          <w:rtl/>
        </w:rPr>
        <w:t xml:space="preserve"> </w:t>
      </w:r>
      <w:r w:rsidR="00E44563">
        <w:rPr>
          <w:rFonts w:cs="David" w:hint="cs"/>
          <w:sz w:val="24"/>
          <w:szCs w:val="24"/>
          <w:rtl/>
        </w:rPr>
        <w:t>ו</w:t>
      </w:r>
      <w:r w:rsidR="00E44563" w:rsidRPr="00BF6278">
        <w:rPr>
          <w:rFonts w:cs="David" w:hint="cs"/>
          <w:sz w:val="24"/>
          <w:szCs w:val="24"/>
          <w:rtl/>
        </w:rPr>
        <w:t xml:space="preserve">לכן </w:t>
      </w:r>
      <w:r w:rsidR="00E44563">
        <w:rPr>
          <w:rFonts w:cs="David" w:hint="cs"/>
          <w:sz w:val="24"/>
          <w:szCs w:val="24"/>
          <w:rtl/>
        </w:rPr>
        <w:t>ה</w:t>
      </w:r>
      <w:r w:rsidR="00E44563" w:rsidRPr="00BF6278">
        <w:rPr>
          <w:rFonts w:cs="David" w:hint="cs"/>
          <w:sz w:val="24"/>
          <w:szCs w:val="24"/>
          <w:rtl/>
        </w:rPr>
        <w:t xml:space="preserve">אוכלוסיות המאופיינות במספר ילדים גדול </w:t>
      </w:r>
      <w:r w:rsidR="00E44563">
        <w:rPr>
          <w:rFonts w:cs="David"/>
          <w:sz w:val="24"/>
          <w:szCs w:val="24"/>
          <w:rtl/>
        </w:rPr>
        <w:t>–</w:t>
      </w:r>
      <w:r w:rsidR="00E44563">
        <w:rPr>
          <w:rFonts w:cs="David" w:hint="cs"/>
          <w:sz w:val="24"/>
          <w:szCs w:val="24"/>
          <w:rtl/>
        </w:rPr>
        <w:t xml:space="preserve"> </w:t>
      </w:r>
      <w:r w:rsidR="00E44563" w:rsidRPr="00BF6278">
        <w:rPr>
          <w:rFonts w:cs="David" w:hint="cs"/>
          <w:sz w:val="24"/>
          <w:szCs w:val="24"/>
          <w:rtl/>
        </w:rPr>
        <w:t xml:space="preserve">כגון חרדים וערבים </w:t>
      </w:r>
      <w:r w:rsidR="00E44563">
        <w:rPr>
          <w:rFonts w:cs="David"/>
          <w:sz w:val="24"/>
          <w:szCs w:val="24"/>
          <w:rtl/>
        </w:rPr>
        <w:t>–</w:t>
      </w:r>
      <w:r w:rsidR="00E44563">
        <w:rPr>
          <w:rFonts w:cs="David" w:hint="cs"/>
          <w:sz w:val="24"/>
          <w:szCs w:val="24"/>
          <w:rtl/>
        </w:rPr>
        <w:t xml:space="preserve"> </w:t>
      </w:r>
      <w:r w:rsidR="00E44563" w:rsidRPr="00BF6278">
        <w:rPr>
          <w:rFonts w:cs="David" w:hint="cs"/>
          <w:sz w:val="24"/>
          <w:szCs w:val="24"/>
          <w:rtl/>
        </w:rPr>
        <w:t xml:space="preserve">קיבלו מענק גבוה </w:t>
      </w:r>
      <w:r w:rsidR="00E44563">
        <w:rPr>
          <w:rFonts w:cs="David" w:hint="cs"/>
          <w:sz w:val="24"/>
          <w:szCs w:val="24"/>
          <w:rtl/>
        </w:rPr>
        <w:t xml:space="preserve">יותר </w:t>
      </w:r>
      <w:r w:rsidR="00E44563" w:rsidRPr="00BF6278">
        <w:rPr>
          <w:rFonts w:cs="David" w:hint="cs"/>
          <w:sz w:val="24"/>
          <w:szCs w:val="24"/>
          <w:rtl/>
        </w:rPr>
        <w:t>ביחס לשאר הזכאים (איור 1).</w:t>
      </w:r>
    </w:p>
    <w:p w:rsidR="00E44563" w:rsidRDefault="00E44563" w:rsidP="00E44563">
      <w:pPr>
        <w:spacing w:line="360" w:lineRule="auto"/>
        <w:jc w:val="center"/>
        <w:rPr>
          <w:rFonts w:cs="David"/>
          <w:b/>
          <w:bCs/>
          <w:sz w:val="24"/>
          <w:szCs w:val="24"/>
          <w:rtl/>
        </w:rPr>
      </w:pPr>
    </w:p>
    <w:p w:rsidR="00E44563" w:rsidRDefault="00E44563" w:rsidP="00E44563">
      <w:pPr>
        <w:spacing w:line="360" w:lineRule="auto"/>
        <w:jc w:val="center"/>
        <w:rPr>
          <w:rFonts w:cs="David"/>
          <w:b/>
          <w:bCs/>
          <w:sz w:val="24"/>
          <w:szCs w:val="24"/>
          <w:rtl/>
        </w:rPr>
      </w:pPr>
      <w:r>
        <w:rPr>
          <w:rFonts w:cs="David" w:hint="cs"/>
          <w:b/>
          <w:bCs/>
          <w:sz w:val="24"/>
          <w:szCs w:val="24"/>
          <w:rtl/>
        </w:rPr>
        <w:t>איור 1: סכומי המענק ששולם ב-2012 לפי קבוצות אוכלוסייה</w:t>
      </w:r>
    </w:p>
    <w:p w:rsidR="00E44563" w:rsidRDefault="00E44563" w:rsidP="00E44563">
      <w:pPr>
        <w:spacing w:line="360" w:lineRule="auto"/>
        <w:jc w:val="center"/>
        <w:rPr>
          <w:rFonts w:cs="David"/>
          <w:b/>
          <w:bCs/>
          <w:sz w:val="24"/>
          <w:szCs w:val="24"/>
          <w:rtl/>
        </w:rPr>
      </w:pPr>
      <w:r>
        <w:rPr>
          <w:noProof/>
          <w:lang w:eastAsia="en-US"/>
        </w:rPr>
        <w:drawing>
          <wp:inline distT="0" distB="0" distL="0" distR="0" wp14:anchorId="26530694" wp14:editId="5A301DC7">
            <wp:extent cx="4800600" cy="2066925"/>
            <wp:effectExtent l="0" t="0" r="19050" b="9525"/>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4563" w:rsidRDefault="00FD4062" w:rsidP="00FD4062">
      <w:pPr>
        <w:bidi/>
        <w:spacing w:line="360" w:lineRule="auto"/>
        <w:jc w:val="both"/>
        <w:rPr>
          <w:rFonts w:cs="David"/>
          <w:sz w:val="24"/>
          <w:szCs w:val="24"/>
          <w:rtl/>
        </w:rPr>
      </w:pPr>
      <w:r>
        <w:rPr>
          <w:rFonts w:cs="David"/>
          <w:sz w:val="24"/>
          <w:szCs w:val="24"/>
          <w:rtl/>
        </w:rPr>
        <w:br/>
      </w:r>
      <w:r w:rsidR="00E44563">
        <w:rPr>
          <w:rFonts w:cs="David" w:hint="cs"/>
          <w:sz w:val="24"/>
          <w:szCs w:val="24"/>
          <w:rtl/>
        </w:rPr>
        <w:t xml:space="preserve">רוב הסכומים ששולמו הגיע לעובדים מקבוצות אוכלוסייה מוחלשות: עולים (24 אחוזים מסך התשלומים), ערבים (16 אחוזים), חרדים (9 אחוזים) ואימהות במשפחות חד-הוריות (11 אחוזים). מרבית מקבלי המענק (כ-71 אחוזים) נמצאים בשני </w:t>
      </w:r>
      <w:proofErr w:type="spellStart"/>
      <w:r w:rsidR="00E44563">
        <w:rPr>
          <w:rFonts w:cs="David" w:hint="cs"/>
          <w:sz w:val="24"/>
          <w:szCs w:val="24"/>
          <w:rtl/>
        </w:rPr>
        <w:t>חמישוני</w:t>
      </w:r>
      <w:proofErr w:type="spellEnd"/>
      <w:r w:rsidR="00E44563">
        <w:rPr>
          <w:rFonts w:cs="David" w:hint="cs"/>
          <w:sz w:val="24"/>
          <w:szCs w:val="24"/>
          <w:rtl/>
        </w:rPr>
        <w:t xml:space="preserve"> ההכנסה הנמוכים בהתפלגות השכירים לפי הכנסות משכר לנפש תקנית במשפחה, והם קיבלו כ-75 אחוזים מסך התשלומים שהועברו במסגרת החוק. המענק היווה תוספת משמעותית יותר עבור השכירים בעלי ההכנסות הנמוכות הנמצאים </w:t>
      </w:r>
      <w:proofErr w:type="spellStart"/>
      <w:r w:rsidR="00E44563">
        <w:rPr>
          <w:rFonts w:cs="David" w:hint="cs"/>
          <w:sz w:val="24"/>
          <w:szCs w:val="24"/>
          <w:rtl/>
        </w:rPr>
        <w:t>בחמישוני</w:t>
      </w:r>
      <w:proofErr w:type="spellEnd"/>
      <w:r w:rsidR="00E44563">
        <w:rPr>
          <w:rFonts w:cs="David" w:hint="cs"/>
          <w:sz w:val="24"/>
          <w:szCs w:val="24"/>
          <w:rtl/>
        </w:rPr>
        <w:t xml:space="preserve"> ההכנסה התחתונים (הכנסה לנפש תקנית במשפחה של מקבל המענק). הוא הגדיל בכ-12 אחוזים את ההכנסות לנפש תקנית במשפחות של זכאים </w:t>
      </w:r>
      <w:proofErr w:type="spellStart"/>
      <w:r w:rsidR="00E44563">
        <w:rPr>
          <w:rFonts w:cs="David" w:hint="cs"/>
          <w:sz w:val="24"/>
          <w:szCs w:val="24"/>
          <w:rtl/>
        </w:rPr>
        <w:t>בחמישון</w:t>
      </w:r>
      <w:proofErr w:type="spellEnd"/>
      <w:r w:rsidR="00E44563">
        <w:rPr>
          <w:rFonts w:cs="David" w:hint="cs"/>
          <w:sz w:val="24"/>
          <w:szCs w:val="24"/>
          <w:rtl/>
        </w:rPr>
        <w:t xml:space="preserve"> התחתון, ובכ-6 אחוזים את ההכנסות של הזכאים </w:t>
      </w:r>
      <w:proofErr w:type="spellStart"/>
      <w:r w:rsidR="00E44563">
        <w:rPr>
          <w:rFonts w:cs="David" w:hint="cs"/>
          <w:sz w:val="24"/>
          <w:szCs w:val="24"/>
          <w:rtl/>
        </w:rPr>
        <w:t>בחמישון</w:t>
      </w:r>
      <w:proofErr w:type="spellEnd"/>
      <w:r w:rsidR="00E44563">
        <w:rPr>
          <w:rFonts w:cs="David" w:hint="cs"/>
          <w:sz w:val="24"/>
          <w:szCs w:val="24"/>
          <w:rtl/>
        </w:rPr>
        <w:t xml:space="preserve"> השני. המענק גם ממוקד בעובדים מתמידים: רובם המכריע של הזכאים עבדו בכל השנים שבין 2011 ל-2007.</w:t>
      </w:r>
    </w:p>
    <w:p w:rsidR="00E44563" w:rsidRDefault="00FD4062" w:rsidP="00FD4062">
      <w:pPr>
        <w:bidi/>
        <w:spacing w:line="360" w:lineRule="auto"/>
        <w:jc w:val="both"/>
        <w:rPr>
          <w:rFonts w:cs="David"/>
          <w:sz w:val="24"/>
          <w:szCs w:val="24"/>
          <w:rtl/>
        </w:rPr>
      </w:pPr>
      <w:r>
        <w:rPr>
          <w:rFonts w:cs="David"/>
          <w:sz w:val="24"/>
          <w:szCs w:val="24"/>
          <w:rtl/>
        </w:rPr>
        <w:br/>
      </w:r>
      <w:r w:rsidR="00E44563">
        <w:rPr>
          <w:rFonts w:cs="David" w:hint="cs"/>
          <w:sz w:val="24"/>
          <w:szCs w:val="24"/>
          <w:rtl/>
        </w:rPr>
        <w:t xml:space="preserve">מענק העבודה משיג את מטרותיו משום שהוא ממוקד היטב באוכלוסיית העובדים שיש להם ילדים והכנסה נמוכה יחסית. לפיכך היא כלי יעיל לתמיכה באוכלוסייה זו בתקציב מצומצם וללא פגיעה בתמריץ לעבוד. סכומי המענק הנוכחיים נמוכים משמעותית ביחס לתוכניות דומות בארה"ב ובריטניה. הגדלת סכום המענק יכולה לצמצם, בעלות נמוכה יחסית, את תחולת העוני בקרב משפחות של עובדים עם ילדים, מכיוון שהרוב המכריע של התמיכות יגיע לאוכלוסיית היעד. לדוגמא, </w:t>
      </w:r>
      <w:r w:rsidR="00E44563" w:rsidRPr="0019456B">
        <w:rPr>
          <w:rFonts w:cs="David" w:hint="cs"/>
          <w:sz w:val="24"/>
          <w:szCs w:val="24"/>
          <w:rtl/>
        </w:rPr>
        <w:t>העלאת סכום המענק</w:t>
      </w:r>
      <w:r w:rsidR="00E44563">
        <w:rPr>
          <w:rFonts w:cs="David" w:hint="cs"/>
          <w:sz w:val="24"/>
          <w:szCs w:val="24"/>
          <w:rtl/>
        </w:rPr>
        <w:t xml:space="preserve"> הממוצע</w:t>
      </w:r>
      <w:r w:rsidR="00E44563" w:rsidRPr="0019456B">
        <w:rPr>
          <w:rFonts w:cs="David" w:hint="cs"/>
          <w:sz w:val="24"/>
          <w:szCs w:val="24"/>
          <w:rtl/>
        </w:rPr>
        <w:t xml:space="preserve"> בכ</w:t>
      </w:r>
      <w:r w:rsidR="00E44563" w:rsidRPr="003509BB">
        <w:rPr>
          <w:rFonts w:cs="David" w:hint="cs"/>
          <w:sz w:val="24"/>
          <w:szCs w:val="24"/>
          <w:rtl/>
        </w:rPr>
        <w:t>-</w:t>
      </w:r>
      <w:r w:rsidR="00E44563" w:rsidRPr="00E108E4">
        <w:rPr>
          <w:rFonts w:cs="David"/>
          <w:sz w:val="24"/>
          <w:szCs w:val="24"/>
          <w:rtl/>
        </w:rPr>
        <w:t>45</w:t>
      </w:r>
      <w:r w:rsidR="00E44563" w:rsidRPr="0019456B">
        <w:rPr>
          <w:rFonts w:cs="David" w:hint="cs"/>
          <w:sz w:val="24"/>
          <w:szCs w:val="24"/>
          <w:rtl/>
        </w:rPr>
        <w:t xml:space="preserve"> אחוזים </w:t>
      </w:r>
      <w:r w:rsidR="00E44563">
        <w:rPr>
          <w:rFonts w:cs="David" w:hint="cs"/>
          <w:sz w:val="24"/>
          <w:szCs w:val="24"/>
          <w:rtl/>
        </w:rPr>
        <w:t>למשפחה, לצד הרחבה מסוימת של טווח ההכנסות המזכה במענק, תחלץ מעוני כ-4,700 משפחות עם עובדים, תפחית את תחולת העוני בקרב משפחות העובדים בכ-0.28 נקודת אחוז ותצמצם את פער העוני בקרבן בכ-0.5 נקודת אחוז. בכך היא יכולה לקזז כ-70 אחוזים מהגידול שחל בעוני בקרב משפחות העובדים בעקבות הפחתת קצבאות הילדים בתקציב האחרון, וזאת בעלות של כ-0.66 מיליארד ₪, שהם כחמישית מהחיסכון התקציבי שהשיגה ההפחתה (לוח 1).</w:t>
      </w:r>
    </w:p>
    <w:p w:rsidR="00FD4062" w:rsidRDefault="00FD4062" w:rsidP="00E44563">
      <w:pPr>
        <w:spacing w:line="360" w:lineRule="auto"/>
        <w:jc w:val="center"/>
        <w:rPr>
          <w:rFonts w:cs="David"/>
          <w:b/>
          <w:bCs/>
          <w:sz w:val="24"/>
          <w:szCs w:val="24"/>
          <w:rtl/>
        </w:rPr>
      </w:pPr>
    </w:p>
    <w:p w:rsidR="00E44563" w:rsidRPr="00126769" w:rsidRDefault="00FD4062" w:rsidP="00FD4062">
      <w:pPr>
        <w:bidi/>
        <w:spacing w:line="360" w:lineRule="auto"/>
        <w:jc w:val="center"/>
        <w:rPr>
          <w:rFonts w:cs="David"/>
          <w:b/>
          <w:bCs/>
          <w:sz w:val="24"/>
          <w:szCs w:val="24"/>
          <w:rtl/>
        </w:rPr>
      </w:pPr>
      <w:r>
        <w:rPr>
          <w:rFonts w:cs="David"/>
          <w:b/>
          <w:bCs/>
          <w:sz w:val="24"/>
          <w:szCs w:val="24"/>
          <w:rtl/>
        </w:rPr>
        <w:lastRenderedPageBreak/>
        <w:br/>
      </w:r>
      <w:r w:rsidR="00E44563" w:rsidRPr="00126769">
        <w:rPr>
          <w:rFonts w:cs="David" w:hint="cs"/>
          <w:b/>
          <w:bCs/>
          <w:sz w:val="24"/>
          <w:szCs w:val="24"/>
          <w:rtl/>
        </w:rPr>
        <w:t xml:space="preserve">לוח </w:t>
      </w:r>
      <w:r w:rsidR="00E44563">
        <w:rPr>
          <w:rFonts w:cs="David" w:hint="cs"/>
          <w:b/>
          <w:bCs/>
          <w:sz w:val="24"/>
          <w:szCs w:val="24"/>
          <w:rtl/>
        </w:rPr>
        <w:t>1:</w:t>
      </w:r>
      <w:r w:rsidR="00E44563" w:rsidRPr="00126769">
        <w:rPr>
          <w:rFonts w:cs="David" w:hint="cs"/>
          <w:b/>
          <w:bCs/>
          <w:sz w:val="24"/>
          <w:szCs w:val="24"/>
          <w:rtl/>
        </w:rPr>
        <w:t xml:space="preserve"> </w:t>
      </w:r>
      <w:r w:rsidR="00E44563">
        <w:rPr>
          <w:rFonts w:cs="David" w:hint="cs"/>
          <w:b/>
          <w:bCs/>
          <w:sz w:val="24"/>
          <w:szCs w:val="24"/>
          <w:rtl/>
        </w:rPr>
        <w:t>הגדלת</w:t>
      </w:r>
      <w:r w:rsidR="00E44563" w:rsidRPr="00126769">
        <w:rPr>
          <w:rFonts w:cs="David" w:hint="cs"/>
          <w:b/>
          <w:bCs/>
          <w:sz w:val="24"/>
          <w:szCs w:val="24"/>
          <w:rtl/>
        </w:rPr>
        <w:t xml:space="preserve"> המענק </w:t>
      </w:r>
      <w:r w:rsidR="00E44563">
        <w:rPr>
          <w:rFonts w:cs="David" w:hint="cs"/>
          <w:b/>
          <w:bCs/>
          <w:sz w:val="24"/>
          <w:szCs w:val="24"/>
          <w:rtl/>
        </w:rPr>
        <w:t xml:space="preserve">והשפעתה </w:t>
      </w:r>
      <w:r w:rsidR="00E44563" w:rsidRPr="00126769">
        <w:rPr>
          <w:rFonts w:cs="David" w:hint="cs"/>
          <w:b/>
          <w:bCs/>
          <w:sz w:val="24"/>
          <w:szCs w:val="24"/>
          <w:rtl/>
        </w:rPr>
        <w:t>על העוני בקרב משקי בית עם מפרנסים</w:t>
      </w:r>
      <w:r>
        <w:rPr>
          <w:rFonts w:cs="David" w:hint="cs"/>
          <w:b/>
          <w:bCs/>
          <w:sz w:val="24"/>
          <w:szCs w:val="24"/>
          <w:rtl/>
        </w:rPr>
        <w:br/>
      </w:r>
    </w:p>
    <w:tbl>
      <w:tblPr>
        <w:bidiVisual/>
        <w:tblW w:w="3315" w:type="pct"/>
        <w:jc w:val="center"/>
        <w:tblLayout w:type="fixed"/>
        <w:tblLook w:val="04A0" w:firstRow="1" w:lastRow="0" w:firstColumn="1" w:lastColumn="0" w:noHBand="0" w:noVBand="1"/>
      </w:tblPr>
      <w:tblGrid>
        <w:gridCol w:w="1895"/>
        <w:gridCol w:w="2055"/>
        <w:gridCol w:w="1700"/>
      </w:tblGrid>
      <w:tr w:rsidR="00E44563" w:rsidRPr="00F13C56" w:rsidTr="00FD4062">
        <w:trPr>
          <w:trHeight w:val="595"/>
          <w:jc w:val="center"/>
        </w:trPr>
        <w:tc>
          <w:tcPr>
            <w:tcW w:w="1677" w:type="pct"/>
            <w:vMerge w:val="restart"/>
            <w:tcBorders>
              <w:top w:val="single" w:sz="12" w:space="0" w:color="auto"/>
              <w:left w:val="single" w:sz="12" w:space="0" w:color="auto"/>
              <w:bottom w:val="single" w:sz="4" w:space="0" w:color="000000"/>
              <w:right w:val="single" w:sz="4" w:space="0" w:color="auto"/>
            </w:tcBorders>
            <w:shd w:val="clear" w:color="000000" w:fill="FFFFFF"/>
            <w:vAlign w:val="center"/>
            <w:hideMark/>
          </w:tcPr>
          <w:p w:rsidR="00E44563" w:rsidRPr="00FD4062" w:rsidRDefault="00E44563" w:rsidP="00FD4062">
            <w:pPr>
              <w:bidi/>
              <w:jc w:val="center"/>
              <w:rPr>
                <w:rFonts w:ascii="Arial" w:hAnsi="Arial" w:cs="David"/>
                <w:b/>
                <w:bCs/>
                <w:color w:val="000000"/>
                <w:sz w:val="24"/>
                <w:szCs w:val="24"/>
              </w:rPr>
            </w:pPr>
            <w:r w:rsidRPr="00FD4062">
              <w:rPr>
                <w:rFonts w:ascii="Arial" w:hAnsi="Arial" w:cs="David" w:hint="cs"/>
                <w:b/>
                <w:bCs/>
                <w:color w:val="000000"/>
                <w:sz w:val="24"/>
                <w:szCs w:val="24"/>
                <w:rtl/>
              </w:rPr>
              <w:t>קבוצות אוכלוסייה</w:t>
            </w:r>
          </w:p>
        </w:tc>
        <w:tc>
          <w:tcPr>
            <w:tcW w:w="1819" w:type="pct"/>
            <w:vMerge w:val="restart"/>
            <w:tcBorders>
              <w:top w:val="single" w:sz="12" w:space="0" w:color="auto"/>
              <w:left w:val="single" w:sz="4" w:space="0" w:color="auto"/>
              <w:bottom w:val="single" w:sz="4" w:space="0" w:color="auto"/>
              <w:right w:val="single" w:sz="4" w:space="0" w:color="auto"/>
            </w:tcBorders>
            <w:shd w:val="clear" w:color="000000" w:fill="FFFFFF"/>
            <w:vAlign w:val="center"/>
            <w:hideMark/>
          </w:tcPr>
          <w:p w:rsidR="00E44563" w:rsidRPr="00FD4062" w:rsidRDefault="00E44563" w:rsidP="00FD4062">
            <w:pPr>
              <w:bidi/>
              <w:jc w:val="center"/>
              <w:rPr>
                <w:rFonts w:ascii="Arial" w:hAnsi="Arial" w:cs="David"/>
                <w:b/>
                <w:bCs/>
                <w:color w:val="000000"/>
                <w:sz w:val="24"/>
                <w:szCs w:val="24"/>
              </w:rPr>
            </w:pPr>
            <w:r w:rsidRPr="00FD4062">
              <w:rPr>
                <w:rFonts w:ascii="Arial" w:hAnsi="Arial" w:cs="David" w:hint="cs"/>
                <w:b/>
                <w:bCs/>
                <w:color w:val="000000"/>
                <w:sz w:val="24"/>
                <w:szCs w:val="24"/>
                <w:rtl/>
              </w:rPr>
              <w:t>השפעת ההצעה על תחולת העוני (בנקודות אחוז)</w:t>
            </w:r>
          </w:p>
        </w:tc>
        <w:tc>
          <w:tcPr>
            <w:tcW w:w="1504" w:type="pct"/>
            <w:vMerge w:val="restart"/>
            <w:tcBorders>
              <w:top w:val="single" w:sz="12" w:space="0" w:color="auto"/>
              <w:left w:val="single" w:sz="4" w:space="0" w:color="auto"/>
              <w:right w:val="single" w:sz="12" w:space="0" w:color="auto"/>
            </w:tcBorders>
            <w:vAlign w:val="center"/>
          </w:tcPr>
          <w:p w:rsidR="00E44563" w:rsidRPr="00FD4062" w:rsidRDefault="00E44563" w:rsidP="00D976DB">
            <w:pPr>
              <w:bidi/>
              <w:jc w:val="center"/>
              <w:rPr>
                <w:rFonts w:ascii="Arial" w:hAnsi="Arial" w:cs="David"/>
                <w:b/>
                <w:bCs/>
                <w:color w:val="000000"/>
                <w:sz w:val="24"/>
                <w:szCs w:val="24"/>
                <w:rtl/>
              </w:rPr>
            </w:pPr>
            <w:r w:rsidRPr="00FD4062">
              <w:rPr>
                <w:rFonts w:ascii="Arial" w:hAnsi="Arial" w:cs="David" w:hint="cs"/>
                <w:b/>
                <w:bCs/>
                <w:color w:val="000000"/>
                <w:sz w:val="24"/>
                <w:szCs w:val="24"/>
                <w:rtl/>
              </w:rPr>
              <w:t>משפחות עם עובדים</w:t>
            </w:r>
            <w:bookmarkStart w:id="0" w:name="_GoBack"/>
            <w:bookmarkEnd w:id="0"/>
          </w:p>
        </w:tc>
      </w:tr>
      <w:tr w:rsidR="00E44563" w:rsidRPr="00F13C56" w:rsidTr="0087054B">
        <w:trPr>
          <w:trHeight w:val="276"/>
          <w:jc w:val="center"/>
        </w:trPr>
        <w:tc>
          <w:tcPr>
            <w:tcW w:w="1677" w:type="pct"/>
            <w:vMerge/>
            <w:tcBorders>
              <w:top w:val="single" w:sz="4" w:space="0" w:color="auto"/>
              <w:left w:val="single" w:sz="12" w:space="0" w:color="auto"/>
              <w:bottom w:val="single" w:sz="4" w:space="0" w:color="000000"/>
              <w:right w:val="single" w:sz="4" w:space="0" w:color="auto"/>
            </w:tcBorders>
            <w:vAlign w:val="center"/>
            <w:hideMark/>
          </w:tcPr>
          <w:p w:rsidR="00E44563" w:rsidRPr="00D65D99" w:rsidRDefault="00E44563" w:rsidP="0087054B">
            <w:pPr>
              <w:jc w:val="center"/>
              <w:rPr>
                <w:rFonts w:ascii="Arial" w:hAnsi="Arial" w:cs="David"/>
                <w:color w:val="000000"/>
                <w:sz w:val="24"/>
                <w:szCs w:val="24"/>
              </w:rPr>
            </w:pPr>
          </w:p>
        </w:tc>
        <w:tc>
          <w:tcPr>
            <w:tcW w:w="1819" w:type="pct"/>
            <w:vMerge/>
            <w:tcBorders>
              <w:top w:val="single" w:sz="4" w:space="0" w:color="auto"/>
              <w:left w:val="single" w:sz="4" w:space="0" w:color="auto"/>
              <w:bottom w:val="single" w:sz="4" w:space="0" w:color="auto"/>
              <w:right w:val="single" w:sz="4" w:space="0" w:color="auto"/>
            </w:tcBorders>
            <w:vAlign w:val="center"/>
            <w:hideMark/>
          </w:tcPr>
          <w:p w:rsidR="00E44563" w:rsidRPr="00D65D99" w:rsidRDefault="00E44563" w:rsidP="0087054B">
            <w:pPr>
              <w:jc w:val="center"/>
              <w:rPr>
                <w:rFonts w:ascii="Arial" w:hAnsi="Arial" w:cs="David"/>
                <w:color w:val="000000"/>
                <w:sz w:val="24"/>
                <w:szCs w:val="24"/>
              </w:rPr>
            </w:pPr>
          </w:p>
        </w:tc>
        <w:tc>
          <w:tcPr>
            <w:tcW w:w="1504" w:type="pct"/>
            <w:vMerge/>
            <w:tcBorders>
              <w:left w:val="single" w:sz="4" w:space="0" w:color="auto"/>
              <w:bottom w:val="single" w:sz="4" w:space="0" w:color="auto"/>
              <w:right w:val="single" w:sz="12" w:space="0" w:color="auto"/>
            </w:tcBorders>
            <w:shd w:val="clear" w:color="000000" w:fill="FFFFFF"/>
          </w:tcPr>
          <w:p w:rsidR="00E44563" w:rsidRPr="00D65D99" w:rsidRDefault="00E44563" w:rsidP="0087054B">
            <w:pPr>
              <w:jc w:val="center"/>
              <w:rPr>
                <w:rFonts w:ascii="Arial" w:hAnsi="Arial" w:cs="David"/>
                <w:color w:val="000000"/>
                <w:sz w:val="24"/>
                <w:szCs w:val="24"/>
                <w:rtl/>
              </w:rPr>
            </w:pPr>
          </w:p>
        </w:tc>
      </w:tr>
      <w:tr w:rsidR="00E44563" w:rsidRPr="00F13C56" w:rsidTr="00FD4062">
        <w:trPr>
          <w:trHeight w:val="454"/>
          <w:jc w:val="center"/>
        </w:trPr>
        <w:tc>
          <w:tcPr>
            <w:tcW w:w="1677" w:type="pct"/>
            <w:tcBorders>
              <w:top w:val="nil"/>
              <w:left w:val="single" w:sz="12" w:space="0" w:color="auto"/>
              <w:bottom w:val="single" w:sz="4" w:space="0" w:color="auto"/>
              <w:right w:val="single" w:sz="4" w:space="0" w:color="auto"/>
            </w:tcBorders>
            <w:shd w:val="clear" w:color="000000" w:fill="FFFFFF"/>
            <w:noWrap/>
            <w:vAlign w:val="bottom"/>
            <w:hideMark/>
          </w:tcPr>
          <w:p w:rsidR="00E44563" w:rsidRPr="00D65D99" w:rsidRDefault="00E44563" w:rsidP="00FD4062">
            <w:pPr>
              <w:bidi/>
              <w:rPr>
                <w:rFonts w:ascii="Arial" w:hAnsi="Arial" w:cs="David"/>
                <w:color w:val="000000"/>
                <w:sz w:val="24"/>
                <w:szCs w:val="24"/>
              </w:rPr>
            </w:pPr>
            <w:r w:rsidRPr="00D65D99">
              <w:rPr>
                <w:rFonts w:ascii="Arial" w:hAnsi="Arial" w:cs="David" w:hint="cs"/>
                <w:color w:val="000000"/>
                <w:sz w:val="24"/>
                <w:szCs w:val="24"/>
                <w:rtl/>
              </w:rPr>
              <w:t>סה"כ משקי בית עם מפרנסים</w:t>
            </w:r>
          </w:p>
        </w:tc>
        <w:tc>
          <w:tcPr>
            <w:tcW w:w="1819" w:type="pct"/>
            <w:tcBorders>
              <w:top w:val="nil"/>
              <w:left w:val="single" w:sz="4" w:space="0" w:color="auto"/>
              <w:bottom w:val="single" w:sz="4" w:space="0" w:color="auto"/>
              <w:right w:val="single" w:sz="4" w:space="0" w:color="auto"/>
            </w:tcBorders>
            <w:shd w:val="clear" w:color="000000" w:fill="FFFFFF"/>
            <w:noWrap/>
            <w:vAlign w:val="center"/>
            <w:hideMark/>
          </w:tcPr>
          <w:p w:rsidR="00E44563" w:rsidRPr="00FD4062" w:rsidRDefault="00E44563" w:rsidP="0087054B">
            <w:pPr>
              <w:jc w:val="center"/>
              <w:rPr>
                <w:rFonts w:asciiTheme="minorBidi" w:hAnsiTheme="minorBidi" w:cs="David"/>
              </w:rPr>
            </w:pPr>
            <w:r w:rsidRPr="00FD4062">
              <w:rPr>
                <w:rFonts w:asciiTheme="minorBidi" w:hAnsiTheme="minorBidi" w:cs="David"/>
              </w:rPr>
              <w:t>-0.28</w:t>
            </w:r>
          </w:p>
        </w:tc>
        <w:tc>
          <w:tcPr>
            <w:tcW w:w="1504" w:type="pct"/>
            <w:tcBorders>
              <w:top w:val="nil"/>
              <w:left w:val="single" w:sz="4" w:space="0" w:color="auto"/>
              <w:bottom w:val="single" w:sz="4" w:space="0" w:color="auto"/>
              <w:right w:val="single" w:sz="12" w:space="0" w:color="auto"/>
            </w:tcBorders>
            <w:shd w:val="clear" w:color="000000" w:fill="FFFFFF"/>
            <w:vAlign w:val="center"/>
          </w:tcPr>
          <w:p w:rsidR="00E44563" w:rsidRPr="00FD4062" w:rsidRDefault="00E44563" w:rsidP="0087054B">
            <w:pPr>
              <w:jc w:val="center"/>
              <w:rPr>
                <w:rFonts w:asciiTheme="minorBidi" w:hAnsiTheme="minorBidi" w:cs="David"/>
                <w:color w:val="000000"/>
              </w:rPr>
            </w:pPr>
            <w:r w:rsidRPr="00FD4062">
              <w:rPr>
                <w:rFonts w:asciiTheme="minorBidi" w:hAnsiTheme="minorBidi" w:cs="David"/>
                <w:color w:val="000000"/>
              </w:rPr>
              <w:t>-4,700</w:t>
            </w:r>
          </w:p>
        </w:tc>
      </w:tr>
      <w:tr w:rsidR="00E44563" w:rsidRPr="00F13C56" w:rsidTr="00FD4062">
        <w:trPr>
          <w:trHeight w:val="454"/>
          <w:jc w:val="center"/>
        </w:trPr>
        <w:tc>
          <w:tcPr>
            <w:tcW w:w="1677" w:type="pct"/>
            <w:tcBorders>
              <w:top w:val="nil"/>
              <w:left w:val="single" w:sz="12" w:space="0" w:color="auto"/>
              <w:bottom w:val="single" w:sz="4" w:space="0" w:color="auto"/>
              <w:right w:val="single" w:sz="4" w:space="0" w:color="auto"/>
            </w:tcBorders>
            <w:shd w:val="clear" w:color="000000" w:fill="FFFFFF"/>
            <w:noWrap/>
            <w:vAlign w:val="bottom"/>
            <w:hideMark/>
          </w:tcPr>
          <w:p w:rsidR="00E44563" w:rsidRPr="00D65D99" w:rsidRDefault="00E44563" w:rsidP="00FD4062">
            <w:pPr>
              <w:bidi/>
              <w:rPr>
                <w:rFonts w:ascii="Arial" w:hAnsi="Arial" w:cs="David"/>
                <w:color w:val="000000"/>
                <w:sz w:val="24"/>
                <w:szCs w:val="24"/>
              </w:rPr>
            </w:pPr>
            <w:r w:rsidRPr="00D65D99">
              <w:rPr>
                <w:rFonts w:ascii="Arial" w:hAnsi="Arial" w:cs="David" w:hint="cs"/>
                <w:color w:val="000000"/>
                <w:sz w:val="24"/>
                <w:szCs w:val="24"/>
                <w:rtl/>
              </w:rPr>
              <w:t>מפרנס אחד</w:t>
            </w:r>
          </w:p>
        </w:tc>
        <w:tc>
          <w:tcPr>
            <w:tcW w:w="1819" w:type="pct"/>
            <w:tcBorders>
              <w:top w:val="nil"/>
              <w:left w:val="single" w:sz="4" w:space="0" w:color="auto"/>
              <w:bottom w:val="single" w:sz="4" w:space="0" w:color="auto"/>
              <w:right w:val="single" w:sz="4" w:space="0" w:color="auto"/>
            </w:tcBorders>
            <w:shd w:val="clear" w:color="000000" w:fill="FFFFFF"/>
            <w:noWrap/>
            <w:vAlign w:val="center"/>
            <w:hideMark/>
          </w:tcPr>
          <w:p w:rsidR="00E44563" w:rsidRPr="00FD4062" w:rsidRDefault="00E44563" w:rsidP="0087054B">
            <w:pPr>
              <w:jc w:val="center"/>
              <w:rPr>
                <w:rFonts w:asciiTheme="minorBidi" w:hAnsiTheme="minorBidi" w:cs="David"/>
                <w:color w:val="000000"/>
              </w:rPr>
            </w:pPr>
            <w:r w:rsidRPr="00FD4062">
              <w:rPr>
                <w:rFonts w:asciiTheme="minorBidi" w:hAnsiTheme="minorBidi" w:cs="David"/>
                <w:color w:val="000000"/>
              </w:rPr>
              <w:t>-0.30</w:t>
            </w:r>
          </w:p>
        </w:tc>
        <w:tc>
          <w:tcPr>
            <w:tcW w:w="1504" w:type="pct"/>
            <w:tcBorders>
              <w:top w:val="nil"/>
              <w:left w:val="single" w:sz="4" w:space="0" w:color="auto"/>
              <w:bottom w:val="single" w:sz="4" w:space="0" w:color="auto"/>
              <w:right w:val="single" w:sz="12" w:space="0" w:color="auto"/>
            </w:tcBorders>
            <w:shd w:val="clear" w:color="000000" w:fill="FFFFFF"/>
            <w:vAlign w:val="center"/>
          </w:tcPr>
          <w:p w:rsidR="00E44563" w:rsidRPr="00FD4062" w:rsidRDefault="00E44563" w:rsidP="0087054B">
            <w:pPr>
              <w:jc w:val="center"/>
              <w:rPr>
                <w:rFonts w:asciiTheme="minorBidi" w:hAnsiTheme="minorBidi" w:cs="David"/>
                <w:color w:val="000000"/>
              </w:rPr>
            </w:pPr>
            <w:r w:rsidRPr="00FD4062">
              <w:rPr>
                <w:rFonts w:asciiTheme="minorBidi" w:hAnsiTheme="minorBidi" w:cs="David"/>
                <w:color w:val="000000"/>
              </w:rPr>
              <w:t>-2,200</w:t>
            </w:r>
          </w:p>
        </w:tc>
      </w:tr>
      <w:tr w:rsidR="00E44563" w:rsidRPr="00F13C56" w:rsidTr="00FD4062">
        <w:trPr>
          <w:trHeight w:val="454"/>
          <w:jc w:val="center"/>
        </w:trPr>
        <w:tc>
          <w:tcPr>
            <w:tcW w:w="1677" w:type="pct"/>
            <w:tcBorders>
              <w:top w:val="nil"/>
              <w:left w:val="single" w:sz="12" w:space="0" w:color="auto"/>
              <w:bottom w:val="single" w:sz="12" w:space="0" w:color="auto"/>
              <w:right w:val="single" w:sz="4" w:space="0" w:color="auto"/>
            </w:tcBorders>
            <w:shd w:val="clear" w:color="000000" w:fill="FFFFFF"/>
            <w:noWrap/>
            <w:vAlign w:val="bottom"/>
            <w:hideMark/>
          </w:tcPr>
          <w:p w:rsidR="00E44563" w:rsidRPr="00D65D99" w:rsidRDefault="00E44563" w:rsidP="00FD4062">
            <w:pPr>
              <w:bidi/>
              <w:rPr>
                <w:rFonts w:ascii="Arial" w:hAnsi="Arial" w:cs="David"/>
                <w:color w:val="000000"/>
                <w:sz w:val="24"/>
                <w:szCs w:val="24"/>
              </w:rPr>
            </w:pPr>
            <w:r w:rsidRPr="00D65D99">
              <w:rPr>
                <w:rFonts w:ascii="Arial" w:hAnsi="Arial" w:cs="David" w:hint="cs"/>
                <w:color w:val="000000"/>
                <w:sz w:val="24"/>
                <w:szCs w:val="24"/>
                <w:rtl/>
              </w:rPr>
              <w:t>שני מפרנסים ויותר</w:t>
            </w:r>
          </w:p>
        </w:tc>
        <w:tc>
          <w:tcPr>
            <w:tcW w:w="1819" w:type="pct"/>
            <w:tcBorders>
              <w:top w:val="nil"/>
              <w:left w:val="single" w:sz="4" w:space="0" w:color="auto"/>
              <w:bottom w:val="single" w:sz="12" w:space="0" w:color="auto"/>
              <w:right w:val="single" w:sz="4" w:space="0" w:color="auto"/>
            </w:tcBorders>
            <w:shd w:val="clear" w:color="000000" w:fill="FFFFFF"/>
            <w:noWrap/>
            <w:vAlign w:val="center"/>
            <w:hideMark/>
          </w:tcPr>
          <w:p w:rsidR="00E44563" w:rsidRPr="00FD4062" w:rsidRDefault="00E44563" w:rsidP="0087054B">
            <w:pPr>
              <w:jc w:val="center"/>
              <w:rPr>
                <w:rFonts w:asciiTheme="minorBidi" w:hAnsiTheme="minorBidi" w:cs="David"/>
                <w:color w:val="000000"/>
              </w:rPr>
            </w:pPr>
            <w:r w:rsidRPr="00FD4062">
              <w:rPr>
                <w:rFonts w:asciiTheme="minorBidi" w:hAnsiTheme="minorBidi" w:cs="David"/>
                <w:color w:val="000000"/>
              </w:rPr>
              <w:t>-0.26</w:t>
            </w:r>
          </w:p>
        </w:tc>
        <w:tc>
          <w:tcPr>
            <w:tcW w:w="1504" w:type="pct"/>
            <w:tcBorders>
              <w:top w:val="nil"/>
              <w:left w:val="single" w:sz="4" w:space="0" w:color="auto"/>
              <w:bottom w:val="single" w:sz="12" w:space="0" w:color="auto"/>
              <w:right w:val="single" w:sz="12" w:space="0" w:color="auto"/>
            </w:tcBorders>
            <w:shd w:val="clear" w:color="000000" w:fill="FFFFFF"/>
            <w:vAlign w:val="center"/>
          </w:tcPr>
          <w:p w:rsidR="00E44563" w:rsidRPr="00FD4062" w:rsidRDefault="00E44563" w:rsidP="0087054B">
            <w:pPr>
              <w:jc w:val="center"/>
              <w:rPr>
                <w:rFonts w:asciiTheme="minorBidi" w:hAnsiTheme="minorBidi" w:cs="David"/>
                <w:color w:val="000000"/>
              </w:rPr>
            </w:pPr>
            <w:r w:rsidRPr="00FD4062">
              <w:rPr>
                <w:rFonts w:asciiTheme="minorBidi" w:hAnsiTheme="minorBidi" w:cs="David"/>
                <w:color w:val="000000"/>
              </w:rPr>
              <w:t>-2,500</w:t>
            </w:r>
          </w:p>
        </w:tc>
      </w:tr>
    </w:tbl>
    <w:p w:rsidR="00C04A6B" w:rsidRPr="007E18EE" w:rsidRDefault="00C04A6B" w:rsidP="00C04A6B">
      <w:pPr>
        <w:bidi/>
        <w:spacing w:line="360" w:lineRule="auto"/>
        <w:ind w:right="-101"/>
        <w:rPr>
          <w:rFonts w:cs="David"/>
          <w:sz w:val="24"/>
          <w:szCs w:val="24"/>
        </w:rPr>
      </w:pPr>
    </w:p>
    <w:sectPr w:rsidR="00C04A6B" w:rsidRPr="007E18EE" w:rsidSect="00FD4062">
      <w:footerReference w:type="default" r:id="rId11"/>
      <w:pgSz w:w="11906" w:h="16838"/>
      <w:pgMar w:top="1440" w:right="1800" w:bottom="1440" w:left="1800" w:header="708" w:footer="22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0000000000000000000"/>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001085329"/>
      <w:docPartObj>
        <w:docPartGallery w:val="Page Numbers (Bottom of Page)"/>
        <w:docPartUnique/>
      </w:docPartObj>
    </w:sdtPr>
    <w:sdtEndPr>
      <w:rPr>
        <w:cs/>
      </w:rPr>
    </w:sdtEndPr>
    <w:sdtContent>
      <w:sdt>
        <w:sdtPr>
          <w:rPr>
            <w:rFonts w:cs="David"/>
            <w:rtl/>
          </w:rPr>
          <w:id w:val="98381352"/>
          <w:docPartObj>
            <w:docPartGallery w:val="Page Numbers (Top of Page)"/>
            <w:docPartUnique/>
          </w:docPartObj>
        </w:sdtPr>
        <w:sdtEndPr/>
        <w:sdtContent>
          <w:p w:rsidR="002438E2" w:rsidRPr="002438E2" w:rsidRDefault="008B5665" w:rsidP="00FD4062">
            <w:pPr>
              <w:bidi/>
              <w:spacing w:line="360" w:lineRule="auto"/>
              <w:rPr>
                <w:rFonts w:cs="David"/>
                <w:rtl/>
                <w:cs/>
              </w:rPr>
            </w:pPr>
            <w:r>
              <w:rPr>
                <w:rFonts w:cs="David" w:hint="cs"/>
                <w:rtl/>
              </w:rPr>
              <w:t xml:space="preserve">בנק ישראל - </w:t>
            </w:r>
            <w:r w:rsidR="00FD4062" w:rsidRPr="00FD4062">
              <w:rPr>
                <w:rFonts w:cs="David" w:hint="cs"/>
                <w:rtl/>
              </w:rPr>
              <w:t>תשלום מענק העבודה</w:t>
            </w:r>
            <w:r w:rsidR="00FD4062" w:rsidRPr="00FD4062">
              <w:rPr>
                <w:rtl/>
              </w:rPr>
              <w:footnoteRef/>
            </w:r>
            <w:r w:rsidR="00FD4062" w:rsidRPr="00FD4062">
              <w:rPr>
                <w:rFonts w:cs="David" w:hint="cs"/>
                <w:rtl/>
              </w:rPr>
              <w:t xml:space="preserve"> ב-2012: השנה הראשונה לפריסתו הארצית</w:t>
            </w:r>
            <w:r w:rsidR="002438E2">
              <w:rPr>
                <w:rFonts w:cs="David" w:hint="cs"/>
                <w:rtl/>
                <w:cs/>
                <w:lang w:val="he-IL"/>
              </w:rPr>
              <w:tab/>
            </w:r>
            <w:r w:rsidR="002438E2">
              <w:rPr>
                <w:rFonts w:cs="David" w:hint="cs"/>
                <w:rtl/>
                <w:cs/>
                <w:lang w:val="he-IL"/>
              </w:rPr>
              <w:tab/>
            </w:r>
            <w:r w:rsidR="00FD4062">
              <w:rPr>
                <w:rFonts w:cs="David" w:hint="cs"/>
                <w:rtl/>
                <w:cs/>
                <w:lang w:val="he-IL"/>
              </w:rPr>
              <w:tab/>
            </w:r>
            <w:r w:rsidR="002438E2" w:rsidRPr="002438E2">
              <w:rPr>
                <w:rFonts w:cs="David"/>
                <w:rtl/>
                <w:cs/>
                <w:lang w:val="he-IL"/>
              </w:rPr>
              <w:t xml:space="preserve">עמוד </w:t>
            </w:r>
            <w:r w:rsidR="002438E2" w:rsidRPr="002438E2">
              <w:rPr>
                <w:rFonts w:cs="David"/>
                <w:b/>
                <w:bCs/>
              </w:rPr>
              <w:fldChar w:fldCharType="begin"/>
            </w:r>
            <w:r w:rsidR="002438E2" w:rsidRPr="002438E2">
              <w:rPr>
                <w:rFonts w:cs="David"/>
                <w:b/>
                <w:bCs/>
                <w:rtl/>
                <w:cs/>
              </w:rPr>
              <w:instrText>PAGE</w:instrText>
            </w:r>
            <w:r w:rsidR="002438E2" w:rsidRPr="002438E2">
              <w:rPr>
                <w:rFonts w:cs="David"/>
                <w:b/>
                <w:bCs/>
              </w:rPr>
              <w:fldChar w:fldCharType="separate"/>
            </w:r>
            <w:r w:rsidR="00D976DB">
              <w:rPr>
                <w:rFonts w:cs="David"/>
                <w:b/>
                <w:bCs/>
                <w:noProof/>
                <w:rtl/>
              </w:rPr>
              <w:t>3</w:t>
            </w:r>
            <w:r w:rsidR="002438E2" w:rsidRPr="002438E2">
              <w:rPr>
                <w:rFonts w:cs="David"/>
                <w:b/>
                <w:bCs/>
              </w:rPr>
              <w:fldChar w:fldCharType="end"/>
            </w:r>
            <w:r w:rsidR="002438E2" w:rsidRPr="002438E2">
              <w:rPr>
                <w:rFonts w:cs="David"/>
                <w:rtl/>
                <w:cs/>
                <w:lang w:val="he-IL"/>
              </w:rPr>
              <w:t xml:space="preserve"> מתוך </w:t>
            </w:r>
            <w:r w:rsidR="002438E2" w:rsidRPr="002438E2">
              <w:rPr>
                <w:rFonts w:cs="David"/>
                <w:b/>
                <w:bCs/>
              </w:rPr>
              <w:fldChar w:fldCharType="begin"/>
            </w:r>
            <w:r w:rsidR="002438E2" w:rsidRPr="002438E2">
              <w:rPr>
                <w:rFonts w:cs="David"/>
                <w:b/>
                <w:bCs/>
                <w:rtl/>
                <w:cs/>
              </w:rPr>
              <w:instrText>NUMPAGES</w:instrText>
            </w:r>
            <w:r w:rsidR="002438E2" w:rsidRPr="002438E2">
              <w:rPr>
                <w:rFonts w:cs="David"/>
                <w:b/>
                <w:bCs/>
              </w:rPr>
              <w:fldChar w:fldCharType="separate"/>
            </w:r>
            <w:r w:rsidR="00D976DB">
              <w:rPr>
                <w:rFonts w:cs="David"/>
                <w:b/>
                <w:bCs/>
                <w:noProof/>
                <w:rtl/>
              </w:rPr>
              <w:t>3</w:t>
            </w:r>
            <w:r w:rsidR="002438E2" w:rsidRPr="002438E2">
              <w:rPr>
                <w:rFonts w:cs="David"/>
                <w:b/>
                <w:bCs/>
              </w:rPr>
              <w:fldChar w:fldCharType="end"/>
            </w:r>
          </w:p>
        </w:sdtContent>
      </w:sdt>
    </w:sdtContent>
  </w:sdt>
  <w:p w:rsidR="00C04A6B" w:rsidRDefault="00C04A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 w:id="1">
    <w:p w:rsidR="00E44563" w:rsidRPr="00E6287E" w:rsidRDefault="00E44563" w:rsidP="00E44563">
      <w:pPr>
        <w:pStyle w:val="a9"/>
        <w:jc w:val="both"/>
        <w:rPr>
          <w:rFonts w:cs="David"/>
          <w:sz w:val="22"/>
          <w:szCs w:val="22"/>
          <w:rtl/>
        </w:rPr>
      </w:pPr>
      <w:r>
        <w:rPr>
          <w:rStyle w:val="ab"/>
        </w:rPr>
        <w:footnoteRef/>
      </w:r>
      <w:r>
        <w:rPr>
          <w:rtl/>
        </w:rPr>
        <w:t xml:space="preserve"> </w:t>
      </w:r>
      <w:r w:rsidRPr="00FD4062">
        <w:rPr>
          <w:rFonts w:cs="David" w:hint="cs"/>
          <w:rtl/>
        </w:rPr>
        <w:t xml:space="preserve">המענק הידוע כ"מס הכנסה שלילי"/"מענק הכנסה", שמשולם מכוח חוק להגדלת שיעור ההשתתפות בכוח העבודה ולצמצום פערים חברתיים, </w:t>
      </w:r>
      <w:proofErr w:type="spellStart"/>
      <w:r w:rsidRPr="00FD4062">
        <w:rPr>
          <w:rFonts w:cs="David" w:hint="cs"/>
          <w:rtl/>
        </w:rPr>
        <w:t>התשס"ח</w:t>
      </w:r>
      <w:proofErr w:type="spellEnd"/>
      <w:r w:rsidRPr="00FD4062">
        <w:rPr>
          <w:rFonts w:cs="David" w:hint="cs"/>
          <w:rtl/>
        </w:rPr>
        <w:t xml:space="preserve">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214BE"/>
    <w:multiLevelType w:val="hybridMultilevel"/>
    <w:tmpl w:val="F6221766"/>
    <w:lvl w:ilvl="0" w:tplc="04090009">
      <w:start w:val="1"/>
      <w:numFmt w:val="bullet"/>
      <w:lvlText w:val=""/>
      <w:lvlJc w:val="left"/>
      <w:pPr>
        <w:ind w:left="4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115A82"/>
    <w:rsid w:val="00177686"/>
    <w:rsid w:val="00180E8A"/>
    <w:rsid w:val="001D7646"/>
    <w:rsid w:val="001E5A00"/>
    <w:rsid w:val="002438E2"/>
    <w:rsid w:val="002B3FB0"/>
    <w:rsid w:val="003537B9"/>
    <w:rsid w:val="003901E0"/>
    <w:rsid w:val="003D1011"/>
    <w:rsid w:val="00420F93"/>
    <w:rsid w:val="0044713E"/>
    <w:rsid w:val="004625EB"/>
    <w:rsid w:val="004B5D8D"/>
    <w:rsid w:val="004F06E0"/>
    <w:rsid w:val="00502068"/>
    <w:rsid w:val="00574B0A"/>
    <w:rsid w:val="00614095"/>
    <w:rsid w:val="006C01FB"/>
    <w:rsid w:val="00762D5A"/>
    <w:rsid w:val="007E18EE"/>
    <w:rsid w:val="00826810"/>
    <w:rsid w:val="00837763"/>
    <w:rsid w:val="00852D44"/>
    <w:rsid w:val="0086330B"/>
    <w:rsid w:val="00881EF7"/>
    <w:rsid w:val="008B55E9"/>
    <w:rsid w:val="008B5665"/>
    <w:rsid w:val="00961EFC"/>
    <w:rsid w:val="009818C2"/>
    <w:rsid w:val="009C16BD"/>
    <w:rsid w:val="00A57161"/>
    <w:rsid w:val="00AA51B0"/>
    <w:rsid w:val="00AA7ED7"/>
    <w:rsid w:val="00AB409F"/>
    <w:rsid w:val="00AD759C"/>
    <w:rsid w:val="00AE591E"/>
    <w:rsid w:val="00B058F3"/>
    <w:rsid w:val="00B2503D"/>
    <w:rsid w:val="00B84BD7"/>
    <w:rsid w:val="00BE235C"/>
    <w:rsid w:val="00BE49A2"/>
    <w:rsid w:val="00C04A6B"/>
    <w:rsid w:val="00C25C1C"/>
    <w:rsid w:val="00C45C9C"/>
    <w:rsid w:val="00C656C3"/>
    <w:rsid w:val="00C84B20"/>
    <w:rsid w:val="00CB1B2B"/>
    <w:rsid w:val="00D3721C"/>
    <w:rsid w:val="00D87DC1"/>
    <w:rsid w:val="00D976DB"/>
    <w:rsid w:val="00DD5923"/>
    <w:rsid w:val="00E04CF1"/>
    <w:rsid w:val="00E44563"/>
    <w:rsid w:val="00E85E11"/>
    <w:rsid w:val="00ED153D"/>
    <w:rsid w:val="00F75061"/>
    <w:rsid w:val="00F96916"/>
    <w:rsid w:val="00FD4062"/>
    <w:rsid w:val="00FD4DC2"/>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footnote text"/>
    <w:basedOn w:val="a"/>
    <w:link w:val="aa"/>
    <w:semiHidden/>
    <w:unhideWhenUsed/>
    <w:rsid w:val="00E44563"/>
    <w:pPr>
      <w:bidi/>
    </w:pPr>
    <w:rPr>
      <w:rFonts w:asciiTheme="minorHAnsi" w:eastAsiaTheme="minorHAnsi" w:hAnsiTheme="minorHAnsi" w:cstheme="minorBidi"/>
      <w:lang w:eastAsia="en-US"/>
    </w:rPr>
  </w:style>
  <w:style w:type="character" w:customStyle="1" w:styleId="aa">
    <w:name w:val="טקסט הערת שוליים תו"/>
    <w:basedOn w:val="a0"/>
    <w:link w:val="a9"/>
    <w:semiHidden/>
    <w:rsid w:val="00E44563"/>
    <w:rPr>
      <w:sz w:val="20"/>
      <w:szCs w:val="20"/>
    </w:rPr>
  </w:style>
  <w:style w:type="character" w:styleId="ab">
    <w:name w:val="footnote reference"/>
    <w:basedOn w:val="a0"/>
    <w:semiHidden/>
    <w:unhideWhenUsed/>
    <w:rsid w:val="00E44563"/>
    <w:rPr>
      <w:vertAlign w:val="superscript"/>
    </w:rPr>
  </w:style>
  <w:style w:type="paragraph" w:styleId="ac">
    <w:name w:val="List Paragraph"/>
    <w:basedOn w:val="a"/>
    <w:uiPriority w:val="34"/>
    <w:qFormat/>
    <w:rsid w:val="00E44563"/>
    <w:pPr>
      <w:bidi/>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footnote text"/>
    <w:basedOn w:val="a"/>
    <w:link w:val="aa"/>
    <w:semiHidden/>
    <w:unhideWhenUsed/>
    <w:rsid w:val="00E44563"/>
    <w:pPr>
      <w:bidi/>
    </w:pPr>
    <w:rPr>
      <w:rFonts w:asciiTheme="minorHAnsi" w:eastAsiaTheme="minorHAnsi" w:hAnsiTheme="minorHAnsi" w:cstheme="minorBidi"/>
      <w:lang w:eastAsia="en-US"/>
    </w:rPr>
  </w:style>
  <w:style w:type="character" w:customStyle="1" w:styleId="aa">
    <w:name w:val="טקסט הערת שוליים תו"/>
    <w:basedOn w:val="a0"/>
    <w:link w:val="a9"/>
    <w:semiHidden/>
    <w:rsid w:val="00E44563"/>
    <w:rPr>
      <w:sz w:val="20"/>
      <w:szCs w:val="20"/>
    </w:rPr>
  </w:style>
  <w:style w:type="character" w:styleId="ab">
    <w:name w:val="footnote reference"/>
    <w:basedOn w:val="a0"/>
    <w:semiHidden/>
    <w:unhideWhenUsed/>
    <w:rsid w:val="00E44563"/>
    <w:rPr>
      <w:vertAlign w:val="superscript"/>
    </w:rPr>
  </w:style>
  <w:style w:type="paragraph" w:styleId="ac">
    <w:name w:val="List Paragraph"/>
    <w:basedOn w:val="a"/>
    <w:uiPriority w:val="34"/>
    <w:qFormat/>
    <w:rsid w:val="00E44563"/>
    <w:pPr>
      <w:bidi/>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1" Type="http://schemas.openxmlformats.org/officeDocument/2006/relationships/oleObject" Target="file:///\\srnas\drive-h\u04e\negative_income_tax\teivot\teiva2013\&#1508;&#1512;&#1505;&#1493;&#1501;\&#1500;&#1493;&#1495;&#1493;&#1514;\&#1488;&#1497;&#1493;&#1512;&#1497;&#1501;%20-%20&#1514;&#1497;&#1489;&#1492;%20&#1502;&#1506;&#1504;&#1511;%20&#1506;&#1489;&#1493;&#1491;&#1492;%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4"/>
            <c:invertIfNegative val="0"/>
            <c:bubble3D val="0"/>
            <c:spPr>
              <a:pattFill prst="pct90">
                <a:fgClr>
                  <a:schemeClr val="accent1"/>
                </a:fgClr>
                <a:bgClr>
                  <a:schemeClr val="bg1"/>
                </a:bgClr>
              </a:pattFill>
            </c:spPr>
          </c:dPt>
          <c:dLbls>
            <c:showLegendKey val="0"/>
            <c:showVal val="1"/>
            <c:showCatName val="0"/>
            <c:showSerName val="0"/>
            <c:showPercent val="0"/>
            <c:showBubbleSize val="0"/>
            <c:showLeaderLines val="0"/>
          </c:dLbls>
          <c:cat>
            <c:strRef>
              <c:f>'איור 4'!$A$3:$A$9</c:f>
              <c:strCache>
                <c:ptCount val="7"/>
                <c:pt idx="0">
                  <c:v>חרדים</c:v>
                </c:pt>
                <c:pt idx="1">
                  <c:v>ערביי מזרח י-ם</c:v>
                </c:pt>
                <c:pt idx="2">
                  <c:v>ערבים (ללא מזרח י-ם)</c:v>
                </c:pt>
                <c:pt idx="3">
                  <c:v>נשים</c:v>
                </c:pt>
                <c:pt idx="4">
                  <c:v>כלל הזכאים</c:v>
                </c:pt>
                <c:pt idx="5">
                  <c:v>עולים משנות ה-90 ואילך</c:v>
                </c:pt>
                <c:pt idx="6">
                  <c:v>זכאיות ממשפחות חד-הוריות</c:v>
                </c:pt>
              </c:strCache>
            </c:strRef>
          </c:cat>
          <c:val>
            <c:numRef>
              <c:f>'איור 4'!$B$3:$B$9</c:f>
              <c:numCache>
                <c:formatCode>_ * #,##0_ ;_ * \-#,##0_ ;_ * "-"??_ ;_ @_ </c:formatCode>
                <c:ptCount val="7"/>
                <c:pt idx="0">
                  <c:v>3438.0338999999999</c:v>
                </c:pt>
                <c:pt idx="1">
                  <c:v>3244.5160999999998</c:v>
                </c:pt>
                <c:pt idx="2">
                  <c:v>3058.8346999999999</c:v>
                </c:pt>
                <c:pt idx="3">
                  <c:v>2963.2510000000002</c:v>
                </c:pt>
                <c:pt idx="4">
                  <c:v>2922.5520000000001</c:v>
                </c:pt>
                <c:pt idx="5">
                  <c:v>2781.9782</c:v>
                </c:pt>
                <c:pt idx="6">
                  <c:v>2739.9108999999999</c:v>
                </c:pt>
              </c:numCache>
            </c:numRef>
          </c:val>
        </c:ser>
        <c:dLbls>
          <c:showLegendKey val="0"/>
          <c:showVal val="0"/>
          <c:showCatName val="0"/>
          <c:showSerName val="0"/>
          <c:showPercent val="0"/>
          <c:showBubbleSize val="0"/>
        </c:dLbls>
        <c:gapWidth val="150"/>
        <c:axId val="102898304"/>
        <c:axId val="103002496"/>
      </c:barChart>
      <c:catAx>
        <c:axId val="102898304"/>
        <c:scaling>
          <c:orientation val="minMax"/>
        </c:scaling>
        <c:delete val="0"/>
        <c:axPos val="b"/>
        <c:majorTickMark val="out"/>
        <c:minorTickMark val="none"/>
        <c:tickLblPos val="nextTo"/>
        <c:txPr>
          <a:bodyPr/>
          <a:lstStyle/>
          <a:p>
            <a:pPr>
              <a:defRPr sz="1200">
                <a:latin typeface="David" panose="020E0502060401010101" pitchFamily="34" charset="-79"/>
                <a:cs typeface="David" panose="020E0502060401010101" pitchFamily="34" charset="-79"/>
              </a:defRPr>
            </a:pPr>
            <a:endParaRPr lang="he-IL"/>
          </a:p>
        </c:txPr>
        <c:crossAx val="103002496"/>
        <c:crosses val="autoZero"/>
        <c:auto val="1"/>
        <c:lblAlgn val="ctr"/>
        <c:lblOffset val="100"/>
        <c:noMultiLvlLbl val="0"/>
      </c:catAx>
      <c:valAx>
        <c:axId val="103002496"/>
        <c:scaling>
          <c:orientation val="minMax"/>
        </c:scaling>
        <c:delete val="0"/>
        <c:axPos val="l"/>
        <c:majorGridlines/>
        <c:numFmt formatCode="#,##0" sourceLinked="0"/>
        <c:majorTickMark val="out"/>
        <c:minorTickMark val="none"/>
        <c:tickLblPos val="nextTo"/>
        <c:crossAx val="1028983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080474CB-946D-46B7-A26B-DEF7349A0E55}"/>
</file>

<file path=customXml/itemProps2.xml><?xml version="1.0" encoding="utf-8"?>
<ds:datastoreItem xmlns:ds="http://schemas.openxmlformats.org/officeDocument/2006/customXml" ds:itemID="{A1C7B39A-D056-4CB0-9B95-D0FEDF812239}"/>
</file>

<file path=customXml/itemProps3.xml><?xml version="1.0" encoding="utf-8"?>
<ds:datastoreItem xmlns:ds="http://schemas.openxmlformats.org/officeDocument/2006/customXml" ds:itemID="{1C7344A9-5806-47B5-A79C-C310BB838C98}"/>
</file>

<file path=customXml/itemProps4.xml><?xml version="1.0" encoding="utf-8"?>
<ds:datastoreItem xmlns:ds="http://schemas.openxmlformats.org/officeDocument/2006/customXml" ds:itemID="{090E98B7-CF66-41DC-95B4-C8579175295B}"/>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3260</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2013-12-04T09:41:00Z</dcterms:created>
  <dcterms:modified xsi:type="dcterms:W3CDTF">2013-12-04T12:14:00Z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