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Pr="0054731E" w:rsidRDefault="00376976" w:rsidP="00F61641">
      <w:pPr>
        <w:pStyle w:val="regpar"/>
        <w:spacing w:line="300" w:lineRule="atLeast"/>
        <w:ind w:firstLine="0"/>
        <w:jc w:val="center"/>
        <w:rPr>
          <w:rFonts w:asciiTheme="minorHAnsi" w:hAnsiTheme="minorHAnsi" w:cstheme="minorHAnsi"/>
          <w:bCs/>
        </w:rPr>
      </w:pPr>
      <w:r w:rsidRPr="0054731E">
        <w:rPr>
          <w:rFonts w:asciiTheme="minorHAnsi" w:hAnsiTheme="minorHAnsi" w:cstheme="minorHAnsi"/>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54731E" w:rsidRDefault="00650B9A" w:rsidP="00F61641">
      <w:pPr>
        <w:pStyle w:val="regpar"/>
        <w:spacing w:line="300" w:lineRule="atLeast"/>
        <w:ind w:firstLine="0"/>
        <w:jc w:val="center"/>
        <w:rPr>
          <w:rFonts w:asciiTheme="minorHAnsi" w:hAnsiTheme="minorHAnsi" w:cstheme="minorHAnsi"/>
          <w:bCs/>
        </w:rPr>
      </w:pPr>
      <w:r w:rsidRPr="0054731E">
        <w:rPr>
          <w:rFonts w:asciiTheme="minorHAnsi" w:hAnsiTheme="minorHAnsi" w:cstheme="minorHAnsi"/>
          <w:bCs/>
        </w:rPr>
        <w:t>BANK OF ISRAEL</w:t>
      </w:r>
    </w:p>
    <w:p w14:paraId="7BDED074" w14:textId="1F140308" w:rsidR="00650B9A" w:rsidRPr="0054731E" w:rsidRDefault="00650B9A" w:rsidP="00F61641">
      <w:pPr>
        <w:pStyle w:val="regpar"/>
        <w:spacing w:line="300" w:lineRule="atLeast"/>
        <w:ind w:firstLine="0"/>
        <w:jc w:val="center"/>
        <w:rPr>
          <w:rFonts w:asciiTheme="minorHAnsi" w:hAnsiTheme="minorHAnsi" w:cstheme="minorHAnsi"/>
        </w:rPr>
      </w:pPr>
      <w:r w:rsidRPr="0054731E">
        <w:rPr>
          <w:rFonts w:asciiTheme="minorHAnsi" w:hAnsiTheme="minorHAnsi" w:cstheme="minorHAnsi"/>
        </w:rPr>
        <w:t xml:space="preserve">Office of the </w:t>
      </w:r>
      <w:r w:rsidR="0009048D" w:rsidRPr="0054731E">
        <w:rPr>
          <w:rFonts w:asciiTheme="minorHAnsi" w:hAnsiTheme="minorHAnsi" w:cstheme="minorHAnsi"/>
        </w:rPr>
        <w:t>Spokesperson and Economic Information</w:t>
      </w:r>
    </w:p>
    <w:p w14:paraId="5DC516B5" w14:textId="6D04FE8F" w:rsidR="0009048D" w:rsidRPr="0054731E" w:rsidRDefault="0009048D" w:rsidP="00F61641">
      <w:pPr>
        <w:pStyle w:val="regpar"/>
        <w:spacing w:line="300" w:lineRule="atLeast"/>
        <w:ind w:firstLine="0"/>
        <w:jc w:val="center"/>
        <w:rPr>
          <w:rFonts w:asciiTheme="minorHAnsi" w:hAnsiTheme="minorHAnsi" w:cstheme="minorHAnsi"/>
        </w:rPr>
      </w:pPr>
    </w:p>
    <w:p w14:paraId="73A6A7DC" w14:textId="3569AD15" w:rsidR="0009048D" w:rsidRPr="0054731E" w:rsidRDefault="0009048D" w:rsidP="00F61641">
      <w:pPr>
        <w:pStyle w:val="regpar"/>
        <w:spacing w:line="300" w:lineRule="atLeast"/>
        <w:ind w:firstLine="0"/>
        <w:jc w:val="center"/>
        <w:rPr>
          <w:rFonts w:asciiTheme="minorHAnsi" w:hAnsiTheme="minorHAnsi" w:cstheme="minorHAnsi"/>
        </w:rPr>
      </w:pPr>
      <w:r w:rsidRPr="0054731E">
        <w:rPr>
          <w:rFonts w:asciiTheme="minorHAnsi" w:hAnsiTheme="minorHAnsi" w:cstheme="minorHAnsi"/>
        </w:rPr>
        <w:t>Press release</w:t>
      </w:r>
    </w:p>
    <w:p w14:paraId="2DEFF62A" w14:textId="77777777" w:rsidR="00DD0AB5" w:rsidRPr="0054731E" w:rsidRDefault="00DD0AB5" w:rsidP="00F61641">
      <w:pPr>
        <w:pStyle w:val="regpar"/>
        <w:spacing w:line="300" w:lineRule="atLeast"/>
        <w:ind w:firstLine="0"/>
        <w:jc w:val="center"/>
        <w:rPr>
          <w:rFonts w:asciiTheme="minorHAnsi" w:hAnsiTheme="minorHAnsi" w:cstheme="minorHAnsi"/>
          <w:b/>
        </w:rPr>
      </w:pPr>
      <w:bookmarkStart w:id="0" w:name="_GoBack"/>
    </w:p>
    <w:bookmarkEnd w:id="0"/>
    <w:p w14:paraId="0CD9A423" w14:textId="17D64025" w:rsidR="007617BD" w:rsidRPr="0054731E" w:rsidRDefault="00F61641" w:rsidP="00F61641">
      <w:pPr>
        <w:pStyle w:val="regpar"/>
        <w:jc w:val="right"/>
        <w:rPr>
          <w:rFonts w:asciiTheme="minorHAnsi" w:hAnsiTheme="minorHAnsi" w:cstheme="minorHAnsi"/>
        </w:rPr>
      </w:pPr>
      <w:r w:rsidRPr="0054731E">
        <w:rPr>
          <w:rFonts w:asciiTheme="minorHAnsi" w:hAnsiTheme="minorHAnsi" w:cstheme="minorHAnsi"/>
        </w:rPr>
        <w:t>September 30</w:t>
      </w:r>
      <w:r w:rsidR="007E6D32" w:rsidRPr="0054731E">
        <w:rPr>
          <w:rFonts w:asciiTheme="minorHAnsi" w:hAnsiTheme="minorHAnsi" w:cstheme="minorHAnsi"/>
        </w:rPr>
        <w:t>, 2024</w:t>
      </w:r>
    </w:p>
    <w:p w14:paraId="22D7AE78" w14:textId="3BEA9B84" w:rsidR="00F23C43" w:rsidRPr="0054731E" w:rsidRDefault="00F23C43" w:rsidP="00F61641">
      <w:pPr>
        <w:pStyle w:val="regpar"/>
        <w:rPr>
          <w:rFonts w:asciiTheme="minorHAnsi" w:hAnsiTheme="minorHAnsi" w:cstheme="minorHAnsi"/>
        </w:rPr>
      </w:pPr>
    </w:p>
    <w:p w14:paraId="2FF65B22" w14:textId="77777777" w:rsidR="00F61641" w:rsidRPr="0054731E" w:rsidRDefault="00F61641" w:rsidP="00F61641">
      <w:pPr>
        <w:pStyle w:val="regpar"/>
        <w:ind w:firstLine="0"/>
        <w:jc w:val="center"/>
        <w:rPr>
          <w:rFonts w:asciiTheme="minorHAnsi" w:hAnsiTheme="minorHAnsi" w:cstheme="minorHAnsi"/>
          <w:b/>
          <w:bCs/>
          <w:sz w:val="26"/>
          <w:szCs w:val="26"/>
        </w:rPr>
      </w:pPr>
      <w:r w:rsidRPr="0054731E">
        <w:rPr>
          <w:rFonts w:asciiTheme="minorHAnsi" w:hAnsiTheme="minorHAnsi" w:cstheme="minorHAnsi"/>
          <w:b/>
          <w:bCs/>
          <w:sz w:val="26"/>
          <w:szCs w:val="26"/>
        </w:rPr>
        <w:t>The Rise in Food Prices in February 2024 – Analyzing the Role of Private Brands in Mitigating the Impact on Consumers:</w:t>
      </w:r>
    </w:p>
    <w:p w14:paraId="2F0A9FB1" w14:textId="28EC39DF" w:rsidR="00F61641" w:rsidRPr="0054731E" w:rsidRDefault="00F61641" w:rsidP="00F61641">
      <w:pPr>
        <w:pStyle w:val="regpar"/>
        <w:ind w:firstLine="0"/>
        <w:jc w:val="center"/>
        <w:rPr>
          <w:rFonts w:asciiTheme="minorHAnsi" w:hAnsiTheme="minorHAnsi" w:cstheme="minorHAnsi"/>
          <w:b/>
          <w:bCs/>
          <w:sz w:val="26"/>
          <w:szCs w:val="26"/>
          <w:rtl/>
        </w:rPr>
      </w:pPr>
      <w:r w:rsidRPr="0054731E">
        <w:rPr>
          <w:rFonts w:asciiTheme="minorHAnsi" w:hAnsiTheme="minorHAnsi" w:cstheme="minorHAnsi"/>
          <w:b/>
          <w:bCs/>
          <w:sz w:val="26"/>
          <w:szCs w:val="26"/>
        </w:rPr>
        <w:t>Excerpt from the forthcoming Selected Research and Policy Analysis Notes</w:t>
      </w:r>
    </w:p>
    <w:p w14:paraId="459D0D7C" w14:textId="77777777" w:rsidR="00F61641" w:rsidRPr="0054731E" w:rsidRDefault="00F61641" w:rsidP="00566AE5">
      <w:pPr>
        <w:pStyle w:val="af2"/>
        <w:numPr>
          <w:ilvl w:val="0"/>
          <w:numId w:val="19"/>
        </w:numPr>
        <w:spacing w:before="100" w:beforeAutospacing="1" w:after="100" w:afterAutospacing="1" w:line="300" w:lineRule="atLeast"/>
        <w:jc w:val="left"/>
        <w:rPr>
          <w:rFonts w:asciiTheme="minorHAnsi" w:hAnsiTheme="minorHAnsi" w:cstheme="minorHAnsi"/>
          <w:color w:val="242424"/>
          <w:rtl/>
        </w:rPr>
      </w:pPr>
      <w:r w:rsidRPr="0054731E">
        <w:rPr>
          <w:rFonts w:asciiTheme="minorHAnsi" w:hAnsiTheme="minorHAnsi" w:cstheme="minorHAnsi"/>
          <w:color w:val="242424"/>
        </w:rPr>
        <w:t>This analysis examines the impact of the price increase implemented by a major food supplier in February 2024 on prices in retail chains, focusing on the effect of this price increase on the pricing of similar products marketed as private brands by two retail chains</w:t>
      </w:r>
      <w:r w:rsidRPr="0054731E">
        <w:rPr>
          <w:rFonts w:asciiTheme="minorHAnsi" w:hAnsiTheme="minorHAnsi" w:cstheme="minorHAnsi"/>
          <w:color w:val="242424"/>
          <w:rtl/>
        </w:rPr>
        <w:t>.</w:t>
      </w:r>
    </w:p>
    <w:p w14:paraId="351B3320" w14:textId="576B7EB8" w:rsidR="00F61641" w:rsidRPr="0054731E" w:rsidRDefault="00F61641" w:rsidP="00E35530">
      <w:pPr>
        <w:pStyle w:val="af2"/>
        <w:numPr>
          <w:ilvl w:val="0"/>
          <w:numId w:val="19"/>
        </w:numPr>
        <w:spacing w:before="100" w:beforeAutospacing="1" w:after="100" w:afterAutospacing="1" w:line="300" w:lineRule="atLeast"/>
        <w:jc w:val="left"/>
        <w:rPr>
          <w:rFonts w:asciiTheme="minorHAnsi" w:hAnsiTheme="minorHAnsi" w:cstheme="minorHAnsi"/>
          <w:color w:val="242424"/>
          <w:rtl/>
        </w:rPr>
      </w:pPr>
      <w:r w:rsidRPr="0054731E">
        <w:rPr>
          <w:rFonts w:asciiTheme="minorHAnsi" w:hAnsiTheme="minorHAnsi" w:cstheme="minorHAnsi"/>
          <w:color w:val="242424"/>
        </w:rPr>
        <w:t>The analysis show</w:t>
      </w:r>
      <w:r w:rsidR="00E35530" w:rsidRPr="0054731E">
        <w:rPr>
          <w:rFonts w:asciiTheme="minorHAnsi" w:hAnsiTheme="minorHAnsi" w:cstheme="minorHAnsi"/>
          <w:color w:val="242424"/>
        </w:rPr>
        <w:t xml:space="preserve">s </w:t>
      </w:r>
      <w:r w:rsidRPr="0054731E">
        <w:rPr>
          <w:rFonts w:asciiTheme="minorHAnsi" w:hAnsiTheme="minorHAnsi" w:cstheme="minorHAnsi"/>
          <w:color w:val="242424"/>
        </w:rPr>
        <w:t xml:space="preserve">that in most cases, the prices of private brand products remained unchanged or </w:t>
      </w:r>
      <w:r w:rsidR="00E35530" w:rsidRPr="0054731E">
        <w:rPr>
          <w:rFonts w:asciiTheme="minorHAnsi" w:hAnsiTheme="minorHAnsi" w:cstheme="minorHAnsi"/>
          <w:color w:val="242424"/>
        </w:rPr>
        <w:t>cha</w:t>
      </w:r>
      <w:r w:rsidRPr="0054731E">
        <w:rPr>
          <w:rFonts w:asciiTheme="minorHAnsi" w:hAnsiTheme="minorHAnsi" w:cstheme="minorHAnsi"/>
          <w:color w:val="242424"/>
        </w:rPr>
        <w:t>nge</w:t>
      </w:r>
      <w:r w:rsidR="00E35530" w:rsidRPr="0054731E">
        <w:rPr>
          <w:rFonts w:asciiTheme="minorHAnsi" w:hAnsiTheme="minorHAnsi" w:cstheme="minorHAnsi"/>
          <w:color w:val="242424"/>
        </w:rPr>
        <w:t>d only slightly</w:t>
      </w:r>
      <w:r w:rsidRPr="0054731E">
        <w:rPr>
          <w:rFonts w:asciiTheme="minorHAnsi" w:hAnsiTheme="minorHAnsi" w:cstheme="minorHAnsi"/>
          <w:color w:val="242424"/>
        </w:rPr>
        <w:t>. This is in contrast to the supplier's branded products, which tended to increase at higher rates</w:t>
      </w:r>
      <w:r w:rsidRPr="0054731E">
        <w:rPr>
          <w:rFonts w:asciiTheme="minorHAnsi" w:hAnsiTheme="minorHAnsi" w:cstheme="minorHAnsi"/>
          <w:color w:val="242424"/>
          <w:rtl/>
        </w:rPr>
        <w:t>.</w:t>
      </w:r>
    </w:p>
    <w:p w14:paraId="6F852DBC" w14:textId="2F72BA17" w:rsidR="00F61641" w:rsidRPr="0054731E" w:rsidRDefault="00F61641" w:rsidP="00E35530">
      <w:pPr>
        <w:pStyle w:val="af2"/>
        <w:numPr>
          <w:ilvl w:val="0"/>
          <w:numId w:val="19"/>
        </w:numPr>
        <w:spacing w:before="100" w:beforeAutospacing="1" w:after="100" w:afterAutospacing="1" w:line="300" w:lineRule="atLeast"/>
        <w:jc w:val="left"/>
        <w:rPr>
          <w:rFonts w:asciiTheme="minorHAnsi" w:hAnsiTheme="minorHAnsi" w:cstheme="minorHAnsi"/>
          <w:color w:val="242424"/>
          <w:rtl/>
        </w:rPr>
      </w:pPr>
      <w:r w:rsidRPr="0054731E">
        <w:rPr>
          <w:rFonts w:asciiTheme="minorHAnsi" w:hAnsiTheme="minorHAnsi" w:cstheme="minorHAnsi"/>
          <w:color w:val="242424"/>
        </w:rPr>
        <w:t xml:space="preserve">The analysis indicates that competition, reflected in the availability of similar products in </w:t>
      </w:r>
      <w:r w:rsidR="00E35530" w:rsidRPr="0054731E">
        <w:rPr>
          <w:rFonts w:asciiTheme="minorHAnsi" w:hAnsiTheme="minorHAnsi" w:cstheme="minorHAnsi"/>
          <w:color w:val="242424"/>
        </w:rPr>
        <w:t xml:space="preserve">a variety of </w:t>
      </w:r>
      <w:r w:rsidRPr="0054731E">
        <w:rPr>
          <w:rFonts w:asciiTheme="minorHAnsi" w:hAnsiTheme="minorHAnsi" w:cstheme="minorHAnsi"/>
          <w:color w:val="242424"/>
        </w:rPr>
        <w:t>brands</w:t>
      </w:r>
      <w:r w:rsidR="00E35530" w:rsidRPr="0054731E">
        <w:rPr>
          <w:rFonts w:asciiTheme="minorHAnsi" w:hAnsiTheme="minorHAnsi" w:cstheme="minorHAnsi"/>
          <w:color w:val="242424"/>
        </w:rPr>
        <w:t>,</w:t>
      </w:r>
      <w:r w:rsidRPr="0054731E">
        <w:rPr>
          <w:rFonts w:asciiTheme="minorHAnsi" w:hAnsiTheme="minorHAnsi" w:cstheme="minorHAnsi"/>
          <w:color w:val="242424"/>
        </w:rPr>
        <w:t xml:space="preserve"> especially private brands, can help mitigate the impact of price </w:t>
      </w:r>
      <w:proofErr w:type="gramStart"/>
      <w:r w:rsidRPr="0054731E">
        <w:rPr>
          <w:rFonts w:asciiTheme="minorHAnsi" w:hAnsiTheme="minorHAnsi" w:cstheme="minorHAnsi"/>
          <w:color w:val="242424"/>
        </w:rPr>
        <w:t>increases</w:t>
      </w:r>
      <w:proofErr w:type="gramEnd"/>
      <w:r w:rsidRPr="0054731E">
        <w:rPr>
          <w:rFonts w:asciiTheme="minorHAnsi" w:hAnsiTheme="minorHAnsi" w:cstheme="minorHAnsi"/>
          <w:color w:val="242424"/>
        </w:rPr>
        <w:t xml:space="preserve"> by major food suppliers on consumers' overall food expenses</w:t>
      </w:r>
      <w:r w:rsidRPr="0054731E">
        <w:rPr>
          <w:rFonts w:asciiTheme="minorHAnsi" w:hAnsiTheme="minorHAnsi" w:cstheme="minorHAnsi"/>
          <w:color w:val="242424"/>
          <w:rtl/>
        </w:rPr>
        <w:t>.</w:t>
      </w:r>
    </w:p>
    <w:p w14:paraId="633880B4" w14:textId="4468B784" w:rsidR="00F61641" w:rsidRPr="0054731E" w:rsidRDefault="00F61641" w:rsidP="00E35530">
      <w:pPr>
        <w:spacing w:line="240" w:lineRule="auto"/>
        <w:jc w:val="left"/>
        <w:rPr>
          <w:rFonts w:asciiTheme="minorHAnsi" w:hAnsiTheme="minorHAnsi" w:cstheme="minorHAnsi"/>
          <w:color w:val="242424"/>
        </w:rPr>
      </w:pPr>
      <w:r w:rsidRPr="0054731E">
        <w:rPr>
          <w:rFonts w:asciiTheme="minorHAnsi" w:hAnsiTheme="minorHAnsi" w:cstheme="minorHAnsi"/>
          <w:color w:val="242424"/>
        </w:rPr>
        <w:t>In January</w:t>
      </w:r>
      <w:r w:rsidR="00E35530" w:rsidRPr="0054731E">
        <w:rPr>
          <w:rFonts w:asciiTheme="minorHAnsi" w:hAnsiTheme="minorHAnsi" w:cstheme="minorHAnsi"/>
          <w:color w:val="242424"/>
        </w:rPr>
        <w:t>–</w:t>
      </w:r>
      <w:r w:rsidRPr="0054731E">
        <w:rPr>
          <w:rFonts w:asciiTheme="minorHAnsi" w:hAnsiTheme="minorHAnsi" w:cstheme="minorHAnsi"/>
          <w:color w:val="242424"/>
        </w:rPr>
        <w:t xml:space="preserve">February 2024, </w:t>
      </w:r>
      <w:r w:rsidR="00E35530" w:rsidRPr="0054731E">
        <w:rPr>
          <w:rFonts w:asciiTheme="minorHAnsi" w:hAnsiTheme="minorHAnsi" w:cstheme="minorHAnsi"/>
          <w:color w:val="242424"/>
        </w:rPr>
        <w:t>roughly</w:t>
      </w:r>
      <w:r w:rsidRPr="0054731E">
        <w:rPr>
          <w:rFonts w:asciiTheme="minorHAnsi" w:hAnsiTheme="minorHAnsi" w:cstheme="minorHAnsi"/>
          <w:color w:val="242424"/>
        </w:rPr>
        <w:t xml:space="preserve"> ten food suppliers announced price increases of up to 25</w:t>
      </w:r>
      <w:r w:rsidR="00E35530" w:rsidRPr="0054731E">
        <w:rPr>
          <w:rFonts w:asciiTheme="minorHAnsi" w:hAnsiTheme="minorHAnsi" w:cstheme="minorHAnsi"/>
          <w:color w:val="242424"/>
        </w:rPr>
        <w:t xml:space="preserve"> percent</w:t>
      </w:r>
      <w:r w:rsidRPr="0054731E">
        <w:rPr>
          <w:rFonts w:asciiTheme="minorHAnsi" w:hAnsiTheme="minorHAnsi" w:cstheme="minorHAnsi"/>
          <w:color w:val="242424"/>
        </w:rPr>
        <w:t xml:space="preserve"> </w:t>
      </w:r>
      <w:r w:rsidR="00E35530" w:rsidRPr="0054731E">
        <w:rPr>
          <w:rFonts w:asciiTheme="minorHAnsi" w:hAnsiTheme="minorHAnsi" w:cstheme="minorHAnsi"/>
          <w:color w:val="242424"/>
        </w:rPr>
        <w:t>on</w:t>
      </w:r>
      <w:r w:rsidRPr="0054731E">
        <w:rPr>
          <w:rFonts w:asciiTheme="minorHAnsi" w:hAnsiTheme="minorHAnsi" w:cstheme="minorHAnsi"/>
          <w:color w:val="242424"/>
        </w:rPr>
        <w:t xml:space="preserve"> some of their products, with these price increases taking effect at the beginning of February 2024. A new analysis by Gal Katz and </w:t>
      </w:r>
      <w:proofErr w:type="spellStart"/>
      <w:r w:rsidRPr="0054731E">
        <w:rPr>
          <w:rFonts w:asciiTheme="minorHAnsi" w:hAnsiTheme="minorHAnsi" w:cstheme="minorHAnsi"/>
          <w:color w:val="242424"/>
        </w:rPr>
        <w:t>Lidor</w:t>
      </w:r>
      <w:proofErr w:type="spellEnd"/>
      <w:r w:rsidRPr="0054731E">
        <w:rPr>
          <w:rFonts w:asciiTheme="minorHAnsi" w:hAnsiTheme="minorHAnsi" w:cstheme="minorHAnsi"/>
          <w:color w:val="242424"/>
        </w:rPr>
        <w:t xml:space="preserve"> </w:t>
      </w:r>
      <w:proofErr w:type="spellStart"/>
      <w:r w:rsidRPr="0054731E">
        <w:rPr>
          <w:rFonts w:asciiTheme="minorHAnsi" w:hAnsiTheme="minorHAnsi" w:cstheme="minorHAnsi"/>
          <w:color w:val="242424"/>
        </w:rPr>
        <w:t>Sela</w:t>
      </w:r>
      <w:proofErr w:type="spellEnd"/>
      <w:r w:rsidRPr="0054731E">
        <w:rPr>
          <w:rFonts w:asciiTheme="minorHAnsi" w:hAnsiTheme="minorHAnsi" w:cstheme="minorHAnsi"/>
          <w:color w:val="242424"/>
        </w:rPr>
        <w:t xml:space="preserve"> </w:t>
      </w:r>
      <w:r w:rsidR="00E35530" w:rsidRPr="0054731E">
        <w:rPr>
          <w:rFonts w:asciiTheme="minorHAnsi" w:hAnsiTheme="minorHAnsi" w:cstheme="minorHAnsi"/>
          <w:color w:val="242424"/>
        </w:rPr>
        <w:t>of</w:t>
      </w:r>
      <w:r w:rsidRPr="0054731E">
        <w:rPr>
          <w:rFonts w:asciiTheme="minorHAnsi" w:hAnsiTheme="minorHAnsi" w:cstheme="minorHAnsi"/>
          <w:color w:val="242424"/>
        </w:rPr>
        <w:t xml:space="preserve"> the</w:t>
      </w:r>
      <w:r w:rsidR="00E35530" w:rsidRPr="0054731E">
        <w:rPr>
          <w:rFonts w:asciiTheme="minorHAnsi" w:hAnsiTheme="minorHAnsi" w:cstheme="minorHAnsi"/>
          <w:color w:val="242424"/>
        </w:rPr>
        <w:t xml:space="preserve"> Bank of Israel</w:t>
      </w:r>
      <w:r w:rsidRPr="0054731E">
        <w:rPr>
          <w:rFonts w:asciiTheme="minorHAnsi" w:hAnsiTheme="minorHAnsi" w:cstheme="minorHAnsi"/>
          <w:color w:val="242424"/>
        </w:rPr>
        <w:t xml:space="preserve"> Research</w:t>
      </w:r>
      <w:r w:rsidR="00E35530" w:rsidRPr="0054731E">
        <w:rPr>
          <w:rFonts w:asciiTheme="minorHAnsi" w:hAnsiTheme="minorHAnsi" w:cstheme="minorHAnsi"/>
          <w:color w:val="242424"/>
        </w:rPr>
        <w:t xml:space="preserve"> Department</w:t>
      </w:r>
      <w:r w:rsidRPr="0054731E">
        <w:rPr>
          <w:rFonts w:asciiTheme="minorHAnsi" w:hAnsiTheme="minorHAnsi" w:cstheme="minorHAnsi"/>
          <w:color w:val="242424"/>
        </w:rPr>
        <w:t xml:space="preserve"> focused on a case study of one</w:t>
      </w:r>
      <w:r w:rsidR="00E35530" w:rsidRPr="0054731E">
        <w:rPr>
          <w:rFonts w:asciiTheme="minorHAnsi" w:hAnsiTheme="minorHAnsi" w:cstheme="minorHAnsi"/>
          <w:color w:val="242424"/>
        </w:rPr>
        <w:t xml:space="preserve"> of the</w:t>
      </w:r>
      <w:r w:rsidRPr="0054731E">
        <w:rPr>
          <w:rFonts w:asciiTheme="minorHAnsi" w:hAnsiTheme="minorHAnsi" w:cstheme="minorHAnsi"/>
          <w:color w:val="242424"/>
        </w:rPr>
        <w:t xml:space="preserve"> food supplier</w:t>
      </w:r>
      <w:r w:rsidR="00E35530" w:rsidRPr="0054731E">
        <w:rPr>
          <w:rFonts w:asciiTheme="minorHAnsi" w:hAnsiTheme="minorHAnsi" w:cstheme="minorHAnsi"/>
          <w:color w:val="242424"/>
        </w:rPr>
        <w:t>s</w:t>
      </w:r>
      <w:r w:rsidRPr="0054731E">
        <w:rPr>
          <w:rFonts w:asciiTheme="minorHAnsi" w:hAnsiTheme="minorHAnsi" w:cstheme="minorHAnsi"/>
          <w:color w:val="242424"/>
        </w:rPr>
        <w:t xml:space="preserve"> </w:t>
      </w:r>
      <w:r w:rsidR="00E35530" w:rsidRPr="0054731E">
        <w:rPr>
          <w:rFonts w:asciiTheme="minorHAnsi" w:hAnsiTheme="minorHAnsi" w:cstheme="minorHAnsi"/>
          <w:color w:val="242424"/>
        </w:rPr>
        <w:t>that</w:t>
      </w:r>
      <w:r w:rsidRPr="0054731E">
        <w:rPr>
          <w:rFonts w:asciiTheme="minorHAnsi" w:hAnsiTheme="minorHAnsi" w:cstheme="minorHAnsi"/>
          <w:color w:val="242424"/>
        </w:rPr>
        <w:t xml:space="preserve"> announced price increases. The analysis examined how retail chains respond to </w:t>
      </w:r>
      <w:r w:rsidR="00E35530" w:rsidRPr="0054731E">
        <w:rPr>
          <w:rFonts w:asciiTheme="minorHAnsi" w:hAnsiTheme="minorHAnsi" w:cstheme="minorHAnsi"/>
          <w:color w:val="242424"/>
        </w:rPr>
        <w:t>announc</w:t>
      </w:r>
      <w:r w:rsidRPr="0054731E">
        <w:rPr>
          <w:rFonts w:asciiTheme="minorHAnsi" w:hAnsiTheme="minorHAnsi" w:cstheme="minorHAnsi"/>
          <w:color w:val="242424"/>
        </w:rPr>
        <w:t xml:space="preserve">ed price increases by the food supplier, particularly how they adjust the prices of similar products of their private brands. For this purpose, the price levels (per unit of the same product) of the supplier's products </w:t>
      </w:r>
      <w:proofErr w:type="gramStart"/>
      <w:r w:rsidRPr="0054731E">
        <w:rPr>
          <w:rFonts w:asciiTheme="minorHAnsi" w:hAnsiTheme="minorHAnsi" w:cstheme="minorHAnsi"/>
          <w:color w:val="242424"/>
        </w:rPr>
        <w:t>were compared</w:t>
      </w:r>
      <w:proofErr w:type="gramEnd"/>
      <w:r w:rsidRPr="0054731E">
        <w:rPr>
          <w:rFonts w:asciiTheme="minorHAnsi" w:hAnsiTheme="minorHAnsi" w:cstheme="minorHAnsi"/>
          <w:color w:val="242424"/>
        </w:rPr>
        <w:t xml:space="preserve"> to those of the private brand products in two major retail chains before and after the price increase announcement. One retail chain has two </w:t>
      </w:r>
      <w:proofErr w:type="spellStart"/>
      <w:r w:rsidRPr="0054731E">
        <w:rPr>
          <w:rFonts w:asciiTheme="minorHAnsi" w:hAnsiTheme="minorHAnsi" w:cstheme="minorHAnsi"/>
          <w:color w:val="242424"/>
        </w:rPr>
        <w:t>subchains</w:t>
      </w:r>
      <w:proofErr w:type="spellEnd"/>
      <w:r w:rsidR="00E35530" w:rsidRPr="0054731E">
        <w:rPr>
          <w:rFonts w:asciiTheme="minorHAnsi" w:hAnsiTheme="minorHAnsi" w:cstheme="minorHAnsi"/>
          <w:color w:val="242424"/>
        </w:rPr>
        <w:t>—</w:t>
      </w:r>
      <w:r w:rsidRPr="0054731E">
        <w:rPr>
          <w:rFonts w:asciiTheme="minorHAnsi" w:hAnsiTheme="minorHAnsi" w:cstheme="minorHAnsi"/>
          <w:color w:val="242424"/>
        </w:rPr>
        <w:t xml:space="preserve">"Urban" and "Discount" (i.e., those that sell regular goods at lower prices than </w:t>
      </w:r>
      <w:proofErr w:type="spellStart"/>
      <w:r w:rsidRPr="0054731E">
        <w:rPr>
          <w:rFonts w:asciiTheme="minorHAnsi" w:hAnsiTheme="minorHAnsi" w:cstheme="minorHAnsi"/>
          <w:color w:val="242424"/>
        </w:rPr>
        <w:t>nondiscount</w:t>
      </w:r>
      <w:proofErr w:type="spellEnd"/>
      <w:r w:rsidRPr="0054731E">
        <w:rPr>
          <w:rFonts w:asciiTheme="minorHAnsi" w:hAnsiTheme="minorHAnsi" w:cstheme="minorHAnsi"/>
          <w:color w:val="242424"/>
        </w:rPr>
        <w:t xml:space="preserve"> chains, and in larger quantities)</w:t>
      </w:r>
      <w:r w:rsidR="00E35530" w:rsidRPr="0054731E">
        <w:rPr>
          <w:rFonts w:asciiTheme="minorHAnsi" w:hAnsiTheme="minorHAnsi" w:cstheme="minorHAnsi"/>
          <w:color w:val="242424"/>
        </w:rPr>
        <w:t>—</w:t>
      </w:r>
      <w:r w:rsidRPr="0054731E">
        <w:rPr>
          <w:rFonts w:asciiTheme="minorHAnsi" w:hAnsiTheme="minorHAnsi" w:cstheme="minorHAnsi"/>
          <w:color w:val="242424"/>
        </w:rPr>
        <w:t>and the other has only "Discount" branches</w:t>
      </w:r>
      <w:r w:rsidRPr="0054731E">
        <w:rPr>
          <w:rFonts w:asciiTheme="minorHAnsi" w:hAnsiTheme="minorHAnsi" w:cstheme="minorHAnsi"/>
          <w:color w:val="242424"/>
          <w:rtl/>
        </w:rPr>
        <w:t>.</w:t>
      </w:r>
    </w:p>
    <w:p w14:paraId="265C858E" w14:textId="77777777" w:rsidR="00566AE5" w:rsidRPr="0054731E" w:rsidRDefault="00566AE5" w:rsidP="00566AE5">
      <w:pPr>
        <w:pStyle w:val="regpar"/>
        <w:spacing w:line="240" w:lineRule="auto"/>
        <w:rPr>
          <w:rFonts w:asciiTheme="minorHAnsi" w:hAnsiTheme="minorHAnsi" w:cstheme="minorHAnsi"/>
          <w:rtl/>
        </w:rPr>
      </w:pPr>
    </w:p>
    <w:p w14:paraId="09AE5987" w14:textId="1D7FAC6B" w:rsidR="00F61641" w:rsidRPr="0054731E" w:rsidRDefault="00F61641" w:rsidP="00E35530">
      <w:pPr>
        <w:spacing w:line="240" w:lineRule="auto"/>
        <w:jc w:val="left"/>
        <w:rPr>
          <w:rFonts w:asciiTheme="minorHAnsi" w:hAnsiTheme="minorHAnsi" w:cstheme="minorHAnsi"/>
          <w:color w:val="242424"/>
        </w:rPr>
      </w:pPr>
      <w:r w:rsidRPr="0054731E">
        <w:rPr>
          <w:rFonts w:asciiTheme="minorHAnsi" w:hAnsiTheme="minorHAnsi" w:cstheme="minorHAnsi"/>
          <w:color w:val="242424"/>
        </w:rPr>
        <w:t xml:space="preserve">A comprehensive analysis of the two retail chains examined </w:t>
      </w:r>
      <w:r w:rsidR="00E35530" w:rsidRPr="0054731E">
        <w:rPr>
          <w:rFonts w:asciiTheme="minorHAnsi" w:hAnsiTheme="minorHAnsi" w:cstheme="minorHAnsi"/>
          <w:color w:val="242424"/>
        </w:rPr>
        <w:t>shows</w:t>
      </w:r>
      <w:r w:rsidRPr="0054731E">
        <w:rPr>
          <w:rFonts w:asciiTheme="minorHAnsi" w:hAnsiTheme="minorHAnsi" w:cstheme="minorHAnsi"/>
          <w:color w:val="242424"/>
        </w:rPr>
        <w:t xml:space="preserve"> that </w:t>
      </w:r>
      <w:r w:rsidR="00E35530" w:rsidRPr="0054731E">
        <w:rPr>
          <w:rFonts w:asciiTheme="minorHAnsi" w:hAnsiTheme="minorHAnsi" w:cstheme="minorHAnsi"/>
          <w:color w:val="242424"/>
        </w:rPr>
        <w:t xml:space="preserve">the prices of </w:t>
      </w:r>
      <w:r w:rsidRPr="0054731E">
        <w:rPr>
          <w:rFonts w:asciiTheme="minorHAnsi" w:hAnsiTheme="minorHAnsi" w:cstheme="minorHAnsi"/>
          <w:color w:val="242424"/>
        </w:rPr>
        <w:t>most of the supplier's products increase</w:t>
      </w:r>
      <w:r w:rsidR="00E35530" w:rsidRPr="0054731E">
        <w:rPr>
          <w:rFonts w:asciiTheme="minorHAnsi" w:hAnsiTheme="minorHAnsi" w:cstheme="minorHAnsi"/>
          <w:color w:val="242424"/>
        </w:rPr>
        <w:t>d</w:t>
      </w:r>
      <w:r w:rsidRPr="0054731E">
        <w:rPr>
          <w:rFonts w:asciiTheme="minorHAnsi" w:hAnsiTheme="minorHAnsi" w:cstheme="minorHAnsi"/>
          <w:color w:val="242424"/>
        </w:rPr>
        <w:t xml:space="preserve"> around February 2024, while the prices of most private brand products remained unchanged. Figure 1 illustrates this for the urban branches of the first retail chain examined. It shows that following the price increase announcement, the price</w:t>
      </w:r>
      <w:r w:rsidR="00E35530" w:rsidRPr="0054731E">
        <w:rPr>
          <w:rFonts w:asciiTheme="minorHAnsi" w:hAnsiTheme="minorHAnsi" w:cstheme="minorHAnsi"/>
          <w:color w:val="242424"/>
        </w:rPr>
        <w:t>s of</w:t>
      </w:r>
      <w:r w:rsidRPr="0054731E">
        <w:rPr>
          <w:rFonts w:asciiTheme="minorHAnsi" w:hAnsiTheme="minorHAnsi" w:cstheme="minorHAnsi"/>
          <w:color w:val="242424"/>
        </w:rPr>
        <w:t xml:space="preserve"> all the supplier's products</w:t>
      </w:r>
      <w:r w:rsidR="00E35530" w:rsidRPr="0054731E">
        <w:rPr>
          <w:rFonts w:asciiTheme="minorHAnsi" w:hAnsiTheme="minorHAnsi" w:cstheme="minorHAnsi"/>
          <w:color w:val="242424"/>
        </w:rPr>
        <w:t xml:space="preserve"> increased</w:t>
      </w:r>
      <w:r w:rsidRPr="0054731E">
        <w:rPr>
          <w:rFonts w:asciiTheme="minorHAnsi" w:hAnsiTheme="minorHAnsi" w:cstheme="minorHAnsi"/>
          <w:color w:val="242424"/>
        </w:rPr>
        <w:t xml:space="preserve">. However, the median prices of most private brand products remained unchanged throughout the examined period. For the second retail chain (for which no </w:t>
      </w:r>
      <w:r w:rsidR="00E35530" w:rsidRPr="0054731E">
        <w:rPr>
          <w:rFonts w:asciiTheme="minorHAnsi" w:hAnsiTheme="minorHAnsi" w:cstheme="minorHAnsi"/>
          <w:color w:val="242424"/>
        </w:rPr>
        <w:t>graph is attached</w:t>
      </w:r>
      <w:r w:rsidRPr="0054731E">
        <w:rPr>
          <w:rFonts w:asciiTheme="minorHAnsi" w:hAnsiTheme="minorHAnsi" w:cstheme="minorHAnsi"/>
          <w:color w:val="242424"/>
        </w:rPr>
        <w:t>), it was more challenging to get a clear picture</w:t>
      </w:r>
      <w:r w:rsidR="00E35530" w:rsidRPr="0054731E">
        <w:rPr>
          <w:rFonts w:asciiTheme="minorHAnsi" w:hAnsiTheme="minorHAnsi" w:cstheme="minorHAnsi"/>
          <w:color w:val="242424"/>
        </w:rPr>
        <w:t>.</w:t>
      </w:r>
      <w:r w:rsidRPr="0054731E">
        <w:rPr>
          <w:rFonts w:asciiTheme="minorHAnsi" w:hAnsiTheme="minorHAnsi" w:cstheme="minorHAnsi"/>
          <w:color w:val="242424"/>
        </w:rPr>
        <w:t xml:space="preserve"> </w:t>
      </w:r>
      <w:r w:rsidR="00E35530" w:rsidRPr="0054731E">
        <w:rPr>
          <w:rFonts w:asciiTheme="minorHAnsi" w:hAnsiTheme="minorHAnsi" w:cstheme="minorHAnsi"/>
          <w:color w:val="242424"/>
        </w:rPr>
        <w:t>H</w:t>
      </w:r>
      <w:r w:rsidRPr="0054731E">
        <w:rPr>
          <w:rFonts w:asciiTheme="minorHAnsi" w:hAnsiTheme="minorHAnsi" w:cstheme="minorHAnsi"/>
          <w:color w:val="242424"/>
        </w:rPr>
        <w:t>owever, similar to the first retail chain, the median prices of most private brand products remained stable around the time of the supplier's price increase</w:t>
      </w:r>
      <w:r w:rsidRPr="0054731E">
        <w:rPr>
          <w:rFonts w:asciiTheme="minorHAnsi" w:hAnsiTheme="minorHAnsi" w:cstheme="minorHAnsi"/>
          <w:color w:val="242424"/>
          <w:rtl/>
        </w:rPr>
        <w:t>.</w:t>
      </w:r>
    </w:p>
    <w:p w14:paraId="2A9B66AF" w14:textId="77777777" w:rsidR="00566AE5" w:rsidRPr="0054731E" w:rsidRDefault="00566AE5" w:rsidP="00566AE5">
      <w:pPr>
        <w:pStyle w:val="regpar"/>
        <w:spacing w:line="240" w:lineRule="auto"/>
        <w:rPr>
          <w:rFonts w:asciiTheme="minorHAnsi" w:hAnsiTheme="minorHAnsi" w:cstheme="minorHAnsi"/>
          <w:rtl/>
        </w:rPr>
      </w:pPr>
    </w:p>
    <w:p w14:paraId="00AD453F" w14:textId="2FD8650E" w:rsidR="00F61641" w:rsidRPr="0054731E" w:rsidRDefault="00F61641" w:rsidP="001238EA">
      <w:pPr>
        <w:spacing w:line="240" w:lineRule="auto"/>
        <w:jc w:val="left"/>
        <w:rPr>
          <w:rFonts w:asciiTheme="minorHAnsi" w:hAnsiTheme="minorHAnsi" w:cstheme="minorHAnsi"/>
          <w:color w:val="242424"/>
        </w:rPr>
      </w:pPr>
      <w:r w:rsidRPr="0054731E">
        <w:rPr>
          <w:rFonts w:asciiTheme="minorHAnsi" w:hAnsiTheme="minorHAnsi" w:cstheme="minorHAnsi"/>
          <w:color w:val="242424"/>
        </w:rPr>
        <w:lastRenderedPageBreak/>
        <w:t xml:space="preserve">This analysis is also </w:t>
      </w:r>
      <w:r w:rsidR="001238EA" w:rsidRPr="0054731E">
        <w:rPr>
          <w:rFonts w:asciiTheme="minorHAnsi" w:hAnsiTheme="minorHAnsi" w:cstheme="minorHAnsi"/>
          <w:color w:val="242424"/>
        </w:rPr>
        <w:t>important</w:t>
      </w:r>
      <w:r w:rsidRPr="0054731E">
        <w:rPr>
          <w:rFonts w:asciiTheme="minorHAnsi" w:hAnsiTheme="minorHAnsi" w:cstheme="minorHAnsi"/>
          <w:color w:val="242424"/>
        </w:rPr>
        <w:t xml:space="preserve"> in the context of the Consumer Price Index and especially the Food Price Index, which tracks the rate of change over time in the expenditure required </w:t>
      </w:r>
      <w:proofErr w:type="gramStart"/>
      <w:r w:rsidRPr="0054731E">
        <w:rPr>
          <w:rFonts w:asciiTheme="minorHAnsi" w:hAnsiTheme="minorHAnsi" w:cstheme="minorHAnsi"/>
          <w:color w:val="242424"/>
        </w:rPr>
        <w:t>to purchase</w:t>
      </w:r>
      <w:proofErr w:type="gramEnd"/>
      <w:r w:rsidRPr="0054731E">
        <w:rPr>
          <w:rFonts w:asciiTheme="minorHAnsi" w:hAnsiTheme="minorHAnsi" w:cstheme="minorHAnsi"/>
          <w:color w:val="242424"/>
        </w:rPr>
        <w:t xml:space="preserve"> a</w:t>
      </w:r>
      <w:r w:rsidRPr="0054731E">
        <w:rPr>
          <w:rFonts w:asciiTheme="minorHAnsi" w:hAnsiTheme="minorHAnsi" w:cstheme="minorHAnsi"/>
          <w:color w:val="242424"/>
          <w:rtl/>
        </w:rPr>
        <w:t xml:space="preserve"> </w:t>
      </w:r>
      <w:r w:rsidRPr="0054731E">
        <w:rPr>
          <w:rFonts w:asciiTheme="minorHAnsi" w:hAnsiTheme="minorHAnsi" w:cstheme="minorHAnsi"/>
          <w:color w:val="242424"/>
        </w:rPr>
        <w:t>fixed basket of food products. This basket includes both branded products, like those of the examined food supplier and other food suppliers, and the private brands of retail chains. When retail chains avoid parallel increases in the prices of their private brands</w:t>
      </w:r>
      <w:r w:rsidR="001238EA" w:rsidRPr="0054731E">
        <w:rPr>
          <w:rFonts w:asciiTheme="minorHAnsi" w:hAnsiTheme="minorHAnsi" w:cstheme="minorHAnsi"/>
          <w:color w:val="242424"/>
        </w:rPr>
        <w:t>,</w:t>
      </w:r>
      <w:r w:rsidRPr="0054731E">
        <w:rPr>
          <w:rFonts w:asciiTheme="minorHAnsi" w:hAnsiTheme="minorHAnsi" w:cstheme="minorHAnsi"/>
          <w:color w:val="242424"/>
        </w:rPr>
        <w:t xml:space="preserve"> and as the weight of private brands in hou</w:t>
      </w:r>
      <w:r w:rsidR="001238EA" w:rsidRPr="0054731E">
        <w:rPr>
          <w:rFonts w:asciiTheme="minorHAnsi" w:hAnsiTheme="minorHAnsi" w:cstheme="minorHAnsi"/>
          <w:color w:val="242424"/>
        </w:rPr>
        <w:t>sehold consumption increases, households’</w:t>
      </w:r>
      <w:r w:rsidRPr="0054731E">
        <w:rPr>
          <w:rFonts w:asciiTheme="minorHAnsi" w:hAnsiTheme="minorHAnsi" w:cstheme="minorHAnsi"/>
          <w:color w:val="242424"/>
        </w:rPr>
        <w:t xml:space="preserve"> actual expenditure may grow less than the price increases of food suppliers. In particular, consumers can "protect" themselves from price increases by consuming private brands</w:t>
      </w:r>
      <w:r w:rsidR="001238EA" w:rsidRPr="0054731E">
        <w:rPr>
          <w:rFonts w:asciiTheme="minorHAnsi" w:hAnsiTheme="minorHAnsi" w:cstheme="minorHAnsi"/>
          <w:color w:val="242424"/>
        </w:rPr>
        <w:t>,</w:t>
      </w:r>
      <w:r w:rsidRPr="0054731E">
        <w:rPr>
          <w:rFonts w:asciiTheme="minorHAnsi" w:hAnsiTheme="minorHAnsi" w:cstheme="minorHAnsi"/>
          <w:color w:val="242424"/>
        </w:rPr>
        <w:t xml:space="preserve"> </w:t>
      </w:r>
      <w:r w:rsidR="001238EA" w:rsidRPr="0054731E">
        <w:rPr>
          <w:rFonts w:asciiTheme="minorHAnsi" w:hAnsiTheme="minorHAnsi" w:cstheme="minorHAnsi"/>
          <w:color w:val="242424"/>
        </w:rPr>
        <w:t xml:space="preserve">the prices of </w:t>
      </w:r>
      <w:r w:rsidRPr="0054731E">
        <w:rPr>
          <w:rFonts w:asciiTheme="minorHAnsi" w:hAnsiTheme="minorHAnsi" w:cstheme="minorHAnsi"/>
          <w:color w:val="242424"/>
        </w:rPr>
        <w:t>which</w:t>
      </w:r>
      <w:r w:rsidR="001238EA" w:rsidRPr="0054731E">
        <w:rPr>
          <w:rFonts w:asciiTheme="minorHAnsi" w:hAnsiTheme="minorHAnsi" w:cstheme="minorHAnsi"/>
          <w:color w:val="242424"/>
        </w:rPr>
        <w:t xml:space="preserve">—when food suppliers increase their prices—tend </w:t>
      </w:r>
      <w:r w:rsidRPr="0054731E">
        <w:rPr>
          <w:rFonts w:asciiTheme="minorHAnsi" w:hAnsiTheme="minorHAnsi" w:cstheme="minorHAnsi"/>
          <w:color w:val="242424"/>
        </w:rPr>
        <w:t xml:space="preserve">to </w:t>
      </w:r>
      <w:r w:rsidR="001238EA" w:rsidRPr="0054731E">
        <w:rPr>
          <w:rFonts w:asciiTheme="minorHAnsi" w:hAnsiTheme="minorHAnsi" w:cstheme="minorHAnsi"/>
          <w:color w:val="242424"/>
        </w:rPr>
        <w:t>increase less</w:t>
      </w:r>
      <w:r w:rsidRPr="0054731E">
        <w:rPr>
          <w:rFonts w:asciiTheme="minorHAnsi" w:hAnsiTheme="minorHAnsi" w:cstheme="minorHAnsi"/>
          <w:color w:val="242424"/>
        </w:rPr>
        <w:t xml:space="preserve"> or even remain unchanged, at least within the examined period. Hence, it </w:t>
      </w:r>
      <w:proofErr w:type="gramStart"/>
      <w:r w:rsidRPr="0054731E">
        <w:rPr>
          <w:rFonts w:asciiTheme="minorHAnsi" w:hAnsiTheme="minorHAnsi" w:cstheme="minorHAnsi"/>
          <w:color w:val="242424"/>
        </w:rPr>
        <w:t>can be inferred</w:t>
      </w:r>
      <w:proofErr w:type="gramEnd"/>
      <w:r w:rsidRPr="0054731E">
        <w:rPr>
          <w:rFonts w:asciiTheme="minorHAnsi" w:hAnsiTheme="minorHAnsi" w:cstheme="minorHAnsi"/>
          <w:color w:val="242424"/>
        </w:rPr>
        <w:t xml:space="preserve"> that </w:t>
      </w:r>
      <w:r w:rsidR="001238EA" w:rsidRPr="0054731E">
        <w:rPr>
          <w:rFonts w:asciiTheme="minorHAnsi" w:hAnsiTheme="minorHAnsi" w:cstheme="minorHAnsi"/>
          <w:color w:val="242424"/>
        </w:rPr>
        <w:t xml:space="preserve">having </w:t>
      </w:r>
      <w:r w:rsidRPr="0054731E">
        <w:rPr>
          <w:rFonts w:asciiTheme="minorHAnsi" w:hAnsiTheme="minorHAnsi" w:cstheme="minorHAnsi"/>
          <w:color w:val="242424"/>
        </w:rPr>
        <w:t>a wide range of food suppliers can contribute to competition, which can moderate the impact of price increases by a single supplier on consumers' overall cost of living</w:t>
      </w:r>
      <w:r w:rsidRPr="0054731E">
        <w:rPr>
          <w:rFonts w:asciiTheme="minorHAnsi" w:hAnsiTheme="minorHAnsi" w:cstheme="minorHAnsi"/>
          <w:color w:val="242424"/>
          <w:rtl/>
        </w:rPr>
        <w:t>.</w:t>
      </w:r>
    </w:p>
    <w:p w14:paraId="09BA3BFD" w14:textId="39ECE490" w:rsidR="00566AE5" w:rsidRPr="0054731E" w:rsidRDefault="00566AE5" w:rsidP="00566AE5">
      <w:pPr>
        <w:pStyle w:val="regpar"/>
        <w:spacing w:line="240" w:lineRule="auto"/>
        <w:rPr>
          <w:rFonts w:asciiTheme="minorHAnsi" w:hAnsiTheme="minorHAnsi" w:cstheme="minorHAnsi"/>
          <w:rtl/>
        </w:rPr>
      </w:pPr>
    </w:p>
    <w:p w14:paraId="293F86EB" w14:textId="495C9840" w:rsidR="00F61641" w:rsidRPr="0054731E" w:rsidRDefault="00F61641" w:rsidP="00655BB4">
      <w:pPr>
        <w:spacing w:line="240" w:lineRule="auto"/>
        <w:jc w:val="left"/>
        <w:rPr>
          <w:rFonts w:asciiTheme="minorHAnsi" w:hAnsiTheme="minorHAnsi" w:cstheme="minorHAnsi"/>
        </w:rPr>
      </w:pPr>
      <w:r w:rsidRPr="0054731E">
        <w:rPr>
          <w:rFonts w:asciiTheme="minorHAnsi" w:hAnsiTheme="minorHAnsi" w:cstheme="minorHAnsi"/>
          <w:color w:val="242424"/>
        </w:rPr>
        <w:t xml:space="preserve">Another point addressed by the analysis is the source of the price increases. </w:t>
      </w:r>
      <w:r w:rsidR="001238EA" w:rsidRPr="0054731E">
        <w:rPr>
          <w:rFonts w:asciiTheme="minorHAnsi" w:hAnsiTheme="minorHAnsi" w:cstheme="minorHAnsi"/>
          <w:color w:val="242424"/>
        </w:rPr>
        <w:t>Two</w:t>
      </w:r>
      <w:r w:rsidRPr="0054731E">
        <w:rPr>
          <w:rFonts w:asciiTheme="minorHAnsi" w:hAnsiTheme="minorHAnsi" w:cstheme="minorHAnsi"/>
          <w:color w:val="242424"/>
        </w:rPr>
        <w:t xml:space="preserve"> major reason</w:t>
      </w:r>
      <w:r w:rsidR="001238EA" w:rsidRPr="0054731E">
        <w:rPr>
          <w:rFonts w:asciiTheme="minorHAnsi" w:hAnsiTheme="minorHAnsi" w:cstheme="minorHAnsi"/>
          <w:color w:val="242424"/>
        </w:rPr>
        <w:t>s</w:t>
      </w:r>
      <w:r w:rsidRPr="0054731E">
        <w:rPr>
          <w:rFonts w:asciiTheme="minorHAnsi" w:hAnsiTheme="minorHAnsi" w:cstheme="minorHAnsi"/>
          <w:color w:val="242424"/>
        </w:rPr>
        <w:t xml:space="preserve"> </w:t>
      </w:r>
      <w:r w:rsidR="001238EA" w:rsidRPr="0054731E">
        <w:rPr>
          <w:rFonts w:asciiTheme="minorHAnsi" w:hAnsiTheme="minorHAnsi" w:cstheme="minorHAnsi"/>
          <w:color w:val="242424"/>
        </w:rPr>
        <w:t xml:space="preserve">cited by suppliers </w:t>
      </w:r>
      <w:r w:rsidRPr="0054731E">
        <w:rPr>
          <w:rFonts w:asciiTheme="minorHAnsi" w:hAnsiTheme="minorHAnsi" w:cstheme="minorHAnsi"/>
          <w:color w:val="242424"/>
        </w:rPr>
        <w:t xml:space="preserve">for the price increases </w:t>
      </w:r>
      <w:r w:rsidR="001238EA" w:rsidRPr="0054731E">
        <w:rPr>
          <w:rFonts w:asciiTheme="minorHAnsi" w:hAnsiTheme="minorHAnsi" w:cstheme="minorHAnsi"/>
          <w:color w:val="242424"/>
        </w:rPr>
        <w:t>are</w:t>
      </w:r>
      <w:r w:rsidRPr="0054731E">
        <w:rPr>
          <w:rFonts w:asciiTheme="minorHAnsi" w:hAnsiTheme="minorHAnsi" w:cstheme="minorHAnsi"/>
          <w:color w:val="242424"/>
        </w:rPr>
        <w:t xml:space="preserve"> the rise in raw material prices over the past year and supply chain difficulties</w:t>
      </w:r>
      <w:r w:rsidR="001238EA" w:rsidRPr="0054731E">
        <w:rPr>
          <w:rFonts w:asciiTheme="minorHAnsi" w:hAnsiTheme="minorHAnsi" w:cstheme="minorHAnsi"/>
          <w:color w:val="242424"/>
        </w:rPr>
        <w:t>.</w:t>
      </w:r>
      <w:r w:rsidRPr="0054731E">
        <w:rPr>
          <w:rFonts w:asciiTheme="minorHAnsi" w:hAnsiTheme="minorHAnsi" w:cstheme="minorHAnsi"/>
          <w:color w:val="242424"/>
        </w:rPr>
        <w:t xml:space="preserve"> </w:t>
      </w:r>
      <w:r w:rsidR="001238EA" w:rsidRPr="0054731E">
        <w:rPr>
          <w:rFonts w:asciiTheme="minorHAnsi" w:hAnsiTheme="minorHAnsi" w:cstheme="minorHAnsi"/>
          <w:color w:val="242424"/>
        </w:rPr>
        <w:t>C</w:t>
      </w:r>
      <w:r w:rsidRPr="0054731E">
        <w:rPr>
          <w:rFonts w:asciiTheme="minorHAnsi" w:hAnsiTheme="minorHAnsi" w:cstheme="minorHAnsi"/>
          <w:color w:val="242424"/>
        </w:rPr>
        <w:t xml:space="preserve">onsidering what appears to be a supply shock, similar price increases </w:t>
      </w:r>
      <w:proofErr w:type="gramStart"/>
      <w:r w:rsidRPr="0054731E">
        <w:rPr>
          <w:rFonts w:asciiTheme="minorHAnsi" w:hAnsiTheme="minorHAnsi" w:cstheme="minorHAnsi"/>
          <w:color w:val="242424"/>
        </w:rPr>
        <w:t>could have been expected</w:t>
      </w:r>
      <w:proofErr w:type="gramEnd"/>
      <w:r w:rsidRPr="0054731E">
        <w:rPr>
          <w:rFonts w:asciiTheme="minorHAnsi" w:hAnsiTheme="minorHAnsi" w:cstheme="minorHAnsi"/>
          <w:color w:val="242424"/>
        </w:rPr>
        <w:t xml:space="preserve"> in the private brand products. However, despite this, the two retail chains avoided raising the prices of these private brand products or did so to a much lesser extent </w:t>
      </w:r>
      <w:r w:rsidR="00655BB4" w:rsidRPr="0054731E">
        <w:rPr>
          <w:rFonts w:asciiTheme="minorHAnsi" w:hAnsiTheme="minorHAnsi" w:cstheme="minorHAnsi"/>
          <w:color w:val="242424"/>
        </w:rPr>
        <w:t xml:space="preserve">than </w:t>
      </w:r>
      <w:r w:rsidRPr="0054731E">
        <w:rPr>
          <w:rFonts w:asciiTheme="minorHAnsi" w:hAnsiTheme="minorHAnsi" w:cstheme="minorHAnsi"/>
          <w:color w:val="242424"/>
        </w:rPr>
        <w:t>the supplier's products. It is possible that retail chains avoid</w:t>
      </w:r>
      <w:r w:rsidR="00655BB4" w:rsidRPr="0054731E">
        <w:rPr>
          <w:rFonts w:asciiTheme="minorHAnsi" w:hAnsiTheme="minorHAnsi" w:cstheme="minorHAnsi"/>
          <w:color w:val="242424"/>
        </w:rPr>
        <w:t>ed</w:t>
      </w:r>
      <w:r w:rsidRPr="0054731E">
        <w:rPr>
          <w:rFonts w:asciiTheme="minorHAnsi" w:hAnsiTheme="minorHAnsi" w:cstheme="minorHAnsi"/>
          <w:color w:val="242424"/>
        </w:rPr>
        <w:t xml:space="preserve"> raising private brand prices to retain their customer base, while settling for lower profit margins. Another possibility is cross-subsidization, where the retail chain maintains fixed </w:t>
      </w:r>
      <w:proofErr w:type="gramStart"/>
      <w:r w:rsidRPr="0054731E">
        <w:rPr>
          <w:rFonts w:asciiTheme="minorHAnsi" w:hAnsiTheme="minorHAnsi" w:cstheme="minorHAnsi"/>
          <w:color w:val="242424"/>
        </w:rPr>
        <w:t>prices for certain</w:t>
      </w:r>
      <w:proofErr w:type="gramEnd"/>
      <w:r w:rsidRPr="0054731E">
        <w:rPr>
          <w:rFonts w:asciiTheme="minorHAnsi" w:hAnsiTheme="minorHAnsi" w:cstheme="minorHAnsi"/>
          <w:color w:val="242424"/>
        </w:rPr>
        <w:t xml:space="preserve"> products while raising prices for others, thereby maintaining overall profitability for the retail chain.</w:t>
      </w:r>
    </w:p>
    <w:p w14:paraId="7AA3F6CD" w14:textId="535127C6" w:rsidR="00592585" w:rsidRPr="0054731E" w:rsidRDefault="00E83A82" w:rsidP="00566AE5">
      <w:pPr>
        <w:pStyle w:val="regpar"/>
        <w:spacing w:line="240" w:lineRule="auto"/>
        <w:ind w:firstLine="0"/>
        <w:rPr>
          <w:rFonts w:asciiTheme="minorHAnsi" w:hAnsiTheme="minorHAnsi" w:cstheme="minorHAnsi"/>
          <w:b/>
          <w:bCs/>
        </w:rPr>
      </w:pPr>
      <w:r w:rsidRPr="0054731E">
        <w:rPr>
          <w:rFonts w:asciiTheme="minorHAnsi" w:hAnsiTheme="minorHAnsi" w:cstheme="minorHAnsi"/>
          <w:b/>
          <w:bCs/>
          <w:noProof/>
        </w:rPr>
        <w:lastRenderedPageBreak/>
        <w:drawing>
          <wp:anchor distT="0" distB="0" distL="114300" distR="114300" simplePos="0" relativeHeight="251658240" behindDoc="0" locked="0" layoutInCell="1" allowOverlap="1" wp14:anchorId="3F743009" wp14:editId="426AE1DA">
            <wp:simplePos x="0" y="0"/>
            <wp:positionH relativeFrom="column">
              <wp:posOffset>23495</wp:posOffset>
            </wp:positionH>
            <wp:positionV relativeFrom="paragraph">
              <wp:posOffset>222885</wp:posOffset>
            </wp:positionV>
            <wp:extent cx="5661660" cy="5810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1660" cy="5810250"/>
                    </a:xfrm>
                    <a:prstGeom prst="rect">
                      <a:avLst/>
                    </a:prstGeom>
                    <a:noFill/>
                  </pic:spPr>
                </pic:pic>
              </a:graphicData>
            </a:graphic>
            <wp14:sizeRelH relativeFrom="page">
              <wp14:pctWidth>0</wp14:pctWidth>
            </wp14:sizeRelH>
            <wp14:sizeRelV relativeFrom="page">
              <wp14:pctHeight>0</wp14:pctHeight>
            </wp14:sizeRelV>
          </wp:anchor>
        </w:drawing>
      </w:r>
    </w:p>
    <w:p w14:paraId="5624FA7B" w14:textId="18A37F23" w:rsidR="00655BB4" w:rsidRPr="0054731E" w:rsidRDefault="00655BB4" w:rsidP="00566AE5">
      <w:pPr>
        <w:pStyle w:val="regpar"/>
        <w:spacing w:line="240" w:lineRule="auto"/>
        <w:ind w:firstLine="0"/>
        <w:rPr>
          <w:rFonts w:asciiTheme="minorHAnsi" w:hAnsiTheme="minorHAnsi" w:cstheme="minorHAnsi"/>
          <w:b/>
          <w:bCs/>
        </w:rPr>
      </w:pPr>
    </w:p>
    <w:p w14:paraId="12A27781" w14:textId="412D4505" w:rsidR="00655BB4" w:rsidRPr="0054731E" w:rsidRDefault="00655BB4" w:rsidP="00566AE5">
      <w:pPr>
        <w:pStyle w:val="regpar"/>
        <w:spacing w:line="240" w:lineRule="auto"/>
        <w:ind w:firstLine="0"/>
        <w:rPr>
          <w:rFonts w:asciiTheme="minorHAnsi" w:hAnsiTheme="minorHAnsi" w:cstheme="minorHAnsi"/>
          <w:b/>
          <w:bCs/>
        </w:rPr>
      </w:pPr>
    </w:p>
    <w:p w14:paraId="176203B9" w14:textId="7A90A095" w:rsidR="00655BB4" w:rsidRPr="0054731E" w:rsidRDefault="00655BB4" w:rsidP="00566AE5">
      <w:pPr>
        <w:pStyle w:val="regpar"/>
        <w:spacing w:line="240" w:lineRule="auto"/>
        <w:ind w:firstLine="0"/>
        <w:rPr>
          <w:rFonts w:asciiTheme="minorHAnsi" w:hAnsiTheme="minorHAnsi" w:cstheme="minorHAnsi"/>
        </w:rPr>
      </w:pPr>
      <w:r w:rsidRPr="0054731E">
        <w:rPr>
          <w:rFonts w:asciiTheme="minorHAnsi" w:hAnsiTheme="minorHAnsi" w:cstheme="minorHAnsi"/>
          <w:b/>
          <w:bCs/>
        </w:rPr>
        <w:t xml:space="preserve">Table 1: Rate of change in retail chain prices following the announcement of price increases by the suppler – Supplier’s product and private brand product </w:t>
      </w:r>
      <w:r w:rsidRPr="0054731E">
        <w:rPr>
          <w:rFonts w:asciiTheme="minorHAnsi" w:hAnsiTheme="minorHAnsi" w:cstheme="minorHAnsi"/>
        </w:rPr>
        <w:t>(percent)</w:t>
      </w:r>
    </w:p>
    <w:tbl>
      <w:tblPr>
        <w:tblStyle w:val="ac"/>
        <w:tblW w:w="0" w:type="auto"/>
        <w:tblLook w:val="04A0" w:firstRow="1" w:lastRow="0" w:firstColumn="1" w:lastColumn="0" w:noHBand="0" w:noVBand="1"/>
      </w:tblPr>
      <w:tblGrid>
        <w:gridCol w:w="1351"/>
        <w:gridCol w:w="1286"/>
        <w:gridCol w:w="1283"/>
        <w:gridCol w:w="1287"/>
        <w:gridCol w:w="1284"/>
        <w:gridCol w:w="1287"/>
        <w:gridCol w:w="1284"/>
      </w:tblGrid>
      <w:tr w:rsidR="00655BB4" w:rsidRPr="0054731E" w14:paraId="7A82902F" w14:textId="77777777" w:rsidTr="00987953">
        <w:tc>
          <w:tcPr>
            <w:tcW w:w="1294" w:type="dxa"/>
          </w:tcPr>
          <w:p w14:paraId="37710A9A" w14:textId="77777777" w:rsidR="00655BB4" w:rsidRPr="0054731E" w:rsidRDefault="00655BB4" w:rsidP="00566AE5">
            <w:pPr>
              <w:pStyle w:val="regpar"/>
              <w:spacing w:line="240" w:lineRule="auto"/>
              <w:ind w:firstLine="0"/>
              <w:rPr>
                <w:rFonts w:asciiTheme="minorHAnsi" w:hAnsiTheme="minorHAnsi" w:cstheme="minorHAnsi"/>
              </w:rPr>
            </w:pPr>
          </w:p>
        </w:tc>
        <w:tc>
          <w:tcPr>
            <w:tcW w:w="2588" w:type="dxa"/>
            <w:gridSpan w:val="2"/>
          </w:tcPr>
          <w:p w14:paraId="3D2D1357" w14:textId="12755311"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Chain 1 – Urban</w:t>
            </w:r>
          </w:p>
        </w:tc>
        <w:tc>
          <w:tcPr>
            <w:tcW w:w="2590" w:type="dxa"/>
            <w:gridSpan w:val="2"/>
          </w:tcPr>
          <w:p w14:paraId="478E29FE" w14:textId="3F671276"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Chain 1 – Discount</w:t>
            </w:r>
          </w:p>
        </w:tc>
        <w:tc>
          <w:tcPr>
            <w:tcW w:w="2590" w:type="dxa"/>
            <w:gridSpan w:val="2"/>
          </w:tcPr>
          <w:p w14:paraId="43B10E68" w14:textId="5DF51B60"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Chain 2</w:t>
            </w:r>
          </w:p>
        </w:tc>
      </w:tr>
      <w:tr w:rsidR="00655BB4" w:rsidRPr="0054731E" w14:paraId="056C6159" w14:textId="77777777" w:rsidTr="00655BB4">
        <w:tc>
          <w:tcPr>
            <w:tcW w:w="1294" w:type="dxa"/>
          </w:tcPr>
          <w:p w14:paraId="7DE24432" w14:textId="77777777" w:rsidR="00655BB4" w:rsidRPr="0054731E" w:rsidRDefault="00655BB4" w:rsidP="00566AE5">
            <w:pPr>
              <w:pStyle w:val="regpar"/>
              <w:spacing w:line="240" w:lineRule="auto"/>
              <w:ind w:firstLine="0"/>
              <w:rPr>
                <w:rFonts w:asciiTheme="minorHAnsi" w:hAnsiTheme="minorHAnsi" w:cstheme="minorHAnsi"/>
              </w:rPr>
            </w:pPr>
          </w:p>
        </w:tc>
        <w:tc>
          <w:tcPr>
            <w:tcW w:w="1294" w:type="dxa"/>
          </w:tcPr>
          <w:p w14:paraId="6C5F2C5F" w14:textId="21A52F80"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Supplier</w:t>
            </w:r>
          </w:p>
        </w:tc>
        <w:tc>
          <w:tcPr>
            <w:tcW w:w="1294" w:type="dxa"/>
          </w:tcPr>
          <w:p w14:paraId="1A361C3E" w14:textId="3C7672DA"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Private brand</w:t>
            </w:r>
          </w:p>
        </w:tc>
        <w:tc>
          <w:tcPr>
            <w:tcW w:w="1295" w:type="dxa"/>
          </w:tcPr>
          <w:p w14:paraId="28E6475F" w14:textId="5055F96F"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Supplier</w:t>
            </w:r>
          </w:p>
        </w:tc>
        <w:tc>
          <w:tcPr>
            <w:tcW w:w="1295" w:type="dxa"/>
          </w:tcPr>
          <w:p w14:paraId="254CE0FA" w14:textId="1F52CC3F"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Private brand</w:t>
            </w:r>
          </w:p>
        </w:tc>
        <w:tc>
          <w:tcPr>
            <w:tcW w:w="1295" w:type="dxa"/>
          </w:tcPr>
          <w:p w14:paraId="115FAC04" w14:textId="277DD1E5"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Supplier</w:t>
            </w:r>
          </w:p>
        </w:tc>
        <w:tc>
          <w:tcPr>
            <w:tcW w:w="1295" w:type="dxa"/>
          </w:tcPr>
          <w:p w14:paraId="1E56DD16" w14:textId="455007E8"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Private brand</w:t>
            </w:r>
          </w:p>
        </w:tc>
      </w:tr>
      <w:tr w:rsidR="00655BB4" w:rsidRPr="0054731E" w14:paraId="067B9CC7" w14:textId="77777777" w:rsidTr="00655BB4">
        <w:tc>
          <w:tcPr>
            <w:tcW w:w="1294" w:type="dxa"/>
          </w:tcPr>
          <w:p w14:paraId="29DF4A55" w14:textId="5164D13A" w:rsidR="00655BB4" w:rsidRPr="0054731E" w:rsidRDefault="00655BB4" w:rsidP="00566AE5">
            <w:pPr>
              <w:pStyle w:val="regpar"/>
              <w:spacing w:line="240" w:lineRule="auto"/>
              <w:ind w:firstLine="0"/>
              <w:rPr>
                <w:rFonts w:asciiTheme="minorHAnsi" w:hAnsiTheme="minorHAnsi" w:cstheme="minorHAnsi"/>
              </w:rPr>
            </w:pPr>
            <w:r w:rsidRPr="0054731E">
              <w:rPr>
                <w:rFonts w:asciiTheme="minorHAnsi" w:hAnsiTheme="minorHAnsi" w:cstheme="minorHAnsi"/>
              </w:rPr>
              <w:t>Hummus spread</w:t>
            </w:r>
          </w:p>
        </w:tc>
        <w:tc>
          <w:tcPr>
            <w:tcW w:w="1294" w:type="dxa"/>
          </w:tcPr>
          <w:p w14:paraId="76335ECA" w14:textId="442CAF56"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8.4</w:t>
            </w:r>
          </w:p>
        </w:tc>
        <w:tc>
          <w:tcPr>
            <w:tcW w:w="1294" w:type="dxa"/>
          </w:tcPr>
          <w:p w14:paraId="2BC86944" w14:textId="014F48F8"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0</w:t>
            </w:r>
          </w:p>
        </w:tc>
        <w:tc>
          <w:tcPr>
            <w:tcW w:w="1295" w:type="dxa"/>
          </w:tcPr>
          <w:p w14:paraId="427B0F2C" w14:textId="17477C37"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9.2</w:t>
            </w:r>
          </w:p>
        </w:tc>
        <w:tc>
          <w:tcPr>
            <w:tcW w:w="1295" w:type="dxa"/>
          </w:tcPr>
          <w:p w14:paraId="0601F10A" w14:textId="2C750301"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0</w:t>
            </w:r>
          </w:p>
        </w:tc>
        <w:tc>
          <w:tcPr>
            <w:tcW w:w="1295" w:type="dxa"/>
          </w:tcPr>
          <w:p w14:paraId="1388CF3F" w14:textId="496F8F86"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10.2</w:t>
            </w:r>
          </w:p>
        </w:tc>
        <w:tc>
          <w:tcPr>
            <w:tcW w:w="1295" w:type="dxa"/>
          </w:tcPr>
          <w:p w14:paraId="028369B9" w14:textId="704CA03F"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11.2</w:t>
            </w:r>
          </w:p>
        </w:tc>
      </w:tr>
      <w:tr w:rsidR="00655BB4" w:rsidRPr="0054731E" w14:paraId="009263E0" w14:textId="77777777" w:rsidTr="00655BB4">
        <w:tc>
          <w:tcPr>
            <w:tcW w:w="1294" w:type="dxa"/>
          </w:tcPr>
          <w:p w14:paraId="4F3A251C" w14:textId="762A0A4F" w:rsidR="00655BB4" w:rsidRPr="0054731E" w:rsidRDefault="00655BB4" w:rsidP="00566AE5">
            <w:pPr>
              <w:pStyle w:val="regpar"/>
              <w:spacing w:line="240" w:lineRule="auto"/>
              <w:ind w:firstLine="0"/>
              <w:rPr>
                <w:rFonts w:asciiTheme="minorHAnsi" w:hAnsiTheme="minorHAnsi" w:cstheme="minorHAnsi"/>
              </w:rPr>
            </w:pPr>
            <w:r w:rsidRPr="0054731E">
              <w:rPr>
                <w:rFonts w:asciiTheme="minorHAnsi" w:hAnsiTheme="minorHAnsi" w:cstheme="minorHAnsi"/>
              </w:rPr>
              <w:t>Oatmeal</w:t>
            </w:r>
          </w:p>
        </w:tc>
        <w:tc>
          <w:tcPr>
            <w:tcW w:w="1294" w:type="dxa"/>
          </w:tcPr>
          <w:p w14:paraId="04AE7118" w14:textId="77D975C3"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5.4</w:t>
            </w:r>
          </w:p>
        </w:tc>
        <w:tc>
          <w:tcPr>
            <w:tcW w:w="1294" w:type="dxa"/>
          </w:tcPr>
          <w:p w14:paraId="33354650" w14:textId="6C87A85B"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0</w:t>
            </w:r>
          </w:p>
        </w:tc>
        <w:tc>
          <w:tcPr>
            <w:tcW w:w="1295" w:type="dxa"/>
          </w:tcPr>
          <w:p w14:paraId="1DD7456E" w14:textId="3D2CCFB9"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5.4</w:t>
            </w:r>
          </w:p>
        </w:tc>
        <w:tc>
          <w:tcPr>
            <w:tcW w:w="1295" w:type="dxa"/>
          </w:tcPr>
          <w:p w14:paraId="668F42AF" w14:textId="7B29CDAF"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0</w:t>
            </w:r>
          </w:p>
        </w:tc>
        <w:tc>
          <w:tcPr>
            <w:tcW w:w="1295" w:type="dxa"/>
          </w:tcPr>
          <w:p w14:paraId="20FE167B" w14:textId="0DC4BED8"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0</w:t>
            </w:r>
          </w:p>
        </w:tc>
        <w:tc>
          <w:tcPr>
            <w:tcW w:w="1295" w:type="dxa"/>
          </w:tcPr>
          <w:p w14:paraId="4EB13D88" w14:textId="4FDA1925"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0</w:t>
            </w:r>
          </w:p>
        </w:tc>
      </w:tr>
      <w:tr w:rsidR="00655BB4" w:rsidRPr="0054731E" w14:paraId="2AAF6EC6" w14:textId="77777777" w:rsidTr="00655BB4">
        <w:tc>
          <w:tcPr>
            <w:tcW w:w="1294" w:type="dxa"/>
          </w:tcPr>
          <w:p w14:paraId="0B0E3735" w14:textId="3AA0FAD7" w:rsidR="00655BB4" w:rsidRPr="0054731E" w:rsidRDefault="00655BB4" w:rsidP="00566AE5">
            <w:pPr>
              <w:pStyle w:val="regpar"/>
              <w:spacing w:line="240" w:lineRule="auto"/>
              <w:ind w:firstLine="0"/>
              <w:rPr>
                <w:rFonts w:asciiTheme="minorHAnsi" w:hAnsiTheme="minorHAnsi" w:cstheme="minorHAnsi"/>
              </w:rPr>
            </w:pPr>
            <w:r w:rsidRPr="0054731E">
              <w:rPr>
                <w:rFonts w:asciiTheme="minorHAnsi" w:hAnsiTheme="minorHAnsi" w:cstheme="minorHAnsi"/>
              </w:rPr>
              <w:t>Bittersweet chocolate</w:t>
            </w:r>
          </w:p>
        </w:tc>
        <w:tc>
          <w:tcPr>
            <w:tcW w:w="1294" w:type="dxa"/>
          </w:tcPr>
          <w:p w14:paraId="3B68B3E3" w14:textId="22548F0B"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14.1</w:t>
            </w:r>
          </w:p>
        </w:tc>
        <w:tc>
          <w:tcPr>
            <w:tcW w:w="1294" w:type="dxa"/>
          </w:tcPr>
          <w:p w14:paraId="3AC9E352" w14:textId="21007071"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0</w:t>
            </w:r>
          </w:p>
        </w:tc>
        <w:tc>
          <w:tcPr>
            <w:tcW w:w="1295" w:type="dxa"/>
          </w:tcPr>
          <w:p w14:paraId="6E228678" w14:textId="418B3D9A"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15.3</w:t>
            </w:r>
          </w:p>
        </w:tc>
        <w:tc>
          <w:tcPr>
            <w:tcW w:w="1295" w:type="dxa"/>
          </w:tcPr>
          <w:p w14:paraId="3D8DA6F3" w14:textId="15C7101E"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0</w:t>
            </w:r>
          </w:p>
        </w:tc>
        <w:tc>
          <w:tcPr>
            <w:tcW w:w="1295" w:type="dxa"/>
          </w:tcPr>
          <w:p w14:paraId="7E4A8DC4" w14:textId="10C21A34"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2</w:t>
            </w:r>
          </w:p>
        </w:tc>
        <w:tc>
          <w:tcPr>
            <w:tcW w:w="1295" w:type="dxa"/>
          </w:tcPr>
          <w:p w14:paraId="0D2DA213" w14:textId="0174056D"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0</w:t>
            </w:r>
          </w:p>
        </w:tc>
      </w:tr>
      <w:tr w:rsidR="00655BB4" w:rsidRPr="0054731E" w14:paraId="441988C9" w14:textId="77777777" w:rsidTr="00655BB4">
        <w:tc>
          <w:tcPr>
            <w:tcW w:w="1294" w:type="dxa"/>
          </w:tcPr>
          <w:p w14:paraId="27395A6D" w14:textId="678E7BB3" w:rsidR="00655BB4" w:rsidRPr="0054731E" w:rsidRDefault="00655BB4" w:rsidP="00566AE5">
            <w:pPr>
              <w:pStyle w:val="regpar"/>
              <w:spacing w:line="240" w:lineRule="auto"/>
              <w:ind w:firstLine="0"/>
              <w:rPr>
                <w:rFonts w:asciiTheme="minorHAnsi" w:hAnsiTheme="minorHAnsi" w:cstheme="minorHAnsi"/>
              </w:rPr>
            </w:pPr>
            <w:r w:rsidRPr="0054731E">
              <w:rPr>
                <w:rFonts w:asciiTheme="minorHAnsi" w:hAnsiTheme="minorHAnsi" w:cstheme="minorHAnsi"/>
              </w:rPr>
              <w:t>Cherry jam</w:t>
            </w:r>
          </w:p>
        </w:tc>
        <w:tc>
          <w:tcPr>
            <w:tcW w:w="1294" w:type="dxa"/>
          </w:tcPr>
          <w:p w14:paraId="5E4EDFC9" w14:textId="157871E1"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9.9</w:t>
            </w:r>
          </w:p>
        </w:tc>
        <w:tc>
          <w:tcPr>
            <w:tcW w:w="1294" w:type="dxa"/>
          </w:tcPr>
          <w:p w14:paraId="12EC1A35" w14:textId="5EAABBD9"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0.7</w:t>
            </w:r>
          </w:p>
        </w:tc>
        <w:tc>
          <w:tcPr>
            <w:tcW w:w="1295" w:type="dxa"/>
          </w:tcPr>
          <w:p w14:paraId="06B62438" w14:textId="1CED35B1"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9.9</w:t>
            </w:r>
          </w:p>
        </w:tc>
        <w:tc>
          <w:tcPr>
            <w:tcW w:w="1295" w:type="dxa"/>
          </w:tcPr>
          <w:p w14:paraId="14983E54" w14:textId="26F814D3"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0.7</w:t>
            </w:r>
          </w:p>
        </w:tc>
        <w:tc>
          <w:tcPr>
            <w:tcW w:w="1295" w:type="dxa"/>
          </w:tcPr>
          <w:p w14:paraId="2F9BE905" w14:textId="09698643"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9.6</w:t>
            </w:r>
          </w:p>
        </w:tc>
        <w:tc>
          <w:tcPr>
            <w:tcW w:w="1295" w:type="dxa"/>
          </w:tcPr>
          <w:p w14:paraId="0B4729C1" w14:textId="30506F0A"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0</w:t>
            </w:r>
          </w:p>
        </w:tc>
      </w:tr>
      <w:tr w:rsidR="00655BB4" w:rsidRPr="0054731E" w14:paraId="5C5787B8" w14:textId="77777777" w:rsidTr="00655BB4">
        <w:tc>
          <w:tcPr>
            <w:tcW w:w="1294" w:type="dxa"/>
          </w:tcPr>
          <w:p w14:paraId="22A15F4A" w14:textId="5F3E0AC2" w:rsidR="00655BB4" w:rsidRPr="0054731E" w:rsidRDefault="00655BB4" w:rsidP="00566AE5">
            <w:pPr>
              <w:pStyle w:val="regpar"/>
              <w:spacing w:line="240" w:lineRule="auto"/>
              <w:ind w:firstLine="0"/>
              <w:rPr>
                <w:rFonts w:asciiTheme="minorHAnsi" w:hAnsiTheme="minorHAnsi" w:cstheme="minorHAnsi"/>
              </w:rPr>
            </w:pPr>
            <w:r w:rsidRPr="0054731E">
              <w:rPr>
                <w:rFonts w:asciiTheme="minorHAnsi" w:hAnsiTheme="minorHAnsi" w:cstheme="minorHAnsi"/>
              </w:rPr>
              <w:t>Chocolate powder</w:t>
            </w:r>
          </w:p>
        </w:tc>
        <w:tc>
          <w:tcPr>
            <w:tcW w:w="1294" w:type="dxa"/>
          </w:tcPr>
          <w:p w14:paraId="23D14C50" w14:textId="18C09D0A"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0</w:t>
            </w:r>
          </w:p>
        </w:tc>
        <w:tc>
          <w:tcPr>
            <w:tcW w:w="1294" w:type="dxa"/>
          </w:tcPr>
          <w:p w14:paraId="2F6955E8" w14:textId="30554A45"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0</w:t>
            </w:r>
          </w:p>
        </w:tc>
        <w:tc>
          <w:tcPr>
            <w:tcW w:w="1295" w:type="dxa"/>
          </w:tcPr>
          <w:p w14:paraId="77116BA3" w14:textId="7758A64B"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11.2</w:t>
            </w:r>
          </w:p>
        </w:tc>
        <w:tc>
          <w:tcPr>
            <w:tcW w:w="1295" w:type="dxa"/>
          </w:tcPr>
          <w:p w14:paraId="725B3B8E" w14:textId="1EF0903F"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0</w:t>
            </w:r>
          </w:p>
        </w:tc>
        <w:tc>
          <w:tcPr>
            <w:tcW w:w="1295" w:type="dxa"/>
          </w:tcPr>
          <w:p w14:paraId="3108B3CB" w14:textId="0DDA8440"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0</w:t>
            </w:r>
          </w:p>
        </w:tc>
        <w:tc>
          <w:tcPr>
            <w:tcW w:w="1295" w:type="dxa"/>
          </w:tcPr>
          <w:p w14:paraId="35E63A4E" w14:textId="46F36345"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-14.4</w:t>
            </w:r>
          </w:p>
        </w:tc>
      </w:tr>
      <w:tr w:rsidR="00655BB4" w:rsidRPr="0054731E" w14:paraId="307DE5EB" w14:textId="77777777" w:rsidTr="00655BB4">
        <w:tc>
          <w:tcPr>
            <w:tcW w:w="1294" w:type="dxa"/>
          </w:tcPr>
          <w:p w14:paraId="24FE7F54" w14:textId="5A3EB5FE" w:rsidR="00655BB4" w:rsidRPr="0054731E" w:rsidRDefault="00655BB4" w:rsidP="00566AE5">
            <w:pPr>
              <w:pStyle w:val="regpar"/>
              <w:spacing w:line="240" w:lineRule="auto"/>
              <w:ind w:firstLine="0"/>
              <w:rPr>
                <w:rFonts w:asciiTheme="minorHAnsi" w:hAnsiTheme="minorHAnsi" w:cstheme="minorHAnsi"/>
              </w:rPr>
            </w:pPr>
            <w:r w:rsidRPr="0054731E">
              <w:rPr>
                <w:rFonts w:asciiTheme="minorHAnsi" w:hAnsiTheme="minorHAnsi" w:cstheme="minorHAnsi"/>
              </w:rPr>
              <w:t>Wafers</w:t>
            </w:r>
          </w:p>
        </w:tc>
        <w:tc>
          <w:tcPr>
            <w:tcW w:w="1294" w:type="dxa"/>
          </w:tcPr>
          <w:p w14:paraId="5267790E" w14:textId="53A4C9E0"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14.7</w:t>
            </w:r>
          </w:p>
        </w:tc>
        <w:tc>
          <w:tcPr>
            <w:tcW w:w="1294" w:type="dxa"/>
          </w:tcPr>
          <w:p w14:paraId="669BE91F" w14:textId="6618F777"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7.1</w:t>
            </w:r>
          </w:p>
        </w:tc>
        <w:tc>
          <w:tcPr>
            <w:tcW w:w="1295" w:type="dxa"/>
          </w:tcPr>
          <w:p w14:paraId="064B3EB4" w14:textId="6859584A"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15.4</w:t>
            </w:r>
          </w:p>
        </w:tc>
        <w:tc>
          <w:tcPr>
            <w:tcW w:w="1295" w:type="dxa"/>
          </w:tcPr>
          <w:p w14:paraId="0FB13D36" w14:textId="25D24BE2"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7.1</w:t>
            </w:r>
          </w:p>
        </w:tc>
        <w:tc>
          <w:tcPr>
            <w:tcW w:w="1295" w:type="dxa"/>
          </w:tcPr>
          <w:p w14:paraId="1D85EE7A" w14:textId="06D29D89"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17.1</w:t>
            </w:r>
          </w:p>
        </w:tc>
        <w:tc>
          <w:tcPr>
            <w:tcW w:w="1295" w:type="dxa"/>
          </w:tcPr>
          <w:p w14:paraId="361A7817" w14:textId="58F25122" w:rsidR="00655BB4" w:rsidRPr="0054731E" w:rsidRDefault="00655BB4" w:rsidP="00655BB4">
            <w:pPr>
              <w:pStyle w:val="regpar"/>
              <w:spacing w:line="240" w:lineRule="auto"/>
              <w:ind w:firstLine="0"/>
              <w:jc w:val="center"/>
              <w:rPr>
                <w:rFonts w:asciiTheme="minorHAnsi" w:hAnsiTheme="minorHAnsi" w:cstheme="minorHAnsi"/>
              </w:rPr>
            </w:pPr>
            <w:r w:rsidRPr="0054731E">
              <w:rPr>
                <w:rFonts w:asciiTheme="minorHAnsi" w:hAnsiTheme="minorHAnsi" w:cstheme="minorHAnsi"/>
              </w:rPr>
              <w:t>0</w:t>
            </w:r>
          </w:p>
        </w:tc>
      </w:tr>
    </w:tbl>
    <w:p w14:paraId="72F2FDEA" w14:textId="7AB64111" w:rsidR="00655BB4" w:rsidRPr="0054731E" w:rsidRDefault="00655BB4" w:rsidP="00655BB4">
      <w:pPr>
        <w:pStyle w:val="regpar"/>
        <w:spacing w:line="240" w:lineRule="auto"/>
        <w:ind w:firstLine="0"/>
        <w:rPr>
          <w:rFonts w:asciiTheme="minorHAnsi" w:hAnsiTheme="minorHAnsi" w:cstheme="minorHAnsi"/>
          <w:sz w:val="20"/>
          <w:szCs w:val="20"/>
        </w:rPr>
      </w:pPr>
      <w:r w:rsidRPr="0054731E">
        <w:rPr>
          <w:rFonts w:asciiTheme="minorHAnsi" w:hAnsiTheme="minorHAnsi" w:cstheme="minorHAnsi"/>
          <w:sz w:val="20"/>
          <w:szCs w:val="20"/>
        </w:rPr>
        <w:t>*The rate of change is between the period before the price increase announcement (January 1–12, 2024) and the period after the increase (February 20–29, 2024).</w:t>
      </w:r>
    </w:p>
    <w:p w14:paraId="45BECA88" w14:textId="436CABB5" w:rsidR="00655BB4" w:rsidRPr="0054731E" w:rsidRDefault="00655BB4" w:rsidP="00655BB4">
      <w:pPr>
        <w:pStyle w:val="regpar"/>
        <w:spacing w:line="240" w:lineRule="auto"/>
        <w:ind w:firstLine="0"/>
        <w:rPr>
          <w:rFonts w:asciiTheme="minorHAnsi" w:hAnsiTheme="minorHAnsi" w:cstheme="minorHAnsi"/>
        </w:rPr>
      </w:pPr>
    </w:p>
    <w:p w14:paraId="3B041299" w14:textId="0D9AFCF8" w:rsidR="00655BB4" w:rsidRPr="0054731E" w:rsidRDefault="00655BB4" w:rsidP="00655BB4">
      <w:pPr>
        <w:pStyle w:val="regpar"/>
        <w:spacing w:line="240" w:lineRule="auto"/>
        <w:ind w:firstLine="0"/>
        <w:rPr>
          <w:rFonts w:asciiTheme="minorHAnsi" w:hAnsiTheme="minorHAnsi" w:cstheme="minorHAnsi"/>
        </w:rPr>
      </w:pPr>
    </w:p>
    <w:p w14:paraId="0DE7665A" w14:textId="62FD42E4" w:rsidR="00655BB4" w:rsidRPr="0054731E" w:rsidRDefault="00655BB4" w:rsidP="00655BB4">
      <w:pPr>
        <w:pStyle w:val="regpar"/>
        <w:spacing w:line="240" w:lineRule="auto"/>
        <w:ind w:firstLine="0"/>
        <w:rPr>
          <w:rFonts w:asciiTheme="minorHAnsi" w:hAnsiTheme="minorHAnsi" w:cstheme="minorHAnsi"/>
        </w:rPr>
      </w:pPr>
      <w:r w:rsidRPr="0054731E">
        <w:rPr>
          <w:rFonts w:asciiTheme="minorHAnsi" w:hAnsiTheme="minorHAnsi" w:cstheme="minorHAnsi"/>
          <w:b/>
          <w:bCs/>
        </w:rPr>
        <w:lastRenderedPageBreak/>
        <w:t>Background and data sources:</w:t>
      </w:r>
    </w:p>
    <w:p w14:paraId="28FC190B" w14:textId="6A598A45" w:rsidR="00655BB4" w:rsidRPr="0054731E" w:rsidRDefault="00655BB4" w:rsidP="00655BB4">
      <w:pPr>
        <w:pStyle w:val="regpar"/>
        <w:spacing w:line="240" w:lineRule="auto"/>
        <w:ind w:firstLine="0"/>
        <w:rPr>
          <w:rFonts w:asciiTheme="minorHAnsi" w:hAnsiTheme="minorHAnsi" w:cstheme="minorHAnsi"/>
        </w:rPr>
      </w:pPr>
    </w:p>
    <w:p w14:paraId="09351F7A" w14:textId="2CC6B847" w:rsidR="00655BB4" w:rsidRPr="0054731E" w:rsidRDefault="00655BB4" w:rsidP="007021CD">
      <w:pPr>
        <w:shd w:val="clear" w:color="auto" w:fill="FFFFFF"/>
        <w:spacing w:line="240" w:lineRule="auto"/>
        <w:jc w:val="left"/>
        <w:rPr>
          <w:rFonts w:asciiTheme="minorHAnsi" w:hAnsiTheme="minorHAnsi" w:cstheme="minorHAnsi"/>
          <w:color w:val="000000"/>
        </w:rPr>
      </w:pPr>
      <w:r w:rsidRPr="0054731E">
        <w:rPr>
          <w:rFonts w:asciiTheme="minorHAnsi" w:hAnsiTheme="minorHAnsi" w:cstheme="minorHAnsi"/>
          <w:color w:val="000000"/>
          <w:sz w:val="21"/>
          <w:szCs w:val="21"/>
        </w:rPr>
        <w:br/>
      </w:r>
      <w:r w:rsidRPr="0054731E">
        <w:rPr>
          <w:rFonts w:asciiTheme="minorHAnsi" w:hAnsiTheme="minorHAnsi" w:cstheme="minorHAnsi"/>
          <w:color w:val="000000"/>
        </w:rPr>
        <w:t xml:space="preserve">The analysis </w:t>
      </w:r>
      <w:proofErr w:type="gramStart"/>
      <w:r w:rsidRPr="0054731E">
        <w:rPr>
          <w:rFonts w:asciiTheme="minorHAnsi" w:hAnsiTheme="minorHAnsi" w:cstheme="minorHAnsi"/>
          <w:color w:val="000000"/>
        </w:rPr>
        <w:t>is based</w:t>
      </w:r>
      <w:proofErr w:type="gramEnd"/>
      <w:r w:rsidRPr="0054731E">
        <w:rPr>
          <w:rFonts w:asciiTheme="minorHAnsi" w:hAnsiTheme="minorHAnsi" w:cstheme="minorHAnsi"/>
          <w:color w:val="000000"/>
        </w:rPr>
        <w:t xml:space="preserve"> on the Bank of Israel’s database. The raw data </w:t>
      </w:r>
      <w:r w:rsidR="007021CD" w:rsidRPr="0054731E">
        <w:rPr>
          <w:rFonts w:asciiTheme="minorHAnsi" w:hAnsiTheme="minorHAnsi" w:cstheme="minorHAnsi"/>
          <w:color w:val="000000"/>
        </w:rPr>
        <w:t>come</w:t>
      </w:r>
      <w:r w:rsidRPr="0054731E">
        <w:rPr>
          <w:rFonts w:asciiTheme="minorHAnsi" w:hAnsiTheme="minorHAnsi" w:cstheme="minorHAnsi"/>
          <w:color w:val="000000"/>
        </w:rPr>
        <w:t xml:space="preserve"> from the</w:t>
      </w:r>
      <w:r w:rsidR="007021CD" w:rsidRPr="0054731E">
        <w:rPr>
          <w:rFonts w:asciiTheme="minorHAnsi" w:hAnsiTheme="minorHAnsi" w:cstheme="minorHAnsi"/>
          <w:color w:val="000000"/>
        </w:rPr>
        <w:t xml:space="preserve"> retail chains’</w:t>
      </w:r>
      <w:r w:rsidRPr="0054731E">
        <w:rPr>
          <w:rFonts w:asciiTheme="minorHAnsi" w:hAnsiTheme="minorHAnsi" w:cstheme="minorHAnsi"/>
          <w:color w:val="000000"/>
        </w:rPr>
        <w:t xml:space="preserve"> mandatory disclosures</w:t>
      </w:r>
      <w:r w:rsidR="007021CD" w:rsidRPr="0054731E">
        <w:rPr>
          <w:rFonts w:asciiTheme="minorHAnsi" w:hAnsiTheme="minorHAnsi" w:cstheme="minorHAnsi"/>
          <w:color w:val="000000"/>
        </w:rPr>
        <w:t xml:space="preserve"> pursuant</w:t>
      </w:r>
      <w:r w:rsidRPr="0054731E">
        <w:rPr>
          <w:rFonts w:asciiTheme="minorHAnsi" w:hAnsiTheme="minorHAnsi" w:cstheme="minorHAnsi"/>
          <w:color w:val="000000"/>
        </w:rPr>
        <w:t xml:space="preserve"> to the "Price Transparency" Law (2014). Th</w:t>
      </w:r>
      <w:r w:rsidR="007021CD" w:rsidRPr="0054731E">
        <w:rPr>
          <w:rFonts w:asciiTheme="minorHAnsi" w:hAnsiTheme="minorHAnsi" w:cstheme="minorHAnsi"/>
          <w:color w:val="000000"/>
        </w:rPr>
        <w:t>e</w:t>
      </w:r>
      <w:r w:rsidRPr="0054731E">
        <w:rPr>
          <w:rFonts w:asciiTheme="minorHAnsi" w:hAnsiTheme="minorHAnsi" w:cstheme="minorHAnsi"/>
          <w:color w:val="000000"/>
        </w:rPr>
        <w:t>s</w:t>
      </w:r>
      <w:r w:rsidR="007021CD" w:rsidRPr="0054731E">
        <w:rPr>
          <w:rFonts w:asciiTheme="minorHAnsi" w:hAnsiTheme="minorHAnsi" w:cstheme="minorHAnsi"/>
          <w:color w:val="000000"/>
        </w:rPr>
        <w:t>e</w:t>
      </w:r>
      <w:r w:rsidRPr="0054731E">
        <w:rPr>
          <w:rFonts w:asciiTheme="minorHAnsi" w:hAnsiTheme="minorHAnsi" w:cstheme="minorHAnsi"/>
          <w:color w:val="000000"/>
        </w:rPr>
        <w:t xml:space="preserve"> data include daily information on the prices of all products sold in large retail chains nationwide, along with</w:t>
      </w:r>
      <w:r w:rsidR="007021CD" w:rsidRPr="0054731E">
        <w:rPr>
          <w:rFonts w:asciiTheme="minorHAnsi" w:hAnsiTheme="minorHAnsi" w:cstheme="minorHAnsi"/>
          <w:color w:val="000000"/>
        </w:rPr>
        <w:t xml:space="preserve"> information on</w:t>
      </w:r>
      <w:r w:rsidRPr="0054731E">
        <w:rPr>
          <w:rFonts w:asciiTheme="minorHAnsi" w:hAnsiTheme="minorHAnsi" w:cstheme="minorHAnsi"/>
          <w:color w:val="000000"/>
        </w:rPr>
        <w:t xml:space="preserve"> basic product characteristics (e.g., manufacturer and weight). The raw price data </w:t>
      </w:r>
      <w:proofErr w:type="gramStart"/>
      <w:r w:rsidRPr="0054731E">
        <w:rPr>
          <w:rFonts w:asciiTheme="minorHAnsi" w:hAnsiTheme="minorHAnsi" w:cstheme="minorHAnsi"/>
          <w:color w:val="000000"/>
        </w:rPr>
        <w:t>w</w:t>
      </w:r>
      <w:r w:rsidR="007021CD" w:rsidRPr="0054731E">
        <w:rPr>
          <w:rFonts w:asciiTheme="minorHAnsi" w:hAnsiTheme="minorHAnsi" w:cstheme="minorHAnsi"/>
          <w:color w:val="000000"/>
        </w:rPr>
        <w:t>ere</w:t>
      </w:r>
      <w:r w:rsidRPr="0054731E">
        <w:rPr>
          <w:rFonts w:asciiTheme="minorHAnsi" w:hAnsiTheme="minorHAnsi" w:cstheme="minorHAnsi"/>
          <w:color w:val="000000"/>
        </w:rPr>
        <w:t xml:space="preserve"> processed</w:t>
      </w:r>
      <w:proofErr w:type="gramEnd"/>
      <w:r w:rsidRPr="0054731E">
        <w:rPr>
          <w:rFonts w:asciiTheme="minorHAnsi" w:hAnsiTheme="minorHAnsi" w:cstheme="minorHAnsi"/>
          <w:color w:val="000000"/>
        </w:rPr>
        <w:t xml:space="preserve"> to reflect the actual consumer price, including all discounts. Additionally, prices </w:t>
      </w:r>
      <w:proofErr w:type="gramStart"/>
      <w:r w:rsidRPr="0054731E">
        <w:rPr>
          <w:rFonts w:asciiTheme="minorHAnsi" w:hAnsiTheme="minorHAnsi" w:cstheme="minorHAnsi"/>
          <w:color w:val="000000"/>
        </w:rPr>
        <w:t>were standardized</w:t>
      </w:r>
      <w:proofErr w:type="gramEnd"/>
      <w:r w:rsidRPr="0054731E">
        <w:rPr>
          <w:rFonts w:asciiTheme="minorHAnsi" w:hAnsiTheme="minorHAnsi" w:cstheme="minorHAnsi"/>
          <w:color w:val="000000"/>
        </w:rPr>
        <w:t xml:space="preserve"> to a uniform weight unit (100 grams) to allow comparisons between the prices of different brands. The analysis focused on six products that met the following three criteria:</w:t>
      </w:r>
    </w:p>
    <w:p w14:paraId="5605526D" w14:textId="0CAF4543" w:rsidR="00655BB4" w:rsidRPr="0054731E" w:rsidRDefault="00655BB4" w:rsidP="007021CD">
      <w:pPr>
        <w:numPr>
          <w:ilvl w:val="0"/>
          <w:numId w:val="20"/>
        </w:numPr>
        <w:shd w:val="clear" w:color="auto" w:fill="FFFFFF"/>
        <w:spacing w:before="100" w:beforeAutospacing="1" w:after="100" w:afterAutospacing="1" w:line="240" w:lineRule="auto"/>
        <w:jc w:val="left"/>
        <w:rPr>
          <w:rFonts w:asciiTheme="minorHAnsi" w:hAnsiTheme="minorHAnsi" w:cstheme="minorHAnsi"/>
          <w:color w:val="000000"/>
        </w:rPr>
      </w:pPr>
      <w:r w:rsidRPr="0054731E">
        <w:rPr>
          <w:rFonts w:asciiTheme="minorHAnsi" w:hAnsiTheme="minorHAnsi" w:cstheme="minorHAnsi"/>
          <w:color w:val="000000"/>
        </w:rPr>
        <w:t xml:space="preserve">The product was included in the </w:t>
      </w:r>
      <w:r w:rsidR="007021CD" w:rsidRPr="0054731E">
        <w:rPr>
          <w:rFonts w:asciiTheme="minorHAnsi" w:hAnsiTheme="minorHAnsi" w:cstheme="minorHAnsi"/>
          <w:color w:val="000000"/>
        </w:rPr>
        <w:t xml:space="preserve">round of </w:t>
      </w:r>
      <w:r w:rsidRPr="0054731E">
        <w:rPr>
          <w:rFonts w:asciiTheme="minorHAnsi" w:hAnsiTheme="minorHAnsi" w:cstheme="minorHAnsi"/>
          <w:color w:val="000000"/>
        </w:rPr>
        <w:t>price increase</w:t>
      </w:r>
      <w:r w:rsidR="007021CD" w:rsidRPr="0054731E">
        <w:rPr>
          <w:rFonts w:asciiTheme="minorHAnsi" w:hAnsiTheme="minorHAnsi" w:cstheme="minorHAnsi"/>
          <w:color w:val="000000"/>
        </w:rPr>
        <w:t>s b</w:t>
      </w:r>
      <w:r w:rsidRPr="0054731E">
        <w:rPr>
          <w:rFonts w:asciiTheme="minorHAnsi" w:hAnsiTheme="minorHAnsi" w:cstheme="minorHAnsi"/>
          <w:color w:val="000000"/>
        </w:rPr>
        <w:t>y the examined food supplier in February 2024.</w:t>
      </w:r>
    </w:p>
    <w:p w14:paraId="253807E6" w14:textId="77777777" w:rsidR="00655BB4" w:rsidRPr="0054731E" w:rsidRDefault="00655BB4" w:rsidP="00655BB4">
      <w:pPr>
        <w:numPr>
          <w:ilvl w:val="0"/>
          <w:numId w:val="20"/>
        </w:numPr>
        <w:shd w:val="clear" w:color="auto" w:fill="FFFFFF"/>
        <w:spacing w:before="100" w:beforeAutospacing="1" w:after="100" w:afterAutospacing="1" w:line="240" w:lineRule="auto"/>
        <w:jc w:val="left"/>
        <w:rPr>
          <w:rFonts w:asciiTheme="minorHAnsi" w:hAnsiTheme="minorHAnsi" w:cstheme="minorHAnsi"/>
          <w:color w:val="000000"/>
        </w:rPr>
      </w:pPr>
      <w:r w:rsidRPr="0054731E">
        <w:rPr>
          <w:rFonts w:asciiTheme="minorHAnsi" w:hAnsiTheme="minorHAnsi" w:cstheme="minorHAnsi"/>
          <w:color w:val="000000"/>
        </w:rPr>
        <w:t>Both retail chains had a similar private brand product.</w:t>
      </w:r>
    </w:p>
    <w:p w14:paraId="7193D666" w14:textId="45C4A450" w:rsidR="00655BB4" w:rsidRPr="0054731E" w:rsidRDefault="00655BB4" w:rsidP="007021CD">
      <w:pPr>
        <w:numPr>
          <w:ilvl w:val="0"/>
          <w:numId w:val="20"/>
        </w:numPr>
        <w:shd w:val="clear" w:color="auto" w:fill="FFFFFF"/>
        <w:spacing w:before="100" w:beforeAutospacing="1" w:after="100" w:afterAutospacing="1" w:line="240" w:lineRule="auto"/>
        <w:jc w:val="left"/>
        <w:rPr>
          <w:rFonts w:asciiTheme="minorHAnsi" w:hAnsiTheme="minorHAnsi" w:cstheme="minorHAnsi"/>
          <w:color w:val="000000"/>
        </w:rPr>
      </w:pPr>
      <w:r w:rsidRPr="0054731E">
        <w:rPr>
          <w:rFonts w:asciiTheme="minorHAnsi" w:hAnsiTheme="minorHAnsi" w:cstheme="minorHAnsi"/>
          <w:color w:val="000000"/>
        </w:rPr>
        <w:t>Complete data w</w:t>
      </w:r>
      <w:r w:rsidR="007021CD" w:rsidRPr="0054731E">
        <w:rPr>
          <w:rFonts w:asciiTheme="minorHAnsi" w:hAnsiTheme="minorHAnsi" w:cstheme="minorHAnsi"/>
          <w:color w:val="000000"/>
        </w:rPr>
        <w:t>ere</w:t>
      </w:r>
      <w:r w:rsidRPr="0054731E">
        <w:rPr>
          <w:rFonts w:asciiTheme="minorHAnsi" w:hAnsiTheme="minorHAnsi" w:cstheme="minorHAnsi"/>
          <w:color w:val="000000"/>
        </w:rPr>
        <w:t xml:space="preserve"> available for these products during the examined periods, and they appeared in at</w:t>
      </w:r>
      <w:r w:rsidR="007021CD" w:rsidRPr="0054731E">
        <w:rPr>
          <w:rFonts w:asciiTheme="minorHAnsi" w:hAnsiTheme="minorHAnsi" w:cstheme="minorHAnsi"/>
          <w:color w:val="000000"/>
        </w:rPr>
        <w:t xml:space="preserve"> least 40 percent</w:t>
      </w:r>
      <w:r w:rsidRPr="0054731E">
        <w:rPr>
          <w:rFonts w:asciiTheme="minorHAnsi" w:hAnsiTheme="minorHAnsi" w:cstheme="minorHAnsi"/>
          <w:color w:val="000000"/>
        </w:rPr>
        <w:t xml:space="preserve"> of the stores on all days.</w:t>
      </w:r>
    </w:p>
    <w:p w14:paraId="4F94EAB5" w14:textId="23E05EEA" w:rsidR="00655BB4" w:rsidRPr="0054731E" w:rsidRDefault="00655BB4" w:rsidP="007021CD">
      <w:pPr>
        <w:shd w:val="clear" w:color="auto" w:fill="FFFFFF"/>
        <w:spacing w:line="240" w:lineRule="auto"/>
        <w:jc w:val="left"/>
        <w:rPr>
          <w:rFonts w:asciiTheme="minorHAnsi" w:hAnsiTheme="minorHAnsi" w:cstheme="minorHAnsi"/>
          <w:color w:val="000000"/>
        </w:rPr>
      </w:pPr>
      <w:r w:rsidRPr="0054731E">
        <w:rPr>
          <w:rFonts w:asciiTheme="minorHAnsi" w:hAnsiTheme="minorHAnsi" w:cstheme="minorHAnsi"/>
          <w:color w:val="000000"/>
        </w:rPr>
        <w:t xml:space="preserve">It is important to recognize the limitations of this analysis. Due to the defined criteria, only six products </w:t>
      </w:r>
      <w:proofErr w:type="gramStart"/>
      <w:r w:rsidRPr="0054731E">
        <w:rPr>
          <w:rFonts w:asciiTheme="minorHAnsi" w:hAnsiTheme="minorHAnsi" w:cstheme="minorHAnsi"/>
          <w:color w:val="000000"/>
        </w:rPr>
        <w:t>were examined</w:t>
      </w:r>
      <w:proofErr w:type="gramEnd"/>
      <w:r w:rsidRPr="0054731E">
        <w:rPr>
          <w:rFonts w:asciiTheme="minorHAnsi" w:hAnsiTheme="minorHAnsi" w:cstheme="minorHAnsi"/>
          <w:color w:val="000000"/>
        </w:rPr>
        <w:t xml:space="preserve">. Additionally, the analysis examined a specific price increase by one food supplier, although other food suppliers also raised prices. Therefore, while the analysis provides insights into price behavior in retail chains, it </w:t>
      </w:r>
      <w:proofErr w:type="gramStart"/>
      <w:r w:rsidRPr="0054731E">
        <w:rPr>
          <w:rFonts w:asciiTheme="minorHAnsi" w:hAnsiTheme="minorHAnsi" w:cstheme="minorHAnsi"/>
          <w:color w:val="000000"/>
        </w:rPr>
        <w:t>is based</w:t>
      </w:r>
      <w:proofErr w:type="gramEnd"/>
      <w:r w:rsidRPr="0054731E">
        <w:rPr>
          <w:rFonts w:asciiTheme="minorHAnsi" w:hAnsiTheme="minorHAnsi" w:cstheme="minorHAnsi"/>
          <w:color w:val="000000"/>
        </w:rPr>
        <w:t xml:space="preserve"> on a case study and not a comprehensive market examination.</w:t>
      </w:r>
    </w:p>
    <w:p w14:paraId="081A59A7" w14:textId="77777777" w:rsidR="00655BB4" w:rsidRPr="0054731E" w:rsidRDefault="00655BB4" w:rsidP="00655BB4">
      <w:pPr>
        <w:pStyle w:val="regpar"/>
        <w:spacing w:line="240" w:lineRule="auto"/>
        <w:ind w:firstLine="0"/>
        <w:rPr>
          <w:rFonts w:asciiTheme="minorHAnsi" w:hAnsiTheme="minorHAnsi" w:cstheme="minorHAnsi"/>
        </w:rPr>
      </w:pPr>
    </w:p>
    <w:sectPr w:rsidR="00655BB4" w:rsidRPr="0054731E" w:rsidSect="004F5A85">
      <w:headerReference w:type="default" r:id="rId13"/>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69287" w14:textId="77777777" w:rsidR="000B6617" w:rsidRDefault="000B6617">
      <w:pPr>
        <w:spacing w:line="240" w:lineRule="auto"/>
      </w:pPr>
      <w:r>
        <w:separator/>
      </w:r>
    </w:p>
  </w:endnote>
  <w:endnote w:type="continuationSeparator" w:id="0">
    <w:p w14:paraId="0963E273" w14:textId="77777777" w:rsidR="000B6617" w:rsidRDefault="000B6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D0888" w14:textId="77777777" w:rsidR="000B6617" w:rsidRDefault="000B6617">
      <w:pPr>
        <w:spacing w:line="160" w:lineRule="exact"/>
      </w:pPr>
    </w:p>
  </w:footnote>
  <w:footnote w:type="continuationSeparator" w:id="0">
    <w:p w14:paraId="595C9F61" w14:textId="77777777" w:rsidR="000B6617" w:rsidRDefault="000B6617">
      <w:pPr>
        <w:pStyle w:val="rule"/>
      </w:pPr>
      <w:r>
        <w:t>–––––––––––––––––––––––––––</w:t>
      </w:r>
    </w:p>
    <w:p w14:paraId="515B1F42" w14:textId="77777777" w:rsidR="000B6617" w:rsidRDefault="000B6617">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5668A"/>
    <w:multiLevelType w:val="hybridMultilevel"/>
    <w:tmpl w:val="106A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15:restartNumberingAfterBreak="0">
    <w:nsid w:val="6D813ABB"/>
    <w:multiLevelType w:val="multilevel"/>
    <w:tmpl w:val="AD0C2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15"/>
  </w:num>
  <w:num w:numId="5">
    <w:abstractNumId w:val="1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5"/>
  </w:num>
  <w:num w:numId="10">
    <w:abstractNumId w:val="17"/>
  </w:num>
  <w:num w:numId="11">
    <w:abstractNumId w:val="12"/>
  </w:num>
  <w:num w:numId="12">
    <w:abstractNumId w:val="10"/>
  </w:num>
  <w:num w:numId="13">
    <w:abstractNumId w:val="4"/>
  </w:num>
  <w:num w:numId="14">
    <w:abstractNumId w:val="2"/>
  </w:num>
  <w:num w:numId="15">
    <w:abstractNumId w:val="11"/>
  </w:num>
  <w:num w:numId="16">
    <w:abstractNumId w:val="1"/>
  </w:num>
  <w:num w:numId="17">
    <w:abstractNumId w:val="18"/>
  </w:num>
  <w:num w:numId="18">
    <w:abstractNumId w:val="7"/>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8EA"/>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4731E"/>
    <w:rsid w:val="005504CF"/>
    <w:rsid w:val="00554AC0"/>
    <w:rsid w:val="0055658B"/>
    <w:rsid w:val="0056099E"/>
    <w:rsid w:val="00562B0B"/>
    <w:rsid w:val="00566AE5"/>
    <w:rsid w:val="005676E1"/>
    <w:rsid w:val="00572E97"/>
    <w:rsid w:val="00581AE6"/>
    <w:rsid w:val="00586CCB"/>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BB4"/>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21CD"/>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096A"/>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5530"/>
    <w:rsid w:val="00E37EA3"/>
    <w:rsid w:val="00E40792"/>
    <w:rsid w:val="00E448BF"/>
    <w:rsid w:val="00E50A6B"/>
    <w:rsid w:val="00E52DD0"/>
    <w:rsid w:val="00E645EE"/>
    <w:rsid w:val="00E6497E"/>
    <w:rsid w:val="00E65CA7"/>
    <w:rsid w:val="00E67A70"/>
    <w:rsid w:val="00E701BC"/>
    <w:rsid w:val="00E74B20"/>
    <w:rsid w:val="00E83A82"/>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1641"/>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06825437">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7CB3AD7-C05B-4FB1-A8D2-B75B3DAE7EF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A8A75-F2CF-4538-AFEC-D623F38F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5751</Characters>
  <Application>Microsoft Office Word</Application>
  <DocSecurity>4</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2024-09-30T09:57:00Z</dcterms:created>
  <dcterms:modified xsi:type="dcterms:W3CDTF">2024-09-30T09:57:00Z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