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AF27B1" w:rsidTr="00031A9D">
        <w:tc>
          <w:tcPr>
            <w:tcW w:w="3343" w:type="dxa"/>
            <w:tcBorders>
              <w:top w:val="nil"/>
              <w:left w:val="nil"/>
              <w:bottom w:val="nil"/>
              <w:right w:val="nil"/>
            </w:tcBorders>
            <w:vAlign w:val="center"/>
          </w:tcPr>
          <w:p w:rsidR="00031A9D" w:rsidRPr="00AF27B1" w:rsidRDefault="00031A9D" w:rsidP="00AF27B1">
            <w:pPr>
              <w:bidi/>
              <w:spacing w:line="276" w:lineRule="auto"/>
              <w:rPr>
                <w:rFonts w:asciiTheme="minorHAnsi" w:hAnsiTheme="minorHAnsi" w:cstheme="minorHAnsi"/>
                <w:b/>
                <w:bCs/>
                <w:rtl/>
              </w:rPr>
            </w:pPr>
            <w:r w:rsidRPr="00AF27B1">
              <w:rPr>
                <w:rFonts w:asciiTheme="minorHAnsi" w:hAnsiTheme="minorHAnsi" w:cstheme="minorHAnsi"/>
                <w:b/>
                <w:bCs/>
                <w:rtl/>
              </w:rPr>
              <w:t>בנק ישראל</w:t>
            </w:r>
          </w:p>
          <w:p w:rsidR="00031A9D" w:rsidRPr="00AF27B1" w:rsidRDefault="00031A9D" w:rsidP="00AF27B1">
            <w:pPr>
              <w:bidi/>
              <w:spacing w:line="276" w:lineRule="auto"/>
              <w:rPr>
                <w:rFonts w:asciiTheme="minorHAnsi" w:hAnsiTheme="minorHAnsi" w:cstheme="minorHAnsi"/>
                <w:b/>
                <w:bCs/>
              </w:rPr>
            </w:pPr>
            <w:r w:rsidRPr="00AF27B1">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AF27B1" w:rsidRDefault="00CC57F4" w:rsidP="00AF27B1">
            <w:pPr>
              <w:bidi/>
              <w:rPr>
                <w:rFonts w:asciiTheme="minorHAnsi" w:hAnsiTheme="minorHAnsi" w:cstheme="minorHAnsi"/>
              </w:rPr>
            </w:pPr>
            <w:r w:rsidRPr="00AF27B1">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AF27B1" w:rsidRDefault="00031A9D" w:rsidP="00AF27B1">
            <w:pPr>
              <w:bidi/>
              <w:spacing w:line="276" w:lineRule="auto"/>
              <w:rPr>
                <w:rFonts w:asciiTheme="minorHAnsi" w:hAnsiTheme="minorHAnsi" w:cstheme="minorHAnsi"/>
                <w:rtl/>
              </w:rPr>
            </w:pPr>
            <w:r w:rsidRPr="00AF27B1">
              <w:rPr>
                <w:rFonts w:asciiTheme="minorHAnsi" w:hAnsiTheme="minorHAnsi" w:cstheme="minorHAnsi"/>
                <w:highlight w:val="green"/>
                <w:rtl/>
              </w:rPr>
              <w:t>‏</w:t>
            </w:r>
            <w:r w:rsidRPr="00AF27B1">
              <w:rPr>
                <w:rFonts w:asciiTheme="minorHAnsi" w:hAnsiTheme="minorHAnsi" w:cstheme="minorHAnsi"/>
                <w:rtl/>
              </w:rPr>
              <w:t xml:space="preserve">ירושלים, </w:t>
            </w:r>
            <w:r w:rsidRPr="00AF27B1">
              <w:rPr>
                <w:rFonts w:asciiTheme="minorHAnsi" w:hAnsiTheme="minorHAnsi" w:cstheme="minorHAnsi"/>
                <w:rtl/>
              </w:rPr>
              <w:fldChar w:fldCharType="begin"/>
            </w:r>
            <w:r w:rsidRPr="00AF27B1">
              <w:rPr>
                <w:rFonts w:asciiTheme="minorHAnsi" w:hAnsiTheme="minorHAnsi" w:cstheme="minorHAnsi"/>
                <w:rtl/>
              </w:rPr>
              <w:instrText xml:space="preserve"> </w:instrText>
            </w:r>
            <w:r w:rsidRPr="00AF27B1">
              <w:rPr>
                <w:rFonts w:asciiTheme="minorHAnsi" w:hAnsiTheme="minorHAnsi" w:cstheme="minorHAnsi"/>
              </w:rPr>
              <w:instrText>DATE</w:instrText>
            </w:r>
            <w:r w:rsidRPr="00AF27B1">
              <w:rPr>
                <w:rFonts w:asciiTheme="minorHAnsi" w:hAnsiTheme="minorHAnsi" w:cstheme="minorHAnsi"/>
                <w:rtl/>
              </w:rPr>
              <w:instrText xml:space="preserve"> \@ "</w:instrText>
            </w:r>
            <w:r w:rsidRPr="00AF27B1">
              <w:rPr>
                <w:rFonts w:asciiTheme="minorHAnsi" w:hAnsiTheme="minorHAnsi" w:cstheme="minorHAnsi"/>
              </w:rPr>
              <w:instrText>d MMMM, yyyy" \h</w:instrText>
            </w:r>
            <w:r w:rsidRPr="00AF27B1">
              <w:rPr>
                <w:rFonts w:asciiTheme="minorHAnsi" w:hAnsiTheme="minorHAnsi" w:cstheme="minorHAnsi"/>
                <w:rtl/>
              </w:rPr>
              <w:instrText xml:space="preserve"> </w:instrText>
            </w:r>
            <w:r w:rsidRPr="00AF27B1">
              <w:rPr>
                <w:rFonts w:asciiTheme="minorHAnsi" w:hAnsiTheme="minorHAnsi" w:cstheme="minorHAnsi"/>
                <w:rtl/>
              </w:rPr>
              <w:fldChar w:fldCharType="separate"/>
            </w:r>
            <w:r w:rsidR="00AF27B1" w:rsidRPr="00AF27B1">
              <w:rPr>
                <w:rFonts w:asciiTheme="minorHAnsi" w:hAnsiTheme="minorHAnsi" w:cstheme="minorHAnsi"/>
                <w:noProof/>
                <w:rtl/>
              </w:rPr>
              <w:t>‏י"ג ניסן, תשפ"ו</w:t>
            </w:r>
            <w:r w:rsidRPr="00AF27B1">
              <w:rPr>
                <w:rFonts w:asciiTheme="minorHAnsi" w:hAnsiTheme="minorHAnsi" w:cstheme="minorHAnsi"/>
                <w:rtl/>
              </w:rPr>
              <w:fldChar w:fldCharType="end"/>
            </w:r>
          </w:p>
          <w:p w:rsidR="00031A9D" w:rsidRPr="00AF27B1" w:rsidRDefault="00031A9D" w:rsidP="00AF27B1">
            <w:pPr>
              <w:bidi/>
              <w:spacing w:line="276" w:lineRule="auto"/>
              <w:rPr>
                <w:rFonts w:asciiTheme="minorHAnsi" w:hAnsiTheme="minorHAnsi" w:cstheme="minorHAnsi"/>
                <w:highlight w:val="green"/>
              </w:rPr>
            </w:pPr>
            <w:r w:rsidRPr="00AF27B1">
              <w:rPr>
                <w:rFonts w:asciiTheme="minorHAnsi" w:hAnsiTheme="minorHAnsi" w:cstheme="minorHAnsi"/>
                <w:rtl/>
              </w:rPr>
              <w:fldChar w:fldCharType="begin"/>
            </w:r>
            <w:r w:rsidRPr="00AF27B1">
              <w:rPr>
                <w:rFonts w:asciiTheme="minorHAnsi" w:hAnsiTheme="minorHAnsi" w:cstheme="minorHAnsi"/>
                <w:rtl/>
              </w:rPr>
              <w:instrText xml:space="preserve"> </w:instrText>
            </w:r>
            <w:r w:rsidRPr="00AF27B1">
              <w:rPr>
                <w:rFonts w:asciiTheme="minorHAnsi" w:hAnsiTheme="minorHAnsi" w:cstheme="minorHAnsi"/>
              </w:rPr>
              <w:instrText>DATE</w:instrText>
            </w:r>
            <w:r w:rsidRPr="00AF27B1">
              <w:rPr>
                <w:rFonts w:asciiTheme="minorHAnsi" w:hAnsiTheme="minorHAnsi" w:cstheme="minorHAnsi"/>
                <w:rtl/>
              </w:rPr>
              <w:instrText xml:space="preserve"> \@ "</w:instrText>
            </w:r>
            <w:r w:rsidRPr="00AF27B1">
              <w:rPr>
                <w:rFonts w:asciiTheme="minorHAnsi" w:hAnsiTheme="minorHAnsi" w:cstheme="minorHAnsi"/>
              </w:rPr>
              <w:instrText>d MMMM, yyyy</w:instrText>
            </w:r>
            <w:r w:rsidRPr="00AF27B1">
              <w:rPr>
                <w:rFonts w:asciiTheme="minorHAnsi" w:hAnsiTheme="minorHAnsi" w:cstheme="minorHAnsi"/>
                <w:rtl/>
              </w:rPr>
              <w:instrText xml:space="preserve">" </w:instrText>
            </w:r>
            <w:r w:rsidRPr="00AF27B1">
              <w:rPr>
                <w:rFonts w:asciiTheme="minorHAnsi" w:hAnsiTheme="minorHAnsi" w:cstheme="minorHAnsi"/>
                <w:rtl/>
              </w:rPr>
              <w:fldChar w:fldCharType="separate"/>
            </w:r>
            <w:r w:rsidR="00AF27B1" w:rsidRPr="00AF27B1">
              <w:rPr>
                <w:rFonts w:asciiTheme="minorHAnsi" w:hAnsiTheme="minorHAnsi" w:cstheme="minorHAnsi"/>
                <w:noProof/>
                <w:rtl/>
              </w:rPr>
              <w:t>‏31 מרץ, 2026</w:t>
            </w:r>
            <w:r w:rsidRPr="00AF27B1">
              <w:rPr>
                <w:rFonts w:asciiTheme="minorHAnsi" w:hAnsiTheme="minorHAnsi" w:cstheme="minorHAnsi"/>
                <w:rtl/>
              </w:rPr>
              <w:fldChar w:fldCharType="end"/>
            </w:r>
          </w:p>
        </w:tc>
      </w:tr>
    </w:tbl>
    <w:p w:rsidR="00031A9D" w:rsidRPr="00AF27B1" w:rsidRDefault="00031A9D" w:rsidP="00AF27B1">
      <w:pPr>
        <w:bidi/>
        <w:rPr>
          <w:rFonts w:asciiTheme="minorHAnsi" w:hAnsiTheme="minorHAnsi" w:cstheme="minorHAnsi"/>
          <w:rtl/>
        </w:rPr>
      </w:pPr>
    </w:p>
    <w:p w:rsidR="005E28F6" w:rsidRPr="00AF27B1" w:rsidRDefault="005E28F6" w:rsidP="00AF27B1">
      <w:pPr>
        <w:bidi/>
        <w:spacing w:line="360" w:lineRule="auto"/>
        <w:rPr>
          <w:rFonts w:asciiTheme="minorHAnsi" w:hAnsiTheme="minorHAnsi" w:cstheme="minorHAnsi"/>
          <w:rtl/>
        </w:rPr>
      </w:pPr>
      <w:r w:rsidRPr="00AF27B1">
        <w:rPr>
          <w:rFonts w:asciiTheme="minorHAnsi" w:hAnsiTheme="minorHAnsi" w:cstheme="minorHAnsi"/>
          <w:rtl/>
        </w:rPr>
        <w:t>הודעה לעיתונות</w:t>
      </w:r>
      <w:r w:rsidRPr="00AF27B1">
        <w:rPr>
          <w:rFonts w:asciiTheme="minorHAnsi" w:hAnsiTheme="minorHAnsi" w:cstheme="minorHAnsi"/>
        </w:rPr>
        <w:t>:</w:t>
      </w:r>
    </w:p>
    <w:p w:rsidR="00AF27B1" w:rsidRPr="00AF27B1" w:rsidRDefault="00AF27B1" w:rsidP="00AF27B1">
      <w:pPr>
        <w:bidi/>
        <w:spacing w:after="120" w:line="360" w:lineRule="auto"/>
        <w:jc w:val="center"/>
        <w:rPr>
          <w:rFonts w:asciiTheme="minorHAnsi" w:hAnsiTheme="minorHAnsi" w:cstheme="minorHAnsi"/>
          <w:b/>
          <w:bCs/>
          <w:sz w:val="28"/>
          <w:szCs w:val="28"/>
          <w:rtl/>
        </w:rPr>
      </w:pPr>
      <w:bookmarkStart w:id="0" w:name="_GoBack"/>
      <w:r w:rsidRPr="00AF27B1">
        <w:rPr>
          <w:rFonts w:asciiTheme="minorHAnsi" w:hAnsiTheme="minorHAnsi" w:cstheme="minorHAnsi"/>
          <w:b/>
          <w:bCs/>
          <w:sz w:val="28"/>
          <w:szCs w:val="28"/>
          <w:rtl/>
        </w:rPr>
        <w:t>השקעת יתרות מטבע חוץ דין וחשבון לשנת 2025</w:t>
      </w:r>
    </w:p>
    <w:bookmarkEnd w:id="0"/>
    <w:p w:rsidR="00AF27B1" w:rsidRPr="00AF27B1" w:rsidRDefault="00AF27B1" w:rsidP="00AF27B1">
      <w:pPr>
        <w:bidi/>
        <w:spacing w:after="120" w:line="360" w:lineRule="auto"/>
        <w:rPr>
          <w:rFonts w:asciiTheme="minorHAnsi" w:hAnsiTheme="minorHAnsi" w:cstheme="minorHAnsi"/>
          <w:b/>
          <w:bCs/>
          <w:rtl/>
        </w:rPr>
      </w:pPr>
      <w:r w:rsidRPr="00AF27B1">
        <w:rPr>
          <w:rFonts w:asciiTheme="minorHAnsi" w:hAnsiTheme="minorHAnsi" w:cstheme="minorHAnsi"/>
          <w:b/>
          <w:bCs/>
          <w:rtl/>
        </w:rPr>
        <w:t>בנק ישראל מפרסם היום את דו"ח השקעת יתרות מטבע חוץ לשנת 2025, להלן עיקריו:</w:t>
      </w:r>
    </w:p>
    <w:tbl>
      <w:tblPr>
        <w:tblStyle w:val="1"/>
        <w:tblpPr w:leftFromText="180" w:rightFromText="180" w:vertAnchor="text" w:horzAnchor="margin" w:tblpXSpec="center" w:tblpY="357"/>
        <w:bidiVisual/>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6"/>
        <w:gridCol w:w="8365"/>
      </w:tblGrid>
      <w:tr w:rsidR="00AF27B1" w:rsidRPr="00AF27B1" w:rsidTr="0010314C">
        <w:trPr>
          <w:trHeight w:val="1884"/>
        </w:trPr>
        <w:tc>
          <w:tcPr>
            <w:tcW w:w="1416" w:type="dxa"/>
          </w:tcPr>
          <w:p w:rsidR="00AF27B1" w:rsidRPr="00AF27B1" w:rsidRDefault="00AF27B1" w:rsidP="00AF27B1">
            <w:pPr>
              <w:bidi/>
              <w:rPr>
                <w:rFonts w:asciiTheme="minorHAnsi" w:eastAsia="Times New Roman" w:hAnsiTheme="minorHAnsi" w:cstheme="minorHAnsi"/>
                <w:color w:val="365F91" w:themeColor="accent1" w:themeShade="BF"/>
                <w:highlight w:val="yellow"/>
                <w:rtl/>
              </w:rPr>
            </w:pPr>
            <w:r w:rsidRPr="00AF27B1">
              <w:rPr>
                <w:rFonts w:asciiTheme="minorHAnsi" w:eastAsia="Times New Roman" w:hAnsiTheme="minorHAnsi" w:cstheme="minorHAnsi"/>
                <w:color w:val="365F91" w:themeColor="accent1" w:themeShade="BF"/>
                <w:rtl/>
                <w14:props3d w14:extrusionH="0" w14:contourW="0" w14:prstMaterial="matte"/>
              </w:rPr>
              <w:t>תנאי הרקע הכלכליים והפיננסיים</w:t>
            </w:r>
          </w:p>
        </w:tc>
        <w:tc>
          <w:tcPr>
            <w:tcW w:w="8365" w:type="dxa"/>
          </w:tcPr>
          <w:p w:rsidR="00AF27B1" w:rsidRDefault="00AF27B1" w:rsidP="00AF27B1">
            <w:pPr>
              <w:bidi/>
              <w:spacing w:line="360" w:lineRule="auto"/>
              <w:rPr>
                <w:rFonts w:asciiTheme="minorHAnsi" w:hAnsiTheme="minorHAnsi" w:cstheme="minorHAnsi"/>
                <w:highlight w:val="yellow"/>
                <w:rtl/>
              </w:rPr>
            </w:pPr>
            <w:r w:rsidRPr="00AF27B1">
              <w:rPr>
                <w:rFonts w:asciiTheme="minorHAnsi" w:hAnsiTheme="minorHAnsi" w:cstheme="minorHAnsi"/>
                <w:color w:val="000000" w:themeColor="text1"/>
                <w:rtl/>
              </w:rPr>
              <w:t xml:space="preserve">במהלך שנת 2025 נמשכה המגמה החיובית במרבית שווקי המניות </w:t>
            </w:r>
            <w:proofErr w:type="spellStart"/>
            <w:r w:rsidRPr="00AF27B1">
              <w:rPr>
                <w:rFonts w:asciiTheme="minorHAnsi" w:hAnsiTheme="minorHAnsi" w:cstheme="minorHAnsi"/>
                <w:rtl/>
              </w:rPr>
              <w:t>והאג"ח</w:t>
            </w:r>
            <w:proofErr w:type="spellEnd"/>
            <w:r w:rsidRPr="00AF27B1">
              <w:rPr>
                <w:rFonts w:asciiTheme="minorHAnsi" w:hAnsiTheme="minorHAnsi" w:cstheme="minorHAnsi"/>
                <w:rtl/>
              </w:rPr>
              <w:t>, וזאת על רקע המשך הצמיחה העולמית והתפתחויות חיוביות בתחום ה-</w:t>
            </w:r>
            <w:r w:rsidRPr="00AF27B1">
              <w:rPr>
                <w:rFonts w:asciiTheme="minorHAnsi" w:hAnsiTheme="minorHAnsi" w:cstheme="minorHAnsi"/>
              </w:rPr>
              <w:t>AI</w:t>
            </w:r>
            <w:r w:rsidRPr="00AF27B1">
              <w:rPr>
                <w:rFonts w:asciiTheme="minorHAnsi" w:hAnsiTheme="minorHAnsi" w:cstheme="minorHAnsi"/>
                <w:rtl/>
              </w:rPr>
              <w:t>. בארה"ב רמת האינפלציה נותרה גבוהה, והקשתה על ה-</w:t>
            </w:r>
            <w:r w:rsidRPr="00AF27B1">
              <w:rPr>
                <w:rFonts w:asciiTheme="minorHAnsi" w:hAnsiTheme="minorHAnsi" w:cstheme="minorHAnsi"/>
              </w:rPr>
              <w:t>Fed</w:t>
            </w:r>
            <w:r w:rsidRPr="00AF27B1">
              <w:rPr>
                <w:rFonts w:asciiTheme="minorHAnsi" w:hAnsiTheme="minorHAnsi" w:cstheme="minorHAnsi"/>
                <w:rtl/>
              </w:rPr>
              <w:t xml:space="preserve"> להפחית את הריבית במידה משמעותית. באירופה הביאו סיכונים פיסקליים וגיאופוליטיים לעליית התשואות על החוב הממשלתי.</w:t>
            </w:r>
          </w:p>
          <w:p w:rsidR="00AF27B1" w:rsidRPr="00AF27B1" w:rsidRDefault="00AF27B1" w:rsidP="00AF27B1">
            <w:pPr>
              <w:bidi/>
              <w:spacing w:line="360" w:lineRule="auto"/>
              <w:rPr>
                <w:rFonts w:asciiTheme="minorHAnsi" w:hAnsiTheme="minorHAnsi" w:cstheme="minorHAnsi"/>
                <w:highlight w:val="yellow"/>
                <w:rtl/>
              </w:rPr>
            </w:pPr>
          </w:p>
        </w:tc>
      </w:tr>
      <w:tr w:rsidR="00AF27B1" w:rsidRPr="00AF27B1" w:rsidTr="0010314C">
        <w:trPr>
          <w:trHeight w:val="734"/>
        </w:trPr>
        <w:tc>
          <w:tcPr>
            <w:tcW w:w="1416" w:type="dxa"/>
          </w:tcPr>
          <w:p w:rsidR="00AF27B1" w:rsidRPr="00AF27B1" w:rsidRDefault="00AF27B1" w:rsidP="00AF27B1">
            <w:pPr>
              <w:bidi/>
              <w:rPr>
                <w:rFonts w:asciiTheme="minorHAnsi" w:eastAsia="Times New Roman" w:hAnsiTheme="minorHAnsi" w:cstheme="minorHAnsi"/>
                <w:color w:val="365F91" w:themeColor="accent1" w:themeShade="BF"/>
                <w:highlight w:val="yellow"/>
                <w:rtl/>
              </w:rPr>
            </w:pPr>
            <w:r w:rsidRPr="00AF27B1">
              <w:rPr>
                <w:rFonts w:asciiTheme="minorHAnsi" w:eastAsia="Times New Roman" w:hAnsiTheme="minorHAnsi" w:cstheme="minorHAnsi"/>
                <w:color w:val="365F91" w:themeColor="accent1" w:themeShade="BF"/>
                <w:rtl/>
              </w:rPr>
              <w:t xml:space="preserve">רמת יתרות </w:t>
            </w:r>
            <w:proofErr w:type="spellStart"/>
            <w:r w:rsidRPr="00AF27B1">
              <w:rPr>
                <w:rFonts w:asciiTheme="minorHAnsi" w:eastAsia="Times New Roman" w:hAnsiTheme="minorHAnsi" w:cstheme="minorHAnsi"/>
                <w:color w:val="365F91" w:themeColor="accent1" w:themeShade="BF"/>
                <w:rtl/>
              </w:rPr>
              <w:t>המט"ח</w:t>
            </w:r>
            <w:proofErr w:type="spellEnd"/>
            <w:r w:rsidRPr="00AF27B1">
              <w:rPr>
                <w:rFonts w:asciiTheme="minorHAnsi" w:eastAsia="Times New Roman" w:hAnsiTheme="minorHAnsi" w:cstheme="minorHAnsi"/>
                <w:color w:val="365F91" w:themeColor="accent1" w:themeShade="BF"/>
                <w:rtl/>
              </w:rPr>
              <w:t xml:space="preserve"> ומקורות השינוי בהן</w:t>
            </w:r>
          </w:p>
        </w:tc>
        <w:tc>
          <w:tcPr>
            <w:tcW w:w="8365" w:type="dxa"/>
          </w:tcPr>
          <w:p w:rsidR="00AF27B1" w:rsidRDefault="00AF27B1" w:rsidP="00AF27B1">
            <w:pPr>
              <w:bidi/>
              <w:spacing w:line="360" w:lineRule="auto"/>
              <w:rPr>
                <w:rFonts w:asciiTheme="minorHAnsi" w:hAnsiTheme="minorHAnsi" w:cstheme="minorHAnsi"/>
                <w:rtl/>
              </w:rPr>
            </w:pPr>
            <w:r w:rsidRPr="00AF27B1">
              <w:rPr>
                <w:rFonts w:asciiTheme="minorHAnsi" w:hAnsiTheme="minorHAnsi" w:cstheme="minorHAnsi"/>
                <w:rtl/>
              </w:rPr>
              <w:t xml:space="preserve">בשנת 2025 גדלו יתרות </w:t>
            </w:r>
            <w:proofErr w:type="spellStart"/>
            <w:r w:rsidRPr="00AF27B1">
              <w:rPr>
                <w:rFonts w:asciiTheme="minorHAnsi" w:hAnsiTheme="minorHAnsi" w:cstheme="minorHAnsi"/>
                <w:rtl/>
              </w:rPr>
              <w:t>המט"ח</w:t>
            </w:r>
            <w:proofErr w:type="spellEnd"/>
            <w:r w:rsidRPr="00AF27B1">
              <w:rPr>
                <w:rFonts w:asciiTheme="minorHAnsi" w:hAnsiTheme="minorHAnsi" w:cstheme="minorHAnsi"/>
                <w:rtl/>
              </w:rPr>
              <w:t xml:space="preserve"> </w:t>
            </w:r>
            <w:proofErr w:type="spellStart"/>
            <w:r w:rsidRPr="00AF27B1">
              <w:rPr>
                <w:rFonts w:asciiTheme="minorHAnsi" w:hAnsiTheme="minorHAnsi" w:cstheme="minorHAnsi"/>
                <w:rtl/>
              </w:rPr>
              <w:t>בכ</w:t>
            </w:r>
            <w:proofErr w:type="spellEnd"/>
            <w:r w:rsidRPr="00AF27B1">
              <w:rPr>
                <w:rFonts w:asciiTheme="minorHAnsi" w:hAnsiTheme="minorHAnsi" w:cstheme="minorHAnsi"/>
                <w:rtl/>
              </w:rPr>
              <w:t>-</w:t>
            </w:r>
            <w:r w:rsidRPr="00AF27B1">
              <w:rPr>
                <w:rFonts w:asciiTheme="minorHAnsi" w:hAnsiTheme="minorHAnsi" w:cstheme="minorHAnsi"/>
              </w:rPr>
              <w:t>14.9</w:t>
            </w:r>
            <w:r w:rsidRPr="00AF27B1">
              <w:rPr>
                <w:rFonts w:asciiTheme="minorHAnsi" w:hAnsiTheme="minorHAnsi" w:cstheme="minorHAnsi"/>
                <w:rtl/>
              </w:rPr>
              <w:t xml:space="preserve"> מיליארדי דולרים, לסך של 229.5 מיליארדים. גידול זה נבע מרווחים מהחזקת מניות ואג"ח, מתקבולי ריבית ומהפרשי שערי חליפין עקב היחלשות הדולר מול מטבעות הסמן. רווחים אלו קוזזו על ידי משיכות הממשלה מחשבון </w:t>
            </w:r>
            <w:proofErr w:type="spellStart"/>
            <w:r w:rsidRPr="00AF27B1">
              <w:rPr>
                <w:rFonts w:asciiTheme="minorHAnsi" w:hAnsiTheme="minorHAnsi" w:cstheme="minorHAnsi"/>
                <w:rtl/>
              </w:rPr>
              <w:t>המט"ח</w:t>
            </w:r>
            <w:proofErr w:type="spellEnd"/>
            <w:r w:rsidRPr="00AF27B1">
              <w:rPr>
                <w:rFonts w:asciiTheme="minorHAnsi" w:hAnsiTheme="minorHAnsi" w:cstheme="minorHAnsi"/>
                <w:rtl/>
              </w:rPr>
              <w:t xml:space="preserve"> שלה, המנוהל בבנק ישראל.</w:t>
            </w:r>
          </w:p>
          <w:p w:rsidR="00AF27B1" w:rsidRPr="00AF27B1" w:rsidRDefault="00AF27B1" w:rsidP="00AF27B1">
            <w:pPr>
              <w:bidi/>
              <w:spacing w:line="360" w:lineRule="auto"/>
              <w:rPr>
                <w:rFonts w:asciiTheme="minorHAnsi" w:hAnsiTheme="minorHAnsi" w:cstheme="minorHAnsi"/>
                <w:rtl/>
              </w:rPr>
            </w:pPr>
          </w:p>
        </w:tc>
      </w:tr>
      <w:tr w:rsidR="00AF27B1" w:rsidRPr="00AF27B1" w:rsidTr="0010314C">
        <w:trPr>
          <w:trHeight w:val="775"/>
        </w:trPr>
        <w:tc>
          <w:tcPr>
            <w:tcW w:w="1416" w:type="dxa"/>
          </w:tcPr>
          <w:p w:rsidR="00AF27B1" w:rsidRPr="00AF27B1" w:rsidRDefault="00AF27B1" w:rsidP="00AF27B1">
            <w:pPr>
              <w:bidi/>
              <w:rPr>
                <w:rFonts w:asciiTheme="minorHAnsi" w:eastAsia="Times New Roman" w:hAnsiTheme="minorHAnsi" w:cstheme="minorHAnsi"/>
                <w:rtl/>
              </w:rPr>
            </w:pPr>
            <w:r w:rsidRPr="00AF27B1">
              <w:rPr>
                <w:rFonts w:asciiTheme="minorHAnsi" w:eastAsia="Times New Roman" w:hAnsiTheme="minorHAnsi" w:cstheme="minorHAnsi"/>
                <w:color w:val="365F91" w:themeColor="accent1" w:themeShade="BF"/>
                <w:rtl/>
              </w:rPr>
              <w:t xml:space="preserve">הרכב הנכסים של יתרות </w:t>
            </w:r>
            <w:proofErr w:type="spellStart"/>
            <w:r w:rsidRPr="00AF27B1">
              <w:rPr>
                <w:rFonts w:asciiTheme="minorHAnsi" w:eastAsia="Times New Roman" w:hAnsiTheme="minorHAnsi" w:cstheme="minorHAnsi"/>
                <w:color w:val="365F91" w:themeColor="accent1" w:themeShade="BF"/>
                <w:rtl/>
              </w:rPr>
              <w:t>המט"ח</w:t>
            </w:r>
            <w:proofErr w:type="spellEnd"/>
          </w:p>
        </w:tc>
        <w:tc>
          <w:tcPr>
            <w:tcW w:w="8365" w:type="dxa"/>
          </w:tcPr>
          <w:p w:rsidR="00AF27B1" w:rsidRDefault="00AF27B1" w:rsidP="00AF27B1">
            <w:pPr>
              <w:bidi/>
              <w:spacing w:line="360" w:lineRule="auto"/>
              <w:rPr>
                <w:rFonts w:asciiTheme="minorHAnsi" w:eastAsia="Times New Roman" w:hAnsiTheme="minorHAnsi" w:cstheme="minorHAnsi"/>
                <w:color w:val="FF0000"/>
                <w:rtl/>
              </w:rPr>
            </w:pPr>
            <w:r w:rsidRPr="00AF27B1">
              <w:rPr>
                <w:rFonts w:asciiTheme="minorHAnsi" w:hAnsiTheme="minorHAnsi" w:cstheme="minorHAnsi"/>
                <w:rtl/>
              </w:rPr>
              <w:t xml:space="preserve">הרכב הנכסים של יתרות </w:t>
            </w:r>
            <w:proofErr w:type="spellStart"/>
            <w:r w:rsidRPr="00AF27B1">
              <w:rPr>
                <w:rFonts w:asciiTheme="minorHAnsi" w:hAnsiTheme="minorHAnsi" w:cstheme="minorHAnsi"/>
                <w:rtl/>
              </w:rPr>
              <w:t>המט"ח</w:t>
            </w:r>
            <w:proofErr w:type="spellEnd"/>
            <w:r w:rsidRPr="00AF27B1">
              <w:rPr>
                <w:rFonts w:asciiTheme="minorHAnsi" w:hAnsiTheme="minorHAnsi" w:cstheme="minorHAnsi"/>
                <w:rtl/>
              </w:rPr>
              <w:t xml:space="preserve"> בסוף שנת 2025 היה: </w:t>
            </w:r>
            <w:r w:rsidRPr="00AF27B1">
              <w:rPr>
                <w:rFonts w:asciiTheme="minorHAnsi" w:hAnsiTheme="minorHAnsi" w:cstheme="minorHAnsi"/>
              </w:rPr>
              <w:t>65%</w:t>
            </w:r>
            <w:r w:rsidRPr="00AF27B1">
              <w:rPr>
                <w:rFonts w:asciiTheme="minorHAnsi" w:hAnsiTheme="minorHAnsi" w:cstheme="minorHAnsi"/>
                <w:rtl/>
              </w:rPr>
              <w:t xml:space="preserve"> אג"ח ממשלתיות ואחרות</w:t>
            </w:r>
            <w:r w:rsidRPr="00AF27B1">
              <w:rPr>
                <w:rStyle w:val="FootnoteReference"/>
                <w:rFonts w:asciiTheme="minorHAnsi" w:hAnsiTheme="minorHAnsi" w:cstheme="minorHAnsi"/>
                <w:rtl/>
              </w:rPr>
              <w:footnoteReference w:id="1"/>
            </w:r>
            <w:r w:rsidRPr="00AF27B1">
              <w:rPr>
                <w:rFonts w:asciiTheme="minorHAnsi" w:hAnsiTheme="minorHAnsi" w:cstheme="minorHAnsi"/>
                <w:rtl/>
              </w:rPr>
              <w:t>, 25% מניות ו-10% אג"ח תאגידיות.</w:t>
            </w:r>
          </w:p>
          <w:p w:rsidR="00AF27B1" w:rsidRPr="00AF27B1" w:rsidRDefault="00AF27B1" w:rsidP="00AF27B1">
            <w:pPr>
              <w:bidi/>
              <w:spacing w:line="360" w:lineRule="auto"/>
              <w:rPr>
                <w:rFonts w:asciiTheme="minorHAnsi" w:eastAsia="Times New Roman" w:hAnsiTheme="minorHAnsi" w:cstheme="minorHAnsi"/>
                <w:color w:val="FF0000"/>
                <w:rtl/>
              </w:rPr>
            </w:pPr>
          </w:p>
        </w:tc>
      </w:tr>
      <w:tr w:rsidR="00AF27B1" w:rsidRPr="00AF27B1" w:rsidTr="00AF27B1">
        <w:trPr>
          <w:trHeight w:val="284"/>
        </w:trPr>
        <w:tc>
          <w:tcPr>
            <w:tcW w:w="1416" w:type="dxa"/>
          </w:tcPr>
          <w:p w:rsidR="00AF27B1" w:rsidRPr="00AF27B1" w:rsidRDefault="00AF27B1" w:rsidP="00AF27B1">
            <w:pPr>
              <w:bidi/>
              <w:spacing w:line="276" w:lineRule="auto"/>
              <w:rPr>
                <w:rFonts w:asciiTheme="minorHAnsi" w:eastAsia="Times New Roman" w:hAnsiTheme="minorHAnsi" w:cstheme="minorHAnsi"/>
                <w:color w:val="365F91" w:themeColor="accent1" w:themeShade="BF"/>
                <w:rtl/>
                <w14:props3d w14:extrusionH="0" w14:contourW="0" w14:prstMaterial="matte"/>
              </w:rPr>
            </w:pPr>
            <w:r w:rsidRPr="00AF27B1">
              <w:rPr>
                <w:rFonts w:asciiTheme="minorHAnsi" w:eastAsia="Times New Roman" w:hAnsiTheme="minorHAnsi" w:cstheme="minorHAnsi"/>
                <w:color w:val="365F91" w:themeColor="accent1" w:themeShade="BF"/>
                <w:rtl/>
                <w14:props3d w14:extrusionH="0" w14:contourW="0" w14:prstMaterial="matte"/>
              </w:rPr>
              <w:t xml:space="preserve">התשואה של יתרות </w:t>
            </w:r>
            <w:proofErr w:type="spellStart"/>
            <w:r w:rsidRPr="00AF27B1">
              <w:rPr>
                <w:rFonts w:asciiTheme="minorHAnsi" w:eastAsia="Times New Roman" w:hAnsiTheme="minorHAnsi" w:cstheme="minorHAnsi"/>
                <w:color w:val="365F91" w:themeColor="accent1" w:themeShade="BF"/>
                <w:rtl/>
                <w14:props3d w14:extrusionH="0" w14:contourW="0" w14:prstMaterial="matte"/>
              </w:rPr>
              <w:t>המט"ח</w:t>
            </w:r>
            <w:proofErr w:type="spellEnd"/>
          </w:p>
          <w:p w:rsidR="00AF27B1" w:rsidRDefault="00AF27B1" w:rsidP="00AF27B1">
            <w:pPr>
              <w:bidi/>
              <w:rPr>
                <w:rFonts w:asciiTheme="minorHAnsi" w:eastAsia="Times New Roman" w:hAnsiTheme="minorHAnsi" w:cstheme="minorHAnsi"/>
                <w:color w:val="365F91" w:themeColor="accent1" w:themeShade="BF"/>
                <w:rtl/>
                <w14:props3d w14:extrusionH="0" w14:contourW="0" w14:prstMaterial="matte"/>
              </w:rPr>
            </w:pPr>
          </w:p>
          <w:p w:rsidR="00AF27B1" w:rsidRDefault="00AF27B1" w:rsidP="00AF27B1">
            <w:pPr>
              <w:bidi/>
              <w:rPr>
                <w:rFonts w:asciiTheme="minorHAnsi" w:eastAsia="Times New Roman" w:hAnsiTheme="minorHAnsi" w:cstheme="minorHAnsi"/>
                <w:color w:val="365F91" w:themeColor="accent1" w:themeShade="BF"/>
                <w:rtl/>
                <w14:props3d w14:extrusionH="0" w14:contourW="0" w14:prstMaterial="matte"/>
              </w:rPr>
            </w:pPr>
          </w:p>
          <w:p w:rsidR="00AF27B1" w:rsidRDefault="00AF27B1" w:rsidP="00AF27B1">
            <w:pPr>
              <w:bidi/>
              <w:rPr>
                <w:rFonts w:asciiTheme="minorHAnsi" w:eastAsia="Times New Roman" w:hAnsiTheme="minorHAnsi" w:cstheme="minorHAnsi"/>
                <w:color w:val="365F91" w:themeColor="accent1" w:themeShade="BF"/>
                <w:rtl/>
                <w14:props3d w14:extrusionH="0" w14:contourW="0" w14:prstMaterial="matte"/>
              </w:rPr>
            </w:pPr>
          </w:p>
          <w:p w:rsidR="00AF27B1" w:rsidRPr="00AF27B1" w:rsidRDefault="00AF27B1" w:rsidP="00AF27B1">
            <w:pPr>
              <w:bidi/>
              <w:rPr>
                <w:rFonts w:asciiTheme="minorHAnsi" w:eastAsia="Times New Roman" w:hAnsiTheme="minorHAnsi" w:cstheme="minorHAnsi"/>
                <w:color w:val="FF0000"/>
                <w:highlight w:val="yellow"/>
              </w:rPr>
            </w:pPr>
            <w:r w:rsidRPr="00AF27B1">
              <w:rPr>
                <w:rFonts w:asciiTheme="minorHAnsi" w:eastAsia="Times New Roman" w:hAnsiTheme="minorHAnsi" w:cstheme="minorHAnsi"/>
                <w:color w:val="365F91" w:themeColor="accent1" w:themeShade="BF"/>
                <w:rtl/>
                <w14:props3d w14:extrusionH="0" w14:contourW="0" w14:prstMaterial="matte"/>
              </w:rPr>
              <w:t xml:space="preserve">במונחי הסמן </w:t>
            </w:r>
            <w:proofErr w:type="spellStart"/>
            <w:r w:rsidRPr="00AF27B1">
              <w:rPr>
                <w:rFonts w:asciiTheme="minorHAnsi" w:eastAsia="Times New Roman" w:hAnsiTheme="minorHAnsi" w:cstheme="minorHAnsi"/>
                <w:color w:val="365F91" w:themeColor="accent1" w:themeShade="BF"/>
                <w:rtl/>
                <w14:props3d w14:extrusionH="0" w14:contourW="0" w14:prstMaterial="matte"/>
              </w:rPr>
              <w:t>המטבעי</w:t>
            </w:r>
            <w:proofErr w:type="spellEnd"/>
          </w:p>
        </w:tc>
        <w:tc>
          <w:tcPr>
            <w:tcW w:w="8365" w:type="dxa"/>
            <w:shd w:val="clear" w:color="auto" w:fill="FFFFFF" w:themeFill="background1"/>
          </w:tcPr>
          <w:p w:rsidR="00AF27B1" w:rsidRPr="00AF27B1" w:rsidRDefault="00AF27B1" w:rsidP="00AF27B1">
            <w:pPr>
              <w:bidi/>
              <w:spacing w:line="360" w:lineRule="auto"/>
              <w:rPr>
                <w:rFonts w:asciiTheme="minorHAnsi" w:eastAsia="Times New Roman" w:hAnsiTheme="minorHAnsi" w:cstheme="minorHAnsi"/>
                <w:color w:val="FF0000"/>
                <w:rtl/>
              </w:rPr>
            </w:pPr>
            <w:r w:rsidRPr="00AF27B1">
              <w:rPr>
                <w:rFonts w:asciiTheme="minorHAnsi" w:eastAsia="Times New Roman" w:hAnsiTheme="minorHAnsi" w:cstheme="minorHAnsi"/>
                <w:rtl/>
              </w:rPr>
              <w:lastRenderedPageBreak/>
              <w:t xml:space="preserve">תשואת ההחזקה של יתרות </w:t>
            </w:r>
            <w:proofErr w:type="spellStart"/>
            <w:r w:rsidRPr="00AF27B1">
              <w:rPr>
                <w:rFonts w:asciiTheme="minorHAnsi" w:eastAsia="Times New Roman" w:hAnsiTheme="minorHAnsi" w:cstheme="minorHAnsi"/>
                <w:rtl/>
              </w:rPr>
              <w:t>המט"ח</w:t>
            </w:r>
            <w:proofErr w:type="spellEnd"/>
            <w:r w:rsidRPr="00AF27B1">
              <w:rPr>
                <w:rFonts w:asciiTheme="minorHAnsi" w:eastAsia="Times New Roman" w:hAnsiTheme="minorHAnsi" w:cstheme="minorHAnsi"/>
                <w:rtl/>
              </w:rPr>
              <w:t xml:space="preserve"> במונחי הסמן </w:t>
            </w:r>
            <w:proofErr w:type="spellStart"/>
            <w:r w:rsidRPr="00AF27B1">
              <w:rPr>
                <w:rFonts w:asciiTheme="minorHAnsi" w:eastAsia="Times New Roman" w:hAnsiTheme="minorHAnsi" w:cstheme="minorHAnsi"/>
                <w:rtl/>
              </w:rPr>
              <w:t>המטבעי</w:t>
            </w:r>
            <w:proofErr w:type="spellEnd"/>
            <w:r w:rsidRPr="00AF27B1">
              <w:rPr>
                <w:rStyle w:val="FootnoteReference"/>
                <w:rFonts w:asciiTheme="minorHAnsi" w:eastAsia="Times New Roman" w:hAnsiTheme="minorHAnsi" w:cstheme="minorHAnsi"/>
                <w:rtl/>
              </w:rPr>
              <w:footnoteReference w:id="2"/>
            </w:r>
            <w:r w:rsidRPr="00AF27B1">
              <w:rPr>
                <w:rFonts w:asciiTheme="minorHAnsi" w:eastAsia="Times New Roman" w:hAnsiTheme="minorHAnsi" w:cstheme="minorHAnsi"/>
                <w:rtl/>
              </w:rPr>
              <w:t xml:space="preserve"> הסתכמה בשנת 2025 ב-7.9%. </w:t>
            </w:r>
          </w:p>
          <w:p w:rsidR="00AF27B1" w:rsidRDefault="00AF27B1" w:rsidP="00AF27B1">
            <w:pPr>
              <w:bidi/>
              <w:jc w:val="center"/>
              <w:rPr>
                <w:rFonts w:asciiTheme="minorHAnsi" w:eastAsia="Times New Roman" w:hAnsiTheme="minorHAnsi" w:cstheme="minorHAnsi"/>
                <w:b/>
                <w:bCs/>
                <w:color w:val="0070C0"/>
                <w:rtl/>
              </w:rPr>
            </w:pPr>
          </w:p>
          <w:p w:rsidR="00AF27B1" w:rsidRDefault="00AF27B1" w:rsidP="00AF27B1">
            <w:pPr>
              <w:bidi/>
              <w:rPr>
                <w:rFonts w:asciiTheme="minorHAnsi" w:eastAsia="Times New Roman" w:hAnsiTheme="minorHAnsi" w:cstheme="minorHAnsi"/>
                <w:b/>
                <w:bCs/>
                <w:color w:val="0070C0"/>
                <w:rtl/>
              </w:rPr>
            </w:pPr>
          </w:p>
          <w:p w:rsidR="00AF27B1" w:rsidRDefault="00AF27B1" w:rsidP="00AF27B1">
            <w:pPr>
              <w:bidi/>
              <w:jc w:val="center"/>
              <w:rPr>
                <w:rFonts w:asciiTheme="minorHAnsi" w:eastAsia="Times New Roman" w:hAnsiTheme="minorHAnsi" w:cstheme="minorHAnsi"/>
                <w:b/>
                <w:bCs/>
                <w:color w:val="0070C0"/>
                <w:rtl/>
              </w:rPr>
            </w:pPr>
          </w:p>
          <w:p w:rsidR="00AF27B1" w:rsidRPr="00AF27B1" w:rsidRDefault="00AF27B1" w:rsidP="00AF27B1">
            <w:pPr>
              <w:bidi/>
              <w:jc w:val="center"/>
              <w:rPr>
                <w:rFonts w:asciiTheme="minorHAnsi" w:eastAsia="Times New Roman" w:hAnsiTheme="minorHAnsi" w:cstheme="minorHAnsi"/>
                <w:b/>
                <w:bCs/>
                <w:color w:val="0070C0"/>
                <w:rtl/>
              </w:rPr>
            </w:pPr>
            <w:r w:rsidRPr="00AF27B1">
              <w:rPr>
                <w:rFonts w:asciiTheme="minorHAnsi" w:eastAsia="Times New Roman" w:hAnsiTheme="minorHAnsi" w:cstheme="minorHAnsi"/>
                <w:b/>
                <w:bCs/>
                <w:color w:val="0070C0"/>
                <w:rtl/>
              </w:rPr>
              <w:lastRenderedPageBreak/>
              <w:t>לוח 1א</w:t>
            </w:r>
          </w:p>
          <w:p w:rsidR="00AF27B1" w:rsidRPr="00AF27B1" w:rsidRDefault="00AF27B1" w:rsidP="00AF27B1">
            <w:pPr>
              <w:bidi/>
              <w:jc w:val="center"/>
              <w:rPr>
                <w:rFonts w:asciiTheme="minorHAnsi" w:eastAsia="Times New Roman" w:hAnsiTheme="minorHAnsi" w:cstheme="minorHAnsi"/>
                <w:b/>
                <w:bCs/>
                <w:color w:val="0070C0"/>
                <w:rtl/>
              </w:rPr>
            </w:pPr>
            <w:r w:rsidRPr="00AF27B1">
              <w:rPr>
                <w:rFonts w:asciiTheme="minorHAnsi" w:eastAsia="Times New Roman" w:hAnsiTheme="minorHAnsi" w:cstheme="minorHAnsi"/>
                <w:b/>
                <w:bCs/>
                <w:color w:val="0070C0"/>
                <w:rtl/>
              </w:rPr>
              <w:t xml:space="preserve">תשואת החזקתן של יתרות </w:t>
            </w:r>
            <w:proofErr w:type="spellStart"/>
            <w:r w:rsidRPr="00AF27B1">
              <w:rPr>
                <w:rFonts w:asciiTheme="minorHAnsi" w:eastAsia="Times New Roman" w:hAnsiTheme="minorHAnsi" w:cstheme="minorHAnsi"/>
                <w:b/>
                <w:bCs/>
                <w:color w:val="0070C0"/>
                <w:rtl/>
              </w:rPr>
              <w:t>המט"ח</w:t>
            </w:r>
            <w:proofErr w:type="spellEnd"/>
            <w:r w:rsidRPr="00AF27B1">
              <w:rPr>
                <w:rFonts w:asciiTheme="minorHAnsi" w:eastAsia="Times New Roman" w:hAnsiTheme="minorHAnsi" w:cstheme="minorHAnsi"/>
                <w:b/>
                <w:bCs/>
                <w:color w:val="0070C0"/>
                <w:rtl/>
              </w:rPr>
              <w:t xml:space="preserve"> במבט שנתי ובממוצע רב־שנתי</w:t>
            </w:r>
          </w:p>
          <w:p w:rsidR="00AF27B1" w:rsidRPr="00AF27B1" w:rsidRDefault="00AF27B1" w:rsidP="00AF27B1">
            <w:pPr>
              <w:bidi/>
              <w:jc w:val="center"/>
              <w:rPr>
                <w:rFonts w:asciiTheme="minorHAnsi" w:eastAsia="Times New Roman" w:hAnsiTheme="minorHAnsi" w:cstheme="minorHAnsi"/>
                <w:b/>
                <w:bCs/>
                <w:color w:val="0070C0"/>
                <w:rtl/>
              </w:rPr>
            </w:pPr>
            <w:r w:rsidRPr="00AF27B1">
              <w:rPr>
                <w:rFonts w:asciiTheme="minorHAnsi" w:eastAsia="Times New Roman" w:hAnsiTheme="minorHAnsi" w:cstheme="minorHAnsi"/>
                <w:b/>
                <w:bCs/>
                <w:color w:val="0070C0"/>
                <w:rtl/>
              </w:rPr>
              <w:t xml:space="preserve">במונחי הסמן </w:t>
            </w:r>
            <w:proofErr w:type="spellStart"/>
            <w:r w:rsidRPr="00AF27B1">
              <w:rPr>
                <w:rFonts w:asciiTheme="minorHAnsi" w:eastAsia="Times New Roman" w:hAnsiTheme="minorHAnsi" w:cstheme="minorHAnsi"/>
                <w:b/>
                <w:bCs/>
                <w:color w:val="0070C0"/>
                <w:rtl/>
              </w:rPr>
              <w:t>המטבעי</w:t>
            </w:r>
            <w:proofErr w:type="spellEnd"/>
            <w:r w:rsidRPr="00AF27B1">
              <w:rPr>
                <w:rFonts w:asciiTheme="minorHAnsi" w:eastAsia="Times New Roman" w:hAnsiTheme="minorHAnsi" w:cstheme="minorHAnsi"/>
                <w:b/>
                <w:bCs/>
                <w:color w:val="0070C0"/>
                <w:rtl/>
              </w:rPr>
              <w:t>; אחוזים, במונחים שנתיים</w:t>
            </w:r>
          </w:p>
          <w:tbl>
            <w:tblPr>
              <w:tblW w:w="4988" w:type="dxa"/>
              <w:jc w:val="center"/>
              <w:tblLayout w:type="fixed"/>
              <w:tblLook w:val="04A0" w:firstRow="1" w:lastRow="0" w:firstColumn="1" w:lastColumn="0" w:noHBand="0" w:noVBand="1"/>
            </w:tblPr>
            <w:tblGrid>
              <w:gridCol w:w="1247"/>
              <w:gridCol w:w="1247"/>
              <w:gridCol w:w="1247"/>
              <w:gridCol w:w="1247"/>
            </w:tblGrid>
            <w:tr w:rsidR="00AF27B1" w:rsidRPr="00AF27B1" w:rsidTr="0010314C">
              <w:trPr>
                <w:trHeight w:val="283"/>
                <w:jc w:val="center"/>
              </w:trPr>
              <w:tc>
                <w:tcPr>
                  <w:tcW w:w="1247" w:type="dxa"/>
                  <w:tcBorders>
                    <w:top w:val="single" w:sz="8" w:space="0" w:color="2E74B5"/>
                    <w:left w:val="single" w:sz="8" w:space="0" w:color="2E74B5"/>
                    <w:bottom w:val="single" w:sz="8" w:space="0" w:color="2E74B5"/>
                    <w:right w:val="single" w:sz="8" w:space="0" w:color="2E74B5"/>
                  </w:tcBorders>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b/>
                      <w:bCs/>
                      <w:color w:val="000000"/>
                      <w:lang w:eastAsia="ko-KR"/>
                    </w:rPr>
                  </w:pPr>
                  <w:r w:rsidRPr="00AF27B1">
                    <w:rPr>
                      <w:rFonts w:asciiTheme="minorHAnsi" w:eastAsia="Times New Roman" w:hAnsiTheme="minorHAnsi" w:cstheme="minorHAnsi"/>
                      <w:b/>
                      <w:bCs/>
                      <w:color w:val="000000"/>
                      <w:rtl/>
                      <w:lang w:eastAsia="ko-KR"/>
                    </w:rPr>
                    <w:t>חמש שנים</w:t>
                  </w:r>
                </w:p>
              </w:tc>
              <w:tc>
                <w:tcPr>
                  <w:tcW w:w="1247" w:type="dxa"/>
                  <w:tcBorders>
                    <w:top w:val="single" w:sz="8" w:space="0" w:color="2E74B5"/>
                    <w:left w:val="nil"/>
                    <w:bottom w:val="single" w:sz="8" w:space="0" w:color="2E74B5"/>
                    <w:right w:val="single" w:sz="8" w:space="0" w:color="2E74B5"/>
                  </w:tcBorders>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b/>
                      <w:bCs/>
                      <w:color w:val="000000"/>
                      <w:rtl/>
                      <w:lang w:eastAsia="ko-KR"/>
                    </w:rPr>
                  </w:pPr>
                  <w:r w:rsidRPr="00AF27B1">
                    <w:rPr>
                      <w:rFonts w:asciiTheme="minorHAnsi" w:eastAsia="Times New Roman" w:hAnsiTheme="minorHAnsi" w:cstheme="minorHAnsi"/>
                      <w:b/>
                      <w:bCs/>
                      <w:color w:val="000000"/>
                      <w:rtl/>
                      <w:lang w:eastAsia="ko-KR"/>
                    </w:rPr>
                    <w:t>שלוש שנים</w:t>
                  </w:r>
                </w:p>
              </w:tc>
              <w:tc>
                <w:tcPr>
                  <w:tcW w:w="1247" w:type="dxa"/>
                  <w:tcBorders>
                    <w:top w:val="single" w:sz="8" w:space="0" w:color="2E74B5"/>
                    <w:left w:val="nil"/>
                    <w:bottom w:val="single" w:sz="8" w:space="0" w:color="2E74B5"/>
                    <w:right w:val="single" w:sz="8" w:space="0" w:color="2E74B5"/>
                  </w:tcBorders>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b/>
                      <w:bCs/>
                      <w:color w:val="000000"/>
                      <w:rtl/>
                      <w:lang w:eastAsia="ko-KR"/>
                    </w:rPr>
                  </w:pPr>
                  <w:r w:rsidRPr="00AF27B1">
                    <w:rPr>
                      <w:rFonts w:asciiTheme="minorHAnsi" w:eastAsia="Times New Roman" w:hAnsiTheme="minorHAnsi" w:cstheme="minorHAnsi"/>
                      <w:b/>
                      <w:bCs/>
                      <w:color w:val="000000"/>
                      <w:rtl/>
                      <w:lang w:eastAsia="ko-KR"/>
                    </w:rPr>
                    <w:t>שנה</w:t>
                  </w:r>
                </w:p>
              </w:tc>
              <w:tc>
                <w:tcPr>
                  <w:tcW w:w="1247" w:type="dxa"/>
                  <w:tcBorders>
                    <w:top w:val="single" w:sz="8" w:space="0" w:color="2E74B5"/>
                    <w:left w:val="nil"/>
                    <w:bottom w:val="single" w:sz="8" w:space="0" w:color="2E74B5"/>
                    <w:right w:val="single" w:sz="8" w:space="0" w:color="2E74B5"/>
                  </w:tcBorders>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b/>
                      <w:bCs/>
                      <w:color w:val="000000"/>
                      <w:rtl/>
                      <w:lang w:eastAsia="ko-KR"/>
                    </w:rPr>
                  </w:pPr>
                </w:p>
              </w:tc>
            </w:tr>
            <w:tr w:rsidR="00AF27B1" w:rsidRPr="00AF27B1" w:rsidTr="0010314C">
              <w:trPr>
                <w:trHeight w:val="283"/>
                <w:jc w:val="center"/>
              </w:trPr>
              <w:tc>
                <w:tcPr>
                  <w:tcW w:w="1247" w:type="dxa"/>
                  <w:tcBorders>
                    <w:top w:val="nil"/>
                    <w:left w:val="single" w:sz="8" w:space="0" w:color="2E74B5"/>
                    <w:bottom w:val="single" w:sz="8" w:space="0" w:color="2E74B5"/>
                    <w:right w:val="single" w:sz="8" w:space="0" w:color="2E74B5"/>
                  </w:tcBorders>
                  <w:noWrap/>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3.2%</w:t>
                  </w:r>
                </w:p>
              </w:tc>
              <w:tc>
                <w:tcPr>
                  <w:tcW w:w="1247" w:type="dxa"/>
                  <w:tcBorders>
                    <w:top w:val="nil"/>
                    <w:left w:val="nil"/>
                    <w:bottom w:val="single" w:sz="8" w:space="0" w:color="2E74B5"/>
                    <w:right w:val="single" w:sz="8" w:space="0" w:color="2E74B5"/>
                  </w:tcBorders>
                  <w:noWrap/>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4.4%</w:t>
                  </w:r>
                </w:p>
              </w:tc>
              <w:tc>
                <w:tcPr>
                  <w:tcW w:w="1247" w:type="dxa"/>
                  <w:tcBorders>
                    <w:top w:val="nil"/>
                    <w:left w:val="nil"/>
                    <w:bottom w:val="single" w:sz="8" w:space="0" w:color="2E74B5"/>
                    <w:right w:val="single" w:sz="8" w:space="0" w:color="2E74B5"/>
                  </w:tcBorders>
                  <w:noWrap/>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2.9%</w:t>
                  </w:r>
                </w:p>
              </w:tc>
              <w:tc>
                <w:tcPr>
                  <w:tcW w:w="1247" w:type="dxa"/>
                  <w:tcBorders>
                    <w:top w:val="nil"/>
                    <w:left w:val="nil"/>
                    <w:bottom w:val="single" w:sz="8" w:space="0" w:color="2E74B5"/>
                    <w:right w:val="single" w:sz="8" w:space="0" w:color="2E74B5"/>
                  </w:tcBorders>
                  <w:noWrap/>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b/>
                      <w:bCs/>
                      <w:color w:val="000000"/>
                      <w:rtl/>
                      <w:lang w:eastAsia="ko-KR"/>
                    </w:rPr>
                  </w:pPr>
                  <w:r w:rsidRPr="00AF27B1">
                    <w:rPr>
                      <w:rFonts w:asciiTheme="minorHAnsi" w:eastAsia="Times New Roman" w:hAnsiTheme="minorHAnsi" w:cstheme="minorHAnsi"/>
                      <w:b/>
                      <w:bCs/>
                      <w:color w:val="000000"/>
                      <w:rtl/>
                      <w:lang w:eastAsia="ko-KR"/>
                    </w:rPr>
                    <w:t>2021</w:t>
                  </w:r>
                </w:p>
              </w:tc>
            </w:tr>
            <w:tr w:rsidR="00AF27B1" w:rsidRPr="00AF27B1" w:rsidTr="0010314C">
              <w:trPr>
                <w:trHeight w:val="283"/>
                <w:jc w:val="center"/>
              </w:trPr>
              <w:tc>
                <w:tcPr>
                  <w:tcW w:w="1247" w:type="dxa"/>
                  <w:tcBorders>
                    <w:top w:val="nil"/>
                    <w:left w:val="single" w:sz="8" w:space="0" w:color="2E74B5"/>
                    <w:bottom w:val="single" w:sz="8" w:space="0" w:color="2E74B5"/>
                    <w:right w:val="single" w:sz="8" w:space="0" w:color="2E74B5"/>
                  </w:tcBorders>
                  <w:noWrap/>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color w:val="000000"/>
                      <w:rtl/>
                      <w:lang w:eastAsia="ko-KR"/>
                    </w:rPr>
                  </w:pPr>
                  <w:r w:rsidRPr="00AF27B1">
                    <w:rPr>
                      <w:rFonts w:asciiTheme="minorHAnsi" w:eastAsia="Times New Roman" w:hAnsiTheme="minorHAnsi" w:cstheme="minorHAnsi"/>
                      <w:color w:val="000000"/>
                      <w:lang w:eastAsia="ko-KR"/>
                    </w:rPr>
                    <w:t>1.4%</w:t>
                  </w:r>
                </w:p>
              </w:tc>
              <w:tc>
                <w:tcPr>
                  <w:tcW w:w="1247" w:type="dxa"/>
                  <w:tcBorders>
                    <w:top w:val="nil"/>
                    <w:left w:val="nil"/>
                    <w:bottom w:val="single" w:sz="8" w:space="0" w:color="2E74B5"/>
                    <w:right w:val="single" w:sz="8" w:space="0" w:color="2E74B5"/>
                  </w:tcBorders>
                  <w:noWrap/>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0.3%</w:t>
                  </w:r>
                </w:p>
              </w:tc>
              <w:tc>
                <w:tcPr>
                  <w:tcW w:w="1247" w:type="dxa"/>
                  <w:tcBorders>
                    <w:top w:val="nil"/>
                    <w:left w:val="nil"/>
                    <w:bottom w:val="single" w:sz="8" w:space="0" w:color="2E74B5"/>
                    <w:right w:val="single" w:sz="8" w:space="0" w:color="2E74B5"/>
                  </w:tcBorders>
                  <w:noWrap/>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-5.7%</w:t>
                  </w:r>
                </w:p>
              </w:tc>
              <w:tc>
                <w:tcPr>
                  <w:tcW w:w="1247" w:type="dxa"/>
                  <w:tcBorders>
                    <w:top w:val="nil"/>
                    <w:left w:val="nil"/>
                    <w:bottom w:val="single" w:sz="8" w:space="0" w:color="2E74B5"/>
                    <w:right w:val="single" w:sz="8" w:space="0" w:color="2E74B5"/>
                  </w:tcBorders>
                  <w:noWrap/>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b/>
                      <w:bCs/>
                      <w:color w:val="000000"/>
                      <w:lang w:eastAsia="ko-KR"/>
                    </w:rPr>
                  </w:pPr>
                  <w:r w:rsidRPr="00AF27B1">
                    <w:rPr>
                      <w:rFonts w:asciiTheme="minorHAnsi" w:eastAsia="Times New Roman" w:hAnsiTheme="minorHAnsi" w:cstheme="minorHAnsi"/>
                      <w:b/>
                      <w:bCs/>
                      <w:color w:val="000000"/>
                      <w:rtl/>
                      <w:lang w:eastAsia="ko-KR"/>
                    </w:rPr>
                    <w:t>2022</w:t>
                  </w:r>
                </w:p>
              </w:tc>
            </w:tr>
            <w:tr w:rsidR="00AF27B1" w:rsidRPr="00AF27B1" w:rsidTr="0010314C">
              <w:trPr>
                <w:trHeight w:val="283"/>
                <w:jc w:val="center"/>
              </w:trPr>
              <w:tc>
                <w:tcPr>
                  <w:tcW w:w="1247" w:type="dxa"/>
                  <w:tcBorders>
                    <w:top w:val="nil"/>
                    <w:left w:val="single" w:sz="8" w:space="0" w:color="2E74B5"/>
                    <w:bottom w:val="single" w:sz="8" w:space="0" w:color="2E74B5"/>
                    <w:right w:val="single" w:sz="8" w:space="0" w:color="2E74B5"/>
                  </w:tcBorders>
                  <w:noWrap/>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color w:val="000000"/>
                      <w:rtl/>
                      <w:lang w:eastAsia="ko-KR"/>
                    </w:rPr>
                  </w:pPr>
                  <w:r w:rsidRPr="00AF27B1">
                    <w:rPr>
                      <w:rFonts w:asciiTheme="minorHAnsi" w:eastAsia="Times New Roman" w:hAnsiTheme="minorHAnsi" w:cstheme="minorHAnsi"/>
                      <w:color w:val="000000"/>
                      <w:lang w:eastAsia="ko-KR"/>
                    </w:rPr>
                    <w:t>3.0%</w:t>
                  </w:r>
                </w:p>
              </w:tc>
              <w:tc>
                <w:tcPr>
                  <w:tcW w:w="1247" w:type="dxa"/>
                  <w:tcBorders>
                    <w:top w:val="nil"/>
                    <w:left w:val="nil"/>
                    <w:bottom w:val="single" w:sz="8" w:space="0" w:color="2E74B5"/>
                    <w:right w:val="single" w:sz="8" w:space="0" w:color="2E74B5"/>
                  </w:tcBorders>
                  <w:noWrap/>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1.6%</w:t>
                  </w:r>
                </w:p>
              </w:tc>
              <w:tc>
                <w:tcPr>
                  <w:tcW w:w="1247" w:type="dxa"/>
                  <w:tcBorders>
                    <w:top w:val="nil"/>
                    <w:left w:val="nil"/>
                    <w:bottom w:val="single" w:sz="8" w:space="0" w:color="2E74B5"/>
                    <w:right w:val="single" w:sz="8" w:space="0" w:color="2E74B5"/>
                  </w:tcBorders>
                  <w:noWrap/>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8.2%</w:t>
                  </w:r>
                </w:p>
              </w:tc>
              <w:tc>
                <w:tcPr>
                  <w:tcW w:w="1247" w:type="dxa"/>
                  <w:tcBorders>
                    <w:top w:val="nil"/>
                    <w:left w:val="nil"/>
                    <w:bottom w:val="single" w:sz="8" w:space="0" w:color="2E74B5"/>
                    <w:right w:val="single" w:sz="8" w:space="0" w:color="2E74B5"/>
                  </w:tcBorders>
                  <w:noWrap/>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b/>
                      <w:bCs/>
                      <w:color w:val="000000"/>
                      <w:lang w:eastAsia="ko-KR"/>
                    </w:rPr>
                  </w:pPr>
                  <w:r w:rsidRPr="00AF27B1">
                    <w:rPr>
                      <w:rFonts w:asciiTheme="minorHAnsi" w:eastAsia="Times New Roman" w:hAnsiTheme="minorHAnsi" w:cstheme="minorHAnsi"/>
                      <w:b/>
                      <w:bCs/>
                      <w:color w:val="000000"/>
                      <w:rtl/>
                      <w:lang w:eastAsia="ko-KR"/>
                    </w:rPr>
                    <w:t>2023</w:t>
                  </w:r>
                </w:p>
              </w:tc>
            </w:tr>
            <w:tr w:rsidR="00AF27B1" w:rsidRPr="00AF27B1" w:rsidTr="0010314C">
              <w:trPr>
                <w:trHeight w:val="283"/>
                <w:jc w:val="center"/>
              </w:trPr>
              <w:tc>
                <w:tcPr>
                  <w:tcW w:w="1247" w:type="dxa"/>
                  <w:tcBorders>
                    <w:top w:val="nil"/>
                    <w:left w:val="single" w:sz="8" w:space="0" w:color="2E74B5"/>
                    <w:bottom w:val="single" w:sz="8" w:space="0" w:color="2E74B5"/>
                    <w:right w:val="single" w:sz="8" w:space="0" w:color="2E74B5"/>
                  </w:tcBorders>
                  <w:noWrap/>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color w:val="000000"/>
                      <w:rtl/>
                      <w:lang w:eastAsia="ko-KR"/>
                    </w:rPr>
                  </w:pPr>
                  <w:r w:rsidRPr="00AF27B1">
                    <w:rPr>
                      <w:rFonts w:asciiTheme="minorHAnsi" w:eastAsia="Times New Roman" w:hAnsiTheme="minorHAnsi" w:cstheme="minorHAnsi"/>
                      <w:color w:val="000000"/>
                      <w:lang w:eastAsia="ko-KR"/>
                    </w:rPr>
                    <w:t>3.1%</w:t>
                  </w:r>
                </w:p>
              </w:tc>
              <w:tc>
                <w:tcPr>
                  <w:tcW w:w="1247" w:type="dxa"/>
                  <w:tcBorders>
                    <w:top w:val="nil"/>
                    <w:left w:val="nil"/>
                    <w:bottom w:val="single" w:sz="8" w:space="0" w:color="2E74B5"/>
                    <w:right w:val="single" w:sz="8" w:space="0" w:color="2E74B5"/>
                  </w:tcBorders>
                  <w:noWrap/>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2.9%</w:t>
                  </w:r>
                </w:p>
              </w:tc>
              <w:tc>
                <w:tcPr>
                  <w:tcW w:w="1247" w:type="dxa"/>
                  <w:tcBorders>
                    <w:top w:val="nil"/>
                    <w:left w:val="nil"/>
                    <w:bottom w:val="single" w:sz="8" w:space="0" w:color="2E74B5"/>
                    <w:right w:val="single" w:sz="8" w:space="0" w:color="2E74B5"/>
                  </w:tcBorders>
                  <w:noWrap/>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6.7%</w:t>
                  </w:r>
                </w:p>
              </w:tc>
              <w:tc>
                <w:tcPr>
                  <w:tcW w:w="1247" w:type="dxa"/>
                  <w:tcBorders>
                    <w:top w:val="nil"/>
                    <w:left w:val="nil"/>
                    <w:bottom w:val="single" w:sz="8" w:space="0" w:color="2E74B5"/>
                    <w:right w:val="single" w:sz="8" w:space="0" w:color="2E74B5"/>
                  </w:tcBorders>
                  <w:noWrap/>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b/>
                      <w:bCs/>
                      <w:color w:val="000000"/>
                      <w:rtl/>
                      <w:lang w:eastAsia="ko-KR"/>
                    </w:rPr>
                  </w:pPr>
                  <w:r w:rsidRPr="00AF27B1">
                    <w:rPr>
                      <w:rFonts w:asciiTheme="minorHAnsi" w:eastAsia="Times New Roman" w:hAnsiTheme="minorHAnsi" w:cstheme="minorHAnsi"/>
                      <w:b/>
                      <w:bCs/>
                      <w:color w:val="000000"/>
                      <w:rtl/>
                      <w:lang w:eastAsia="ko-KR"/>
                    </w:rPr>
                    <w:t>2024</w:t>
                  </w:r>
                </w:p>
              </w:tc>
            </w:tr>
            <w:tr w:rsidR="00AF27B1" w:rsidRPr="00AF27B1" w:rsidTr="0010314C">
              <w:trPr>
                <w:trHeight w:val="283"/>
                <w:jc w:val="center"/>
              </w:trPr>
              <w:tc>
                <w:tcPr>
                  <w:tcW w:w="1247" w:type="dxa"/>
                  <w:tcBorders>
                    <w:top w:val="nil"/>
                    <w:left w:val="single" w:sz="8" w:space="0" w:color="2E74B5"/>
                    <w:bottom w:val="single" w:sz="8" w:space="0" w:color="2E74B5"/>
                    <w:right w:val="single" w:sz="8" w:space="0" w:color="2E74B5"/>
                  </w:tcBorders>
                  <w:shd w:val="clear" w:color="000000" w:fill="BDD7EE"/>
                  <w:noWrap/>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color w:val="000000"/>
                      <w:rtl/>
                      <w:lang w:eastAsia="ko-KR"/>
                    </w:rPr>
                  </w:pPr>
                  <w:r w:rsidRPr="00AF27B1">
                    <w:rPr>
                      <w:rFonts w:asciiTheme="minorHAnsi" w:eastAsia="Times New Roman" w:hAnsiTheme="minorHAnsi" w:cstheme="minorHAnsi"/>
                      <w:color w:val="000000"/>
                      <w:lang w:eastAsia="ko-KR"/>
                    </w:rPr>
                    <w:t>3.9%</w:t>
                  </w:r>
                </w:p>
              </w:tc>
              <w:tc>
                <w:tcPr>
                  <w:tcW w:w="1247" w:type="dxa"/>
                  <w:tcBorders>
                    <w:top w:val="nil"/>
                    <w:left w:val="nil"/>
                    <w:bottom w:val="single" w:sz="8" w:space="0" w:color="2E74B5"/>
                    <w:right w:val="single" w:sz="8" w:space="0" w:color="2E74B5"/>
                  </w:tcBorders>
                  <w:shd w:val="clear" w:color="000000" w:fill="BDD7EE"/>
                  <w:noWrap/>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7.6%</w:t>
                  </w:r>
                </w:p>
              </w:tc>
              <w:tc>
                <w:tcPr>
                  <w:tcW w:w="1247" w:type="dxa"/>
                  <w:tcBorders>
                    <w:top w:val="nil"/>
                    <w:left w:val="nil"/>
                    <w:bottom w:val="single" w:sz="8" w:space="0" w:color="2E74B5"/>
                    <w:right w:val="single" w:sz="8" w:space="0" w:color="2E74B5"/>
                  </w:tcBorders>
                  <w:shd w:val="clear" w:color="000000" w:fill="BDD7EE"/>
                  <w:noWrap/>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7.9%</w:t>
                  </w:r>
                </w:p>
              </w:tc>
              <w:tc>
                <w:tcPr>
                  <w:tcW w:w="1247" w:type="dxa"/>
                  <w:tcBorders>
                    <w:top w:val="nil"/>
                    <w:left w:val="nil"/>
                    <w:bottom w:val="single" w:sz="8" w:space="0" w:color="2E74B5"/>
                    <w:right w:val="single" w:sz="8" w:space="0" w:color="2E74B5"/>
                  </w:tcBorders>
                  <w:shd w:val="clear" w:color="000000" w:fill="BDD7EE"/>
                  <w:noWrap/>
                  <w:vAlign w:val="center"/>
                  <w:hideMark/>
                </w:tcPr>
                <w:p w:rsidR="00AF27B1" w:rsidRPr="00AF27B1" w:rsidRDefault="00AF27B1" w:rsidP="00AF27B1">
                  <w:pPr>
                    <w:framePr w:hSpace="180" w:wrap="around" w:vAnchor="text" w:hAnchor="margin" w:xAlign="center" w:y="357"/>
                    <w:bidi/>
                    <w:spacing w:after="0"/>
                    <w:rPr>
                      <w:rFonts w:asciiTheme="minorHAnsi" w:eastAsia="Times New Roman" w:hAnsiTheme="minorHAnsi" w:cstheme="minorHAnsi"/>
                      <w:b/>
                      <w:bCs/>
                      <w:color w:val="000000"/>
                      <w:lang w:eastAsia="ko-KR"/>
                    </w:rPr>
                  </w:pPr>
                  <w:r w:rsidRPr="00AF27B1">
                    <w:rPr>
                      <w:rFonts w:asciiTheme="minorHAnsi" w:eastAsia="Times New Roman" w:hAnsiTheme="minorHAnsi" w:cstheme="minorHAnsi"/>
                      <w:b/>
                      <w:bCs/>
                      <w:color w:val="000000"/>
                      <w:rtl/>
                      <w:lang w:eastAsia="ko-KR"/>
                    </w:rPr>
                    <w:t>2025</w:t>
                  </w:r>
                </w:p>
              </w:tc>
            </w:tr>
          </w:tbl>
          <w:p w:rsidR="00AF27B1" w:rsidRDefault="00AF27B1" w:rsidP="00AF27B1">
            <w:pPr>
              <w:pStyle w:val="FootnoteText"/>
              <w:tabs>
                <w:tab w:val="left" w:pos="2554"/>
              </w:tabs>
              <w:spacing w:line="360" w:lineRule="auto"/>
              <w:rPr>
                <w:rFonts w:eastAsia="Times New Roman" w:cstheme="minorHAnsi"/>
                <w:color w:val="FF0000"/>
                <w:sz w:val="24"/>
                <w:szCs w:val="24"/>
                <w:highlight w:val="yellow"/>
                <w:rtl/>
              </w:rPr>
            </w:pPr>
          </w:p>
          <w:p w:rsidR="00AF27B1" w:rsidRPr="00AF27B1" w:rsidRDefault="00AF27B1" w:rsidP="00AF27B1">
            <w:pPr>
              <w:pStyle w:val="FootnoteText"/>
              <w:tabs>
                <w:tab w:val="left" w:pos="2554"/>
              </w:tabs>
              <w:spacing w:line="360" w:lineRule="auto"/>
              <w:rPr>
                <w:rFonts w:eastAsia="Times New Roman" w:cstheme="minorHAnsi"/>
                <w:color w:val="FF0000"/>
                <w:sz w:val="24"/>
                <w:szCs w:val="24"/>
                <w:highlight w:val="yellow"/>
                <w:rtl/>
              </w:rPr>
            </w:pPr>
          </w:p>
        </w:tc>
      </w:tr>
      <w:tr w:rsidR="00AF27B1" w:rsidRPr="00AF27B1" w:rsidTr="00AF27B1">
        <w:trPr>
          <w:trHeight w:val="831"/>
        </w:trPr>
        <w:tc>
          <w:tcPr>
            <w:tcW w:w="1416" w:type="dxa"/>
          </w:tcPr>
          <w:p w:rsidR="00AF27B1" w:rsidRPr="00AF27B1" w:rsidRDefault="00AF27B1" w:rsidP="00AF27B1">
            <w:pPr>
              <w:bidi/>
              <w:rPr>
                <w:rFonts w:asciiTheme="minorHAnsi" w:eastAsia="Times New Roman" w:hAnsiTheme="minorHAnsi" w:cstheme="minorHAnsi"/>
                <w:color w:val="365F91" w:themeColor="accent1" w:themeShade="BF"/>
                <w:highlight w:val="yellow"/>
                <w:rtl/>
              </w:rPr>
            </w:pPr>
            <w:proofErr w:type="spellStart"/>
            <w:r w:rsidRPr="00AF27B1">
              <w:rPr>
                <w:rFonts w:asciiTheme="minorHAnsi" w:eastAsia="Times New Roman" w:hAnsiTheme="minorHAnsi" w:cstheme="minorHAnsi"/>
                <w:color w:val="365F91" w:themeColor="accent1" w:themeShade="BF"/>
                <w:rtl/>
              </w:rPr>
              <w:lastRenderedPageBreak/>
              <w:t>רמת־הסיכון</w:t>
            </w:r>
            <w:proofErr w:type="spellEnd"/>
            <w:r w:rsidRPr="00AF27B1">
              <w:rPr>
                <w:rFonts w:asciiTheme="minorHAnsi" w:eastAsia="Times New Roman" w:hAnsiTheme="minorHAnsi" w:cstheme="minorHAnsi"/>
                <w:color w:val="365F91" w:themeColor="accent1" w:themeShade="BF"/>
                <w:rtl/>
              </w:rPr>
              <w:t xml:space="preserve"> של יתרות </w:t>
            </w:r>
            <w:proofErr w:type="spellStart"/>
            <w:r w:rsidRPr="00AF27B1">
              <w:rPr>
                <w:rFonts w:asciiTheme="minorHAnsi" w:eastAsia="Times New Roman" w:hAnsiTheme="minorHAnsi" w:cstheme="minorHAnsi"/>
                <w:color w:val="365F91" w:themeColor="accent1" w:themeShade="BF"/>
                <w:rtl/>
              </w:rPr>
              <w:t>המט"ח</w:t>
            </w:r>
            <w:proofErr w:type="spellEnd"/>
          </w:p>
        </w:tc>
        <w:tc>
          <w:tcPr>
            <w:tcW w:w="8365" w:type="dxa"/>
          </w:tcPr>
          <w:p w:rsidR="00AF27B1" w:rsidRPr="00AF27B1" w:rsidRDefault="00AF27B1" w:rsidP="00AF27B1">
            <w:pPr>
              <w:bidi/>
              <w:spacing w:line="360" w:lineRule="auto"/>
              <w:rPr>
                <w:rFonts w:asciiTheme="minorHAnsi" w:eastAsia="Times New Roman" w:hAnsiTheme="minorHAnsi" w:cstheme="minorHAnsi"/>
                <w:rtl/>
              </w:rPr>
            </w:pPr>
            <w:r w:rsidRPr="00AF27B1">
              <w:rPr>
                <w:rFonts w:asciiTheme="minorHAnsi" w:eastAsia="Times New Roman" w:hAnsiTheme="minorHAnsi" w:cstheme="minorHAnsi"/>
                <w:rtl/>
              </w:rPr>
              <w:t xml:space="preserve">התנודתיות של היתרות התמתנה מעט, בהשפעת ירידה בתנודתיות של שוקי המניות </w:t>
            </w:r>
            <w:proofErr w:type="spellStart"/>
            <w:r w:rsidRPr="00AF27B1">
              <w:rPr>
                <w:rFonts w:asciiTheme="minorHAnsi" w:eastAsia="Times New Roman" w:hAnsiTheme="minorHAnsi" w:cstheme="minorHAnsi"/>
                <w:rtl/>
              </w:rPr>
              <w:t>והאג"ח</w:t>
            </w:r>
            <w:proofErr w:type="spellEnd"/>
            <w:r w:rsidRPr="00AF27B1">
              <w:rPr>
                <w:rFonts w:asciiTheme="minorHAnsi" w:eastAsia="Times New Roman" w:hAnsiTheme="minorHAnsi" w:cstheme="minorHAnsi"/>
                <w:rtl/>
              </w:rPr>
              <w:t xml:space="preserve"> – אולם בשל גידול משקל המניות בתיק במהלך השנה סיכון הזנב להפסד (</w:t>
            </w:r>
            <w:r w:rsidRPr="00AF27B1">
              <w:rPr>
                <w:rFonts w:asciiTheme="minorHAnsi" w:eastAsia="Times New Roman" w:hAnsiTheme="minorHAnsi" w:cstheme="minorHAnsi"/>
              </w:rPr>
              <w:t>CVaR5%</w:t>
            </w:r>
            <w:r w:rsidRPr="00AF27B1">
              <w:rPr>
                <w:rStyle w:val="FootnoteReference"/>
                <w:rFonts w:asciiTheme="minorHAnsi" w:eastAsia="Times New Roman" w:hAnsiTheme="minorHAnsi" w:cstheme="minorHAnsi"/>
              </w:rPr>
              <w:footnoteReference w:id="3"/>
            </w:r>
            <w:r w:rsidRPr="00AF27B1">
              <w:rPr>
                <w:rFonts w:asciiTheme="minorHAnsi" w:eastAsia="Times New Roman" w:hAnsiTheme="minorHAnsi" w:cstheme="minorHAnsi"/>
                <w:rtl/>
              </w:rPr>
              <w:t>) גדל.</w:t>
            </w:r>
          </w:p>
        </w:tc>
      </w:tr>
      <w:tr w:rsidR="00AF27B1" w:rsidRPr="00AF27B1" w:rsidTr="00AF27B1">
        <w:trPr>
          <w:trHeight w:val="440"/>
        </w:trPr>
        <w:tc>
          <w:tcPr>
            <w:tcW w:w="1416" w:type="dxa"/>
          </w:tcPr>
          <w:p w:rsidR="00AF27B1" w:rsidRPr="00AF27B1" w:rsidRDefault="00AF27B1" w:rsidP="00AF27B1">
            <w:pPr>
              <w:bidi/>
              <w:rPr>
                <w:rFonts w:asciiTheme="minorHAnsi" w:eastAsia="Times New Roman" w:hAnsiTheme="minorHAnsi" w:cstheme="minorHAnsi"/>
                <w:rtl/>
              </w:rPr>
            </w:pPr>
            <w:r w:rsidRPr="00AF27B1">
              <w:rPr>
                <w:rFonts w:asciiTheme="minorHAnsi" w:eastAsia="Times New Roman" w:hAnsiTheme="minorHAnsi" w:cstheme="minorHAnsi"/>
                <w:color w:val="365F91" w:themeColor="accent1" w:themeShade="BF"/>
                <w:rtl/>
              </w:rPr>
              <w:t xml:space="preserve">התשואה </w:t>
            </w:r>
            <w:proofErr w:type="spellStart"/>
            <w:r w:rsidRPr="00AF27B1">
              <w:rPr>
                <w:rFonts w:asciiTheme="minorHAnsi" w:eastAsia="Times New Roman" w:hAnsiTheme="minorHAnsi" w:cstheme="minorHAnsi"/>
                <w:color w:val="365F91" w:themeColor="accent1" w:themeShade="BF"/>
                <w:rtl/>
              </w:rPr>
              <w:t>השקלית</w:t>
            </w:r>
            <w:proofErr w:type="spellEnd"/>
            <w:r w:rsidRPr="00AF27B1">
              <w:rPr>
                <w:rFonts w:asciiTheme="minorHAnsi" w:eastAsia="Times New Roman" w:hAnsiTheme="minorHAnsi" w:cstheme="minorHAnsi"/>
                <w:color w:val="365F91" w:themeColor="accent1" w:themeShade="BF"/>
                <w:rtl/>
              </w:rPr>
              <w:t xml:space="preserve"> של יתרות </w:t>
            </w:r>
            <w:proofErr w:type="spellStart"/>
            <w:r w:rsidRPr="00AF27B1">
              <w:rPr>
                <w:rFonts w:asciiTheme="minorHAnsi" w:eastAsia="Times New Roman" w:hAnsiTheme="minorHAnsi" w:cstheme="minorHAnsi"/>
                <w:color w:val="365F91" w:themeColor="accent1" w:themeShade="BF"/>
                <w:rtl/>
              </w:rPr>
              <w:t>המט"ח</w:t>
            </w:r>
            <w:proofErr w:type="spellEnd"/>
          </w:p>
        </w:tc>
        <w:tc>
          <w:tcPr>
            <w:tcW w:w="8365" w:type="dxa"/>
          </w:tcPr>
          <w:p w:rsidR="00AF27B1" w:rsidRPr="00AF27B1" w:rsidRDefault="00AF27B1" w:rsidP="00AF27B1">
            <w:pPr>
              <w:bidi/>
              <w:spacing w:after="120" w:line="360" w:lineRule="auto"/>
              <w:rPr>
                <w:rFonts w:asciiTheme="minorHAnsi" w:eastAsia="Times New Roman" w:hAnsiTheme="minorHAnsi" w:cstheme="minorHAnsi"/>
                <w:rtl/>
              </w:rPr>
            </w:pPr>
            <w:r w:rsidRPr="00AF27B1">
              <w:rPr>
                <w:rFonts w:asciiTheme="minorHAnsi" w:eastAsia="Times New Roman" w:hAnsiTheme="minorHAnsi" w:cstheme="minorHAnsi"/>
                <w:rtl/>
              </w:rPr>
              <w:t xml:space="preserve">תשואת ההחזקה של יתרות </w:t>
            </w:r>
            <w:proofErr w:type="spellStart"/>
            <w:r w:rsidRPr="00AF27B1">
              <w:rPr>
                <w:rFonts w:asciiTheme="minorHAnsi" w:eastAsia="Times New Roman" w:hAnsiTheme="minorHAnsi" w:cstheme="minorHAnsi"/>
                <w:rtl/>
              </w:rPr>
              <w:t>המט"ח</w:t>
            </w:r>
            <w:proofErr w:type="spellEnd"/>
            <w:r w:rsidRPr="00AF27B1">
              <w:rPr>
                <w:rFonts w:asciiTheme="minorHAnsi" w:eastAsia="Times New Roman" w:hAnsiTheme="minorHAnsi" w:cstheme="minorHAnsi"/>
                <w:rtl/>
              </w:rPr>
              <w:t xml:space="preserve"> במונחים </w:t>
            </w:r>
            <w:proofErr w:type="spellStart"/>
            <w:r w:rsidRPr="00AF27B1">
              <w:rPr>
                <w:rFonts w:asciiTheme="minorHAnsi" w:eastAsia="Times New Roman" w:hAnsiTheme="minorHAnsi" w:cstheme="minorHAnsi"/>
                <w:rtl/>
              </w:rPr>
              <w:t>שקליים</w:t>
            </w:r>
            <w:proofErr w:type="spellEnd"/>
            <w:r w:rsidRPr="00AF27B1">
              <w:rPr>
                <w:rFonts w:asciiTheme="minorHAnsi" w:eastAsia="Times New Roman" w:hAnsiTheme="minorHAnsi" w:cstheme="minorHAnsi"/>
                <w:rtl/>
              </w:rPr>
              <w:t xml:space="preserve"> הסתכמה בשנת 2025 בשיעור של</w:t>
            </w:r>
            <w:r w:rsidRPr="00AF27B1">
              <w:rPr>
                <w:rFonts w:asciiTheme="minorHAnsi" w:eastAsia="Times New Roman" w:hAnsiTheme="minorHAnsi" w:cstheme="minorHAnsi"/>
              </w:rPr>
              <w:t xml:space="preserve"> </w:t>
            </w:r>
            <w:r w:rsidRPr="00AF27B1">
              <w:rPr>
                <w:rFonts w:asciiTheme="minorHAnsi" w:eastAsia="Times New Roman" w:hAnsiTheme="minorHAnsi" w:cstheme="minorHAnsi"/>
                <w:rtl/>
              </w:rPr>
              <w:t xml:space="preserve">2.5%- משום שהשקל התחזק מול הסמן </w:t>
            </w:r>
            <w:proofErr w:type="spellStart"/>
            <w:r w:rsidRPr="00AF27B1">
              <w:rPr>
                <w:rFonts w:asciiTheme="minorHAnsi" w:eastAsia="Times New Roman" w:hAnsiTheme="minorHAnsi" w:cstheme="minorHAnsi"/>
                <w:rtl/>
              </w:rPr>
              <w:t>המטבעי</w:t>
            </w:r>
            <w:proofErr w:type="spellEnd"/>
            <w:r w:rsidRPr="00AF27B1">
              <w:rPr>
                <w:rFonts w:asciiTheme="minorHAnsi" w:eastAsia="Times New Roman" w:hAnsiTheme="minorHAnsi" w:cstheme="minorHAnsi"/>
                <w:rtl/>
              </w:rPr>
              <w:t xml:space="preserve"> ב-9.6%. אולם בטווחים של שלוש וחמש שנים נרשמה תשואה חיובית במונחים </w:t>
            </w:r>
            <w:proofErr w:type="spellStart"/>
            <w:r w:rsidRPr="00AF27B1">
              <w:rPr>
                <w:rFonts w:asciiTheme="minorHAnsi" w:eastAsia="Times New Roman" w:hAnsiTheme="minorHAnsi" w:cstheme="minorHAnsi"/>
                <w:rtl/>
              </w:rPr>
              <w:t>שקליים</w:t>
            </w:r>
            <w:proofErr w:type="spellEnd"/>
            <w:r w:rsidRPr="00AF27B1">
              <w:rPr>
                <w:rFonts w:asciiTheme="minorHAnsi" w:eastAsia="Times New Roman" w:hAnsiTheme="minorHAnsi" w:cstheme="minorHAnsi"/>
                <w:rtl/>
              </w:rPr>
              <w:t xml:space="preserve">. בהתאם לאחד מיעדי מדיניות ההשקעה של יתרות </w:t>
            </w:r>
            <w:proofErr w:type="spellStart"/>
            <w:r w:rsidRPr="00AF27B1">
              <w:rPr>
                <w:rFonts w:asciiTheme="minorHAnsi" w:eastAsia="Times New Roman" w:hAnsiTheme="minorHAnsi" w:cstheme="minorHAnsi"/>
                <w:rtl/>
              </w:rPr>
              <w:t>המט"ח</w:t>
            </w:r>
            <w:proofErr w:type="spellEnd"/>
            <w:r w:rsidRPr="00AF27B1">
              <w:rPr>
                <w:rFonts w:asciiTheme="minorHAnsi" w:eastAsia="Times New Roman" w:hAnsiTheme="minorHAnsi" w:cstheme="minorHAnsi"/>
                <w:rtl/>
              </w:rPr>
              <w:t xml:space="preserve"> על התשואה </w:t>
            </w:r>
            <w:proofErr w:type="spellStart"/>
            <w:r w:rsidRPr="00AF27B1">
              <w:rPr>
                <w:rFonts w:asciiTheme="minorHAnsi" w:eastAsia="Times New Roman" w:hAnsiTheme="minorHAnsi" w:cstheme="minorHAnsi"/>
                <w:rtl/>
              </w:rPr>
              <w:t>השקלית</w:t>
            </w:r>
            <w:proofErr w:type="spellEnd"/>
            <w:r w:rsidRPr="00AF27B1">
              <w:rPr>
                <w:rFonts w:asciiTheme="minorHAnsi" w:eastAsia="Times New Roman" w:hAnsiTheme="minorHAnsi" w:cstheme="minorHAnsi"/>
                <w:rtl/>
              </w:rPr>
              <w:t xml:space="preserve"> לכסות את העלות </w:t>
            </w:r>
            <w:proofErr w:type="spellStart"/>
            <w:r w:rsidRPr="00AF27B1">
              <w:rPr>
                <w:rFonts w:asciiTheme="minorHAnsi" w:eastAsia="Times New Roman" w:hAnsiTheme="minorHAnsi" w:cstheme="minorHAnsi"/>
                <w:rtl/>
              </w:rPr>
              <w:t>השקלית</w:t>
            </w:r>
            <w:proofErr w:type="spellEnd"/>
            <w:r w:rsidRPr="00AF27B1">
              <w:rPr>
                <w:rFonts w:asciiTheme="minorHAnsi" w:eastAsia="Times New Roman" w:hAnsiTheme="minorHAnsi" w:cstheme="minorHAnsi"/>
                <w:rtl/>
              </w:rPr>
              <w:t xml:space="preserve"> של החזקת היתרות בטווח הארוך</w:t>
            </w:r>
            <w:r w:rsidRPr="00AF27B1">
              <w:rPr>
                <w:rStyle w:val="FootnoteReference"/>
                <w:rFonts w:asciiTheme="minorHAnsi" w:eastAsia="Times New Roman" w:hAnsiTheme="minorHAnsi" w:cstheme="minorHAnsi"/>
                <w:rtl/>
              </w:rPr>
              <w:footnoteReference w:id="4"/>
            </w:r>
            <w:r w:rsidRPr="00AF27B1">
              <w:rPr>
                <w:rFonts w:asciiTheme="minorHAnsi" w:eastAsia="Times New Roman" w:hAnsiTheme="minorHAnsi" w:cstheme="minorHAnsi"/>
                <w:rtl/>
              </w:rPr>
              <w:t>.</w:t>
            </w:r>
          </w:p>
          <w:p w:rsidR="00AF27B1" w:rsidRPr="00AF27B1" w:rsidRDefault="00AF27B1" w:rsidP="00AF27B1">
            <w:pPr>
              <w:bidi/>
              <w:jc w:val="center"/>
              <w:rPr>
                <w:rFonts w:asciiTheme="minorHAnsi" w:eastAsia="Times New Roman" w:hAnsiTheme="minorHAnsi" w:cstheme="minorHAnsi"/>
                <w:b/>
                <w:bCs/>
                <w:color w:val="0070C0"/>
                <w:rtl/>
              </w:rPr>
            </w:pPr>
            <w:r w:rsidRPr="00AF27B1">
              <w:rPr>
                <w:rFonts w:asciiTheme="minorHAnsi" w:eastAsia="Times New Roman" w:hAnsiTheme="minorHAnsi" w:cstheme="minorHAnsi"/>
                <w:b/>
                <w:bCs/>
                <w:color w:val="0070C0"/>
                <w:rtl/>
              </w:rPr>
              <w:t>לוח 1ב</w:t>
            </w:r>
          </w:p>
          <w:p w:rsidR="00AF27B1" w:rsidRPr="00AF27B1" w:rsidRDefault="00AF27B1" w:rsidP="00AF27B1">
            <w:pPr>
              <w:bidi/>
              <w:jc w:val="center"/>
              <w:rPr>
                <w:rFonts w:asciiTheme="minorHAnsi" w:eastAsia="Times New Roman" w:hAnsiTheme="minorHAnsi" w:cstheme="minorHAnsi"/>
                <w:b/>
                <w:bCs/>
                <w:color w:val="0070C0"/>
                <w:rtl/>
              </w:rPr>
            </w:pPr>
            <w:r w:rsidRPr="00AF27B1">
              <w:rPr>
                <w:rFonts w:asciiTheme="minorHAnsi" w:eastAsia="Times New Roman" w:hAnsiTheme="minorHAnsi" w:cstheme="minorHAnsi"/>
                <w:b/>
                <w:bCs/>
                <w:color w:val="0070C0"/>
                <w:rtl/>
              </w:rPr>
              <w:t xml:space="preserve">תשואת החזקתן של  יתרות </w:t>
            </w:r>
            <w:proofErr w:type="spellStart"/>
            <w:r w:rsidRPr="00AF27B1">
              <w:rPr>
                <w:rFonts w:asciiTheme="minorHAnsi" w:eastAsia="Times New Roman" w:hAnsiTheme="minorHAnsi" w:cstheme="minorHAnsi"/>
                <w:b/>
                <w:bCs/>
                <w:color w:val="0070C0"/>
                <w:rtl/>
              </w:rPr>
              <w:t>המט"ח</w:t>
            </w:r>
            <w:proofErr w:type="spellEnd"/>
            <w:r w:rsidRPr="00AF27B1">
              <w:rPr>
                <w:rFonts w:asciiTheme="minorHAnsi" w:eastAsia="Times New Roman" w:hAnsiTheme="minorHAnsi" w:cstheme="minorHAnsi"/>
                <w:b/>
                <w:bCs/>
                <w:color w:val="0070C0"/>
                <w:rtl/>
              </w:rPr>
              <w:t xml:space="preserve"> במבט שנתי ובממוצע רב־שנתי</w:t>
            </w:r>
          </w:p>
          <w:p w:rsidR="00AF27B1" w:rsidRPr="00AF27B1" w:rsidRDefault="00AF27B1" w:rsidP="00AF27B1">
            <w:pPr>
              <w:bidi/>
              <w:jc w:val="center"/>
              <w:rPr>
                <w:rFonts w:asciiTheme="minorHAnsi" w:eastAsia="Times New Roman" w:hAnsiTheme="minorHAnsi" w:cstheme="minorHAnsi"/>
                <w:b/>
                <w:bCs/>
                <w:color w:val="0070C0"/>
                <w:rtl/>
              </w:rPr>
            </w:pPr>
            <w:r w:rsidRPr="00AF27B1">
              <w:rPr>
                <w:rFonts w:asciiTheme="minorHAnsi" w:eastAsia="Times New Roman" w:hAnsiTheme="minorHAnsi" w:cstheme="minorHAnsi"/>
                <w:b/>
                <w:bCs/>
                <w:color w:val="0070C0"/>
                <w:rtl/>
              </w:rPr>
              <w:t>במונחי שקל; אחוזים, במונחים שנתיים</w:t>
            </w:r>
          </w:p>
          <w:tbl>
            <w:tblPr>
              <w:tblpPr w:leftFromText="180" w:rightFromText="180" w:vertAnchor="text" w:horzAnchor="margin" w:tblpXSpec="center" w:tblpY="56"/>
              <w:tblW w:w="6460" w:type="dxa"/>
              <w:tblLayout w:type="fixed"/>
              <w:tblLook w:val="04A0" w:firstRow="1" w:lastRow="0" w:firstColumn="1" w:lastColumn="0" w:noHBand="0" w:noVBand="1"/>
            </w:tblPr>
            <w:tblGrid>
              <w:gridCol w:w="1080"/>
              <w:gridCol w:w="1080"/>
              <w:gridCol w:w="1080"/>
              <w:gridCol w:w="1700"/>
              <w:gridCol w:w="1520"/>
            </w:tblGrid>
            <w:tr w:rsidR="00AF27B1" w:rsidRPr="00AF27B1" w:rsidTr="0010314C">
              <w:trPr>
                <w:trHeight w:val="510"/>
              </w:trPr>
              <w:tc>
                <w:tcPr>
                  <w:tcW w:w="3240" w:type="dxa"/>
                  <w:gridSpan w:val="3"/>
                  <w:tcBorders>
                    <w:top w:val="single" w:sz="8" w:space="0" w:color="2E74B5"/>
                    <w:left w:val="single" w:sz="8" w:space="0" w:color="2E74B5"/>
                    <w:bottom w:val="single" w:sz="4" w:space="0" w:color="4F81BD" w:themeColor="accent1"/>
                    <w:right w:val="single" w:sz="8" w:space="0" w:color="2E74B5"/>
                  </w:tcBorders>
                  <w:vAlign w:val="center"/>
                </w:tcPr>
                <w:p w:rsidR="00AF27B1" w:rsidRPr="00AF27B1" w:rsidRDefault="00AF27B1" w:rsidP="00AF27B1">
                  <w:pPr>
                    <w:bidi/>
                    <w:spacing w:after="0"/>
                    <w:rPr>
                      <w:rFonts w:asciiTheme="minorHAnsi" w:eastAsia="Times New Roman" w:hAnsiTheme="minorHAnsi" w:cstheme="minorHAnsi"/>
                      <w:b/>
                      <w:bCs/>
                      <w:color w:val="000000"/>
                      <w:rtl/>
                      <w:lang w:eastAsia="ko-KR"/>
                    </w:rPr>
                  </w:pPr>
                  <w:r w:rsidRPr="00AF27B1">
                    <w:rPr>
                      <w:rFonts w:asciiTheme="minorHAnsi" w:eastAsia="Times New Roman" w:hAnsiTheme="minorHAnsi" w:cstheme="minorHAnsi"/>
                      <w:b/>
                      <w:bCs/>
                      <w:color w:val="000000"/>
                      <w:rtl/>
                      <w:lang w:eastAsia="ko-KR"/>
                    </w:rPr>
                    <w:t>התשואה</w:t>
                  </w:r>
                </w:p>
              </w:tc>
              <w:tc>
                <w:tcPr>
                  <w:tcW w:w="1700" w:type="dxa"/>
                  <w:vMerge w:val="restart"/>
                  <w:tcBorders>
                    <w:top w:val="single" w:sz="4" w:space="0" w:color="365F91" w:themeColor="accent1" w:themeShade="BF"/>
                    <w:left w:val="nil"/>
                    <w:right w:val="single" w:sz="8" w:space="0" w:color="2E74B5"/>
                  </w:tcBorders>
                  <w:vAlign w:val="center"/>
                  <w:hideMark/>
                </w:tcPr>
                <w:p w:rsidR="00AF27B1" w:rsidRPr="00AF27B1" w:rsidRDefault="00AF27B1" w:rsidP="00AF27B1">
                  <w:pPr>
                    <w:bidi/>
                    <w:spacing w:after="0"/>
                    <w:rPr>
                      <w:rFonts w:asciiTheme="minorHAnsi" w:eastAsia="Times New Roman" w:hAnsiTheme="minorHAnsi" w:cstheme="minorHAnsi"/>
                      <w:b/>
                      <w:bCs/>
                      <w:color w:val="000000"/>
                      <w:rtl/>
                      <w:lang w:eastAsia="ko-KR"/>
                    </w:rPr>
                  </w:pPr>
                  <w:r w:rsidRPr="00AF27B1">
                    <w:rPr>
                      <w:rFonts w:asciiTheme="minorHAnsi" w:eastAsia="Times New Roman" w:hAnsiTheme="minorHAnsi" w:cstheme="minorHAnsi"/>
                      <w:b/>
                      <w:bCs/>
                      <w:color w:val="000000"/>
                      <w:rtl/>
                      <w:lang w:eastAsia="ko-KR"/>
                    </w:rPr>
                    <w:t xml:space="preserve">השינוי השנתי בשער החליפין הסמן </w:t>
                  </w:r>
                  <w:proofErr w:type="spellStart"/>
                  <w:r w:rsidRPr="00AF27B1">
                    <w:rPr>
                      <w:rFonts w:asciiTheme="minorHAnsi" w:eastAsia="Times New Roman" w:hAnsiTheme="minorHAnsi" w:cstheme="minorHAnsi"/>
                      <w:b/>
                      <w:bCs/>
                      <w:color w:val="000000"/>
                      <w:rtl/>
                      <w:lang w:eastAsia="ko-KR"/>
                    </w:rPr>
                    <w:t>המטבעי</w:t>
                  </w:r>
                  <w:proofErr w:type="spellEnd"/>
                  <w:r w:rsidRPr="00AF27B1">
                    <w:rPr>
                      <w:rFonts w:asciiTheme="minorHAnsi" w:eastAsia="Times New Roman" w:hAnsiTheme="minorHAnsi" w:cstheme="minorHAnsi"/>
                      <w:b/>
                      <w:bCs/>
                      <w:color w:val="000000"/>
                      <w:rtl/>
                      <w:lang w:eastAsia="ko-KR"/>
                    </w:rPr>
                    <w:t>/השקל</w:t>
                  </w:r>
                  <w:r w:rsidRPr="00AF27B1">
                    <w:rPr>
                      <w:rFonts w:asciiTheme="minorHAnsi" w:eastAsia="Times New Roman" w:hAnsiTheme="minorHAnsi" w:cstheme="minorHAnsi"/>
                      <w:rtl/>
                    </w:rPr>
                    <w:t>*</w:t>
                  </w:r>
                </w:p>
              </w:tc>
              <w:tc>
                <w:tcPr>
                  <w:tcW w:w="1520" w:type="dxa"/>
                  <w:vMerge w:val="restart"/>
                  <w:tcBorders>
                    <w:top w:val="single" w:sz="8" w:space="0" w:color="2E74B5"/>
                    <w:left w:val="nil"/>
                    <w:right w:val="single" w:sz="8" w:space="0" w:color="2E74B5"/>
                  </w:tcBorders>
                  <w:vAlign w:val="center"/>
                  <w:hideMark/>
                </w:tcPr>
                <w:p w:rsidR="00AF27B1" w:rsidRPr="00AF27B1" w:rsidRDefault="00AF27B1" w:rsidP="00AF27B1">
                  <w:pPr>
                    <w:bidi/>
                    <w:spacing w:after="0"/>
                    <w:rPr>
                      <w:rFonts w:asciiTheme="minorHAnsi" w:eastAsia="Times New Roman" w:hAnsiTheme="minorHAnsi" w:cstheme="minorHAnsi"/>
                      <w:b/>
                      <w:bCs/>
                      <w:color w:val="000000"/>
                      <w:rtl/>
                      <w:lang w:eastAsia="ko-KR"/>
                    </w:rPr>
                  </w:pPr>
                  <w:r w:rsidRPr="00AF27B1">
                    <w:rPr>
                      <w:rFonts w:asciiTheme="minorHAnsi" w:eastAsia="Times New Roman" w:hAnsiTheme="minorHAnsi" w:cstheme="minorHAnsi"/>
                      <w:b/>
                      <w:bCs/>
                      <w:color w:val="000000"/>
                      <w:lang w:eastAsia="ko-KR"/>
                    </w:rPr>
                    <w:t> </w:t>
                  </w:r>
                </w:p>
              </w:tc>
            </w:tr>
            <w:tr w:rsidR="00AF27B1" w:rsidRPr="00AF27B1" w:rsidTr="0010314C">
              <w:trPr>
                <w:trHeight w:val="510"/>
              </w:trPr>
              <w:tc>
                <w:tcPr>
                  <w:tcW w:w="1080" w:type="dxa"/>
                  <w:tcBorders>
                    <w:top w:val="single" w:sz="4" w:space="0" w:color="4F81BD" w:themeColor="accent1"/>
                    <w:left w:val="single" w:sz="8" w:space="0" w:color="2E74B5"/>
                    <w:bottom w:val="single" w:sz="8" w:space="0" w:color="2E74B5"/>
                    <w:right w:val="single" w:sz="8" w:space="0" w:color="2E74B5"/>
                  </w:tcBorders>
                  <w:vAlign w:val="center"/>
                </w:tcPr>
                <w:p w:rsidR="00AF27B1" w:rsidRPr="00AF27B1" w:rsidRDefault="00AF27B1" w:rsidP="00AF27B1">
                  <w:pPr>
                    <w:bidi/>
                    <w:spacing w:after="0"/>
                    <w:rPr>
                      <w:rFonts w:asciiTheme="minorHAnsi" w:eastAsia="Times New Roman" w:hAnsiTheme="minorHAnsi" w:cstheme="minorHAnsi"/>
                      <w:b/>
                      <w:bCs/>
                      <w:color w:val="000000"/>
                      <w:rtl/>
                      <w:lang w:eastAsia="ko-KR"/>
                    </w:rPr>
                  </w:pPr>
                  <w:r w:rsidRPr="00AF27B1">
                    <w:rPr>
                      <w:rFonts w:asciiTheme="minorHAnsi" w:eastAsia="Times New Roman" w:hAnsiTheme="minorHAnsi" w:cstheme="minorHAnsi"/>
                      <w:b/>
                      <w:bCs/>
                      <w:color w:val="000000"/>
                      <w:rtl/>
                      <w:lang w:eastAsia="ko-KR"/>
                    </w:rPr>
                    <w:t>חמש שנים</w:t>
                  </w:r>
                </w:p>
              </w:tc>
              <w:tc>
                <w:tcPr>
                  <w:tcW w:w="1080" w:type="dxa"/>
                  <w:tcBorders>
                    <w:top w:val="single" w:sz="4" w:space="0" w:color="4F81BD" w:themeColor="accent1"/>
                    <w:left w:val="nil"/>
                    <w:bottom w:val="single" w:sz="8" w:space="0" w:color="2E74B5"/>
                    <w:right w:val="single" w:sz="8" w:space="0" w:color="2E74B5"/>
                  </w:tcBorders>
                  <w:vAlign w:val="center"/>
                </w:tcPr>
                <w:p w:rsidR="00AF27B1" w:rsidRPr="00AF27B1" w:rsidRDefault="00AF27B1" w:rsidP="00AF27B1">
                  <w:pPr>
                    <w:bidi/>
                    <w:spacing w:after="0"/>
                    <w:rPr>
                      <w:rFonts w:asciiTheme="minorHAnsi" w:eastAsia="Times New Roman" w:hAnsiTheme="minorHAnsi" w:cstheme="minorHAnsi"/>
                      <w:b/>
                      <w:bCs/>
                      <w:color w:val="000000"/>
                      <w:rtl/>
                      <w:lang w:eastAsia="ko-KR"/>
                    </w:rPr>
                  </w:pPr>
                  <w:r w:rsidRPr="00AF27B1">
                    <w:rPr>
                      <w:rFonts w:asciiTheme="minorHAnsi" w:eastAsia="Times New Roman" w:hAnsiTheme="minorHAnsi" w:cstheme="minorHAnsi"/>
                      <w:b/>
                      <w:bCs/>
                      <w:color w:val="000000"/>
                      <w:rtl/>
                      <w:lang w:eastAsia="ko-KR"/>
                    </w:rPr>
                    <w:t>שלוש שנים</w:t>
                  </w:r>
                </w:p>
              </w:tc>
              <w:tc>
                <w:tcPr>
                  <w:tcW w:w="1080" w:type="dxa"/>
                  <w:tcBorders>
                    <w:top w:val="single" w:sz="8" w:space="0" w:color="2E74B5"/>
                    <w:left w:val="nil"/>
                    <w:bottom w:val="single" w:sz="8" w:space="0" w:color="2E74B5"/>
                    <w:right w:val="single" w:sz="8" w:space="0" w:color="2E74B5"/>
                  </w:tcBorders>
                  <w:vAlign w:val="center"/>
                </w:tcPr>
                <w:p w:rsidR="00AF27B1" w:rsidRPr="00AF27B1" w:rsidRDefault="00AF27B1" w:rsidP="00AF27B1">
                  <w:pPr>
                    <w:bidi/>
                    <w:spacing w:after="0"/>
                    <w:rPr>
                      <w:rFonts w:asciiTheme="minorHAnsi" w:eastAsia="Times New Roman" w:hAnsiTheme="minorHAnsi" w:cstheme="minorHAnsi"/>
                      <w:b/>
                      <w:bCs/>
                      <w:color w:val="000000"/>
                      <w:rtl/>
                      <w:lang w:eastAsia="ko-KR"/>
                    </w:rPr>
                  </w:pPr>
                  <w:r w:rsidRPr="00AF27B1">
                    <w:rPr>
                      <w:rFonts w:asciiTheme="minorHAnsi" w:eastAsia="Times New Roman" w:hAnsiTheme="minorHAnsi" w:cstheme="minorHAnsi"/>
                      <w:b/>
                      <w:bCs/>
                      <w:color w:val="000000"/>
                      <w:rtl/>
                      <w:lang w:eastAsia="ko-KR"/>
                    </w:rPr>
                    <w:t>שנה</w:t>
                  </w:r>
                </w:p>
              </w:tc>
              <w:tc>
                <w:tcPr>
                  <w:tcW w:w="1700" w:type="dxa"/>
                  <w:vMerge/>
                  <w:tcBorders>
                    <w:left w:val="nil"/>
                    <w:bottom w:val="single" w:sz="8" w:space="0" w:color="2E74B5"/>
                    <w:right w:val="single" w:sz="8" w:space="0" w:color="2E74B5"/>
                  </w:tcBorders>
                  <w:vAlign w:val="center"/>
                </w:tcPr>
                <w:p w:rsidR="00AF27B1" w:rsidRPr="00AF27B1" w:rsidRDefault="00AF27B1" w:rsidP="00AF27B1">
                  <w:pPr>
                    <w:bidi/>
                    <w:spacing w:after="0"/>
                    <w:rPr>
                      <w:rFonts w:asciiTheme="minorHAnsi" w:eastAsia="Times New Roman" w:hAnsiTheme="minorHAnsi" w:cstheme="minorHAnsi"/>
                      <w:b/>
                      <w:bCs/>
                      <w:color w:val="000000"/>
                      <w:rtl/>
                      <w:lang w:eastAsia="ko-KR"/>
                    </w:rPr>
                  </w:pPr>
                </w:p>
              </w:tc>
              <w:tc>
                <w:tcPr>
                  <w:tcW w:w="1520" w:type="dxa"/>
                  <w:vMerge/>
                  <w:tcBorders>
                    <w:left w:val="nil"/>
                    <w:bottom w:val="single" w:sz="8" w:space="0" w:color="2E74B5"/>
                    <w:right w:val="single" w:sz="8" w:space="0" w:color="2E74B5"/>
                  </w:tcBorders>
                  <w:vAlign w:val="center"/>
                </w:tcPr>
                <w:p w:rsidR="00AF27B1" w:rsidRPr="00AF27B1" w:rsidRDefault="00AF27B1" w:rsidP="00AF27B1">
                  <w:pPr>
                    <w:bidi/>
                    <w:spacing w:after="0"/>
                    <w:rPr>
                      <w:rFonts w:asciiTheme="minorHAnsi" w:eastAsia="Times New Roman" w:hAnsiTheme="minorHAnsi" w:cstheme="minorHAnsi"/>
                      <w:b/>
                      <w:bCs/>
                      <w:color w:val="000000"/>
                      <w:lang w:eastAsia="ko-KR"/>
                    </w:rPr>
                  </w:pPr>
                </w:p>
              </w:tc>
            </w:tr>
            <w:tr w:rsidR="00AF27B1" w:rsidRPr="00AF27B1" w:rsidTr="0010314C">
              <w:trPr>
                <w:trHeight w:val="300"/>
              </w:trPr>
              <w:tc>
                <w:tcPr>
                  <w:tcW w:w="1080" w:type="dxa"/>
                  <w:tcBorders>
                    <w:top w:val="nil"/>
                    <w:left w:val="single" w:sz="8" w:space="0" w:color="2E74B5"/>
                    <w:bottom w:val="single" w:sz="8" w:space="0" w:color="2E74B5"/>
                    <w:right w:val="single" w:sz="8" w:space="0" w:color="2E74B5"/>
                  </w:tcBorders>
                  <w:noWrap/>
                  <w:vAlign w:val="center"/>
                  <w:hideMark/>
                </w:tcPr>
                <w:p w:rsidR="00AF27B1" w:rsidRPr="00AF27B1" w:rsidRDefault="00AF27B1" w:rsidP="00AF27B1">
                  <w:pPr>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-0.6%</w:t>
                  </w:r>
                </w:p>
              </w:tc>
              <w:tc>
                <w:tcPr>
                  <w:tcW w:w="1080" w:type="dxa"/>
                  <w:tcBorders>
                    <w:top w:val="nil"/>
                    <w:left w:val="nil"/>
                    <w:bottom w:val="single" w:sz="8" w:space="0" w:color="2E74B5"/>
                    <w:right w:val="single" w:sz="8" w:space="0" w:color="2E74B5"/>
                  </w:tcBorders>
                  <w:noWrap/>
                  <w:vAlign w:val="center"/>
                  <w:hideMark/>
                </w:tcPr>
                <w:p w:rsidR="00AF27B1" w:rsidRPr="00AF27B1" w:rsidRDefault="00AF27B1" w:rsidP="00AF27B1">
                  <w:pPr>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-2.0%</w:t>
                  </w:r>
                </w:p>
              </w:tc>
              <w:tc>
                <w:tcPr>
                  <w:tcW w:w="1080" w:type="dxa"/>
                  <w:tcBorders>
                    <w:top w:val="nil"/>
                    <w:left w:val="nil"/>
                    <w:bottom w:val="single" w:sz="8" w:space="0" w:color="2E74B5"/>
                    <w:right w:val="single" w:sz="8" w:space="0" w:color="2E74B5"/>
                  </w:tcBorders>
                  <w:noWrap/>
                  <w:vAlign w:val="center"/>
                  <w:hideMark/>
                </w:tcPr>
                <w:p w:rsidR="00AF27B1" w:rsidRPr="00AF27B1" w:rsidRDefault="00AF27B1" w:rsidP="00AF27B1">
                  <w:pPr>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-2.9%</w:t>
                  </w:r>
                </w:p>
              </w:tc>
              <w:tc>
                <w:tcPr>
                  <w:tcW w:w="1700" w:type="dxa"/>
                  <w:tcBorders>
                    <w:top w:val="nil"/>
                    <w:left w:val="nil"/>
                    <w:bottom w:val="single" w:sz="8" w:space="0" w:color="2E74B5"/>
                    <w:right w:val="single" w:sz="8" w:space="0" w:color="2E74B5"/>
                  </w:tcBorders>
                  <w:noWrap/>
                  <w:vAlign w:val="center"/>
                  <w:hideMark/>
                </w:tcPr>
                <w:p w:rsidR="00AF27B1" w:rsidRPr="00AF27B1" w:rsidRDefault="00AF27B1" w:rsidP="00AF27B1">
                  <w:pPr>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-5.7%</w:t>
                  </w:r>
                </w:p>
              </w:tc>
              <w:tc>
                <w:tcPr>
                  <w:tcW w:w="1520" w:type="dxa"/>
                  <w:tcBorders>
                    <w:top w:val="nil"/>
                    <w:left w:val="nil"/>
                    <w:bottom w:val="single" w:sz="8" w:space="0" w:color="2E74B5"/>
                    <w:right w:val="single" w:sz="8" w:space="0" w:color="2E74B5"/>
                  </w:tcBorders>
                  <w:noWrap/>
                  <w:vAlign w:val="center"/>
                  <w:hideMark/>
                </w:tcPr>
                <w:p w:rsidR="00AF27B1" w:rsidRPr="00AF27B1" w:rsidRDefault="00AF27B1" w:rsidP="00AF27B1">
                  <w:pPr>
                    <w:bidi/>
                    <w:spacing w:after="0"/>
                    <w:rPr>
                      <w:rFonts w:asciiTheme="minorHAnsi" w:eastAsia="Times New Roman" w:hAnsiTheme="minorHAnsi" w:cstheme="minorHAnsi"/>
                      <w:b/>
                      <w:bCs/>
                      <w:color w:val="000000"/>
                      <w:lang w:eastAsia="ko-KR"/>
                    </w:rPr>
                  </w:pPr>
                  <w:r w:rsidRPr="00AF27B1">
                    <w:rPr>
                      <w:rFonts w:asciiTheme="minorHAnsi" w:eastAsia="Times New Roman" w:hAnsiTheme="minorHAnsi" w:cstheme="minorHAnsi"/>
                      <w:b/>
                      <w:bCs/>
                      <w:color w:val="000000"/>
                      <w:rtl/>
                      <w:lang w:eastAsia="ko-KR"/>
                    </w:rPr>
                    <w:t>2021</w:t>
                  </w:r>
                </w:p>
              </w:tc>
            </w:tr>
            <w:tr w:rsidR="00AF27B1" w:rsidRPr="00AF27B1" w:rsidTr="0010314C">
              <w:trPr>
                <w:trHeight w:val="300"/>
              </w:trPr>
              <w:tc>
                <w:tcPr>
                  <w:tcW w:w="1080" w:type="dxa"/>
                  <w:tcBorders>
                    <w:top w:val="nil"/>
                    <w:left w:val="single" w:sz="8" w:space="0" w:color="2E74B5"/>
                    <w:bottom w:val="single" w:sz="8" w:space="0" w:color="2E74B5"/>
                    <w:right w:val="single" w:sz="8" w:space="0" w:color="2E74B5"/>
                  </w:tcBorders>
                  <w:noWrap/>
                  <w:vAlign w:val="center"/>
                  <w:hideMark/>
                </w:tcPr>
                <w:p w:rsidR="00AF27B1" w:rsidRPr="00AF27B1" w:rsidRDefault="00AF27B1" w:rsidP="00AF27B1">
                  <w:pPr>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0.7%</w:t>
                  </w:r>
                </w:p>
              </w:tc>
              <w:tc>
                <w:tcPr>
                  <w:tcW w:w="1080" w:type="dxa"/>
                  <w:tcBorders>
                    <w:top w:val="nil"/>
                    <w:left w:val="nil"/>
                    <w:bottom w:val="single" w:sz="8" w:space="0" w:color="2E74B5"/>
                    <w:right w:val="single" w:sz="8" w:space="0" w:color="2E74B5"/>
                  </w:tcBorders>
                  <w:noWrap/>
                  <w:vAlign w:val="center"/>
                  <w:hideMark/>
                </w:tcPr>
                <w:p w:rsidR="00AF27B1" w:rsidRPr="00AF27B1" w:rsidRDefault="00AF27B1" w:rsidP="00AF27B1">
                  <w:pPr>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0.0%</w:t>
                  </w:r>
                </w:p>
              </w:tc>
              <w:tc>
                <w:tcPr>
                  <w:tcW w:w="1080" w:type="dxa"/>
                  <w:tcBorders>
                    <w:top w:val="nil"/>
                    <w:left w:val="nil"/>
                    <w:bottom w:val="single" w:sz="8" w:space="0" w:color="2E74B5"/>
                    <w:right w:val="single" w:sz="8" w:space="0" w:color="2E74B5"/>
                  </w:tcBorders>
                  <w:noWrap/>
                  <w:vAlign w:val="center"/>
                  <w:hideMark/>
                </w:tcPr>
                <w:p w:rsidR="00AF27B1" w:rsidRPr="00AF27B1" w:rsidRDefault="00AF27B1" w:rsidP="00AF27B1">
                  <w:pPr>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3.4%</w:t>
                  </w:r>
                </w:p>
              </w:tc>
              <w:tc>
                <w:tcPr>
                  <w:tcW w:w="1700" w:type="dxa"/>
                  <w:tcBorders>
                    <w:top w:val="nil"/>
                    <w:left w:val="nil"/>
                    <w:bottom w:val="single" w:sz="8" w:space="0" w:color="2E74B5"/>
                    <w:right w:val="single" w:sz="8" w:space="0" w:color="2E74B5"/>
                  </w:tcBorders>
                  <w:noWrap/>
                  <w:vAlign w:val="center"/>
                  <w:hideMark/>
                </w:tcPr>
                <w:p w:rsidR="00AF27B1" w:rsidRPr="00AF27B1" w:rsidRDefault="00AF27B1" w:rsidP="00AF27B1">
                  <w:pPr>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9.7%</w:t>
                  </w:r>
                </w:p>
              </w:tc>
              <w:tc>
                <w:tcPr>
                  <w:tcW w:w="1520" w:type="dxa"/>
                  <w:tcBorders>
                    <w:top w:val="nil"/>
                    <w:left w:val="nil"/>
                    <w:bottom w:val="single" w:sz="8" w:space="0" w:color="2E74B5"/>
                    <w:right w:val="single" w:sz="8" w:space="0" w:color="2E74B5"/>
                  </w:tcBorders>
                  <w:noWrap/>
                  <w:vAlign w:val="center"/>
                  <w:hideMark/>
                </w:tcPr>
                <w:p w:rsidR="00AF27B1" w:rsidRPr="00AF27B1" w:rsidRDefault="00AF27B1" w:rsidP="00AF27B1">
                  <w:pPr>
                    <w:bidi/>
                    <w:spacing w:after="0"/>
                    <w:rPr>
                      <w:rFonts w:asciiTheme="minorHAnsi" w:eastAsia="Times New Roman" w:hAnsiTheme="minorHAnsi" w:cstheme="minorHAnsi"/>
                      <w:b/>
                      <w:bCs/>
                      <w:color w:val="000000"/>
                      <w:lang w:eastAsia="ko-KR"/>
                    </w:rPr>
                  </w:pPr>
                  <w:r w:rsidRPr="00AF27B1">
                    <w:rPr>
                      <w:rFonts w:asciiTheme="minorHAnsi" w:eastAsia="Times New Roman" w:hAnsiTheme="minorHAnsi" w:cstheme="minorHAnsi"/>
                      <w:b/>
                      <w:bCs/>
                      <w:color w:val="000000"/>
                      <w:rtl/>
                      <w:lang w:eastAsia="ko-KR"/>
                    </w:rPr>
                    <w:t>2022</w:t>
                  </w:r>
                </w:p>
              </w:tc>
            </w:tr>
            <w:tr w:rsidR="00AF27B1" w:rsidRPr="00AF27B1" w:rsidTr="0010314C">
              <w:trPr>
                <w:trHeight w:val="300"/>
              </w:trPr>
              <w:tc>
                <w:tcPr>
                  <w:tcW w:w="1080" w:type="dxa"/>
                  <w:tcBorders>
                    <w:top w:val="nil"/>
                    <w:left w:val="single" w:sz="8" w:space="0" w:color="2E74B5"/>
                    <w:bottom w:val="single" w:sz="8" w:space="0" w:color="2E74B5"/>
                    <w:right w:val="single" w:sz="8" w:space="0" w:color="2E74B5"/>
                  </w:tcBorders>
                  <w:noWrap/>
                  <w:vAlign w:val="center"/>
                  <w:hideMark/>
                </w:tcPr>
                <w:p w:rsidR="00AF27B1" w:rsidRPr="00AF27B1" w:rsidRDefault="00AF27B1" w:rsidP="00AF27B1">
                  <w:pPr>
                    <w:bidi/>
                    <w:spacing w:after="0"/>
                    <w:rPr>
                      <w:rFonts w:asciiTheme="minorHAnsi" w:eastAsia="Times New Roman" w:hAnsiTheme="minorHAnsi" w:cstheme="minorHAnsi"/>
                      <w:color w:val="000000"/>
                      <w:rtl/>
                      <w:lang w:eastAsia="ko-KR"/>
                    </w:rPr>
                  </w:pPr>
                  <w:r w:rsidRPr="00AF27B1">
                    <w:rPr>
                      <w:rFonts w:asciiTheme="minorHAnsi" w:eastAsia="Times New Roman" w:hAnsiTheme="minorHAnsi" w:cstheme="minorHAnsi"/>
                      <w:color w:val="000000"/>
                      <w:lang w:eastAsia="ko-KR"/>
                    </w:rPr>
                    <w:t>1.8%</w:t>
                  </w:r>
                </w:p>
              </w:tc>
              <w:tc>
                <w:tcPr>
                  <w:tcW w:w="1080" w:type="dxa"/>
                  <w:tcBorders>
                    <w:top w:val="nil"/>
                    <w:left w:val="nil"/>
                    <w:bottom w:val="single" w:sz="8" w:space="0" w:color="2E74B5"/>
                    <w:right w:val="single" w:sz="8" w:space="0" w:color="2E74B5"/>
                  </w:tcBorders>
                  <w:noWrap/>
                  <w:vAlign w:val="center"/>
                  <w:hideMark/>
                </w:tcPr>
                <w:p w:rsidR="00AF27B1" w:rsidRPr="00AF27B1" w:rsidRDefault="00AF27B1" w:rsidP="00AF27B1">
                  <w:pPr>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4.1%</w:t>
                  </w:r>
                </w:p>
              </w:tc>
              <w:tc>
                <w:tcPr>
                  <w:tcW w:w="1080" w:type="dxa"/>
                  <w:tcBorders>
                    <w:top w:val="nil"/>
                    <w:left w:val="nil"/>
                    <w:bottom w:val="single" w:sz="8" w:space="0" w:color="2E74B5"/>
                    <w:right w:val="single" w:sz="8" w:space="0" w:color="2E74B5"/>
                  </w:tcBorders>
                  <w:noWrap/>
                  <w:vAlign w:val="center"/>
                  <w:hideMark/>
                </w:tcPr>
                <w:p w:rsidR="00AF27B1" w:rsidRPr="00AF27B1" w:rsidRDefault="00AF27B1" w:rsidP="00AF27B1">
                  <w:pPr>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12.4%</w:t>
                  </w:r>
                </w:p>
              </w:tc>
              <w:tc>
                <w:tcPr>
                  <w:tcW w:w="1700" w:type="dxa"/>
                  <w:tcBorders>
                    <w:top w:val="nil"/>
                    <w:left w:val="nil"/>
                    <w:bottom w:val="single" w:sz="8" w:space="0" w:color="2E74B5"/>
                    <w:right w:val="single" w:sz="8" w:space="0" w:color="2E74B5"/>
                  </w:tcBorders>
                  <w:noWrap/>
                  <w:vAlign w:val="center"/>
                  <w:hideMark/>
                </w:tcPr>
                <w:p w:rsidR="00AF27B1" w:rsidRPr="00AF27B1" w:rsidRDefault="00AF27B1" w:rsidP="00AF27B1">
                  <w:pPr>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3.8%</w:t>
                  </w:r>
                </w:p>
              </w:tc>
              <w:tc>
                <w:tcPr>
                  <w:tcW w:w="1520" w:type="dxa"/>
                  <w:tcBorders>
                    <w:top w:val="nil"/>
                    <w:left w:val="nil"/>
                    <w:bottom w:val="single" w:sz="8" w:space="0" w:color="2E74B5"/>
                    <w:right w:val="single" w:sz="8" w:space="0" w:color="2E74B5"/>
                  </w:tcBorders>
                  <w:noWrap/>
                  <w:vAlign w:val="center"/>
                  <w:hideMark/>
                </w:tcPr>
                <w:p w:rsidR="00AF27B1" w:rsidRPr="00AF27B1" w:rsidRDefault="00AF27B1" w:rsidP="00AF27B1">
                  <w:pPr>
                    <w:bidi/>
                    <w:spacing w:after="0"/>
                    <w:rPr>
                      <w:rFonts w:asciiTheme="minorHAnsi" w:eastAsia="Times New Roman" w:hAnsiTheme="minorHAnsi" w:cstheme="minorHAnsi"/>
                      <w:b/>
                      <w:bCs/>
                      <w:color w:val="000000"/>
                      <w:lang w:eastAsia="ko-KR"/>
                    </w:rPr>
                  </w:pPr>
                  <w:r w:rsidRPr="00AF27B1">
                    <w:rPr>
                      <w:rFonts w:asciiTheme="minorHAnsi" w:eastAsia="Times New Roman" w:hAnsiTheme="minorHAnsi" w:cstheme="minorHAnsi"/>
                      <w:b/>
                      <w:bCs/>
                      <w:color w:val="000000"/>
                      <w:rtl/>
                      <w:lang w:eastAsia="ko-KR"/>
                    </w:rPr>
                    <w:t>2023</w:t>
                  </w:r>
                </w:p>
              </w:tc>
            </w:tr>
            <w:tr w:rsidR="00AF27B1" w:rsidRPr="00AF27B1" w:rsidTr="0010314C">
              <w:trPr>
                <w:trHeight w:val="300"/>
              </w:trPr>
              <w:tc>
                <w:tcPr>
                  <w:tcW w:w="1080" w:type="dxa"/>
                  <w:tcBorders>
                    <w:top w:val="nil"/>
                    <w:left w:val="single" w:sz="8" w:space="0" w:color="2E74B5"/>
                    <w:bottom w:val="single" w:sz="8" w:space="0" w:color="2E74B5"/>
                    <w:right w:val="single" w:sz="8" w:space="0" w:color="2E74B5"/>
                  </w:tcBorders>
                  <w:noWrap/>
                  <w:vAlign w:val="center"/>
                  <w:hideMark/>
                </w:tcPr>
                <w:p w:rsidR="00AF27B1" w:rsidRPr="00AF27B1" w:rsidRDefault="00AF27B1" w:rsidP="00AF27B1">
                  <w:pPr>
                    <w:bidi/>
                    <w:spacing w:after="0"/>
                    <w:rPr>
                      <w:rFonts w:asciiTheme="minorHAnsi" w:eastAsia="Times New Roman" w:hAnsiTheme="minorHAnsi" w:cstheme="minorHAnsi"/>
                      <w:color w:val="000000"/>
                      <w:rtl/>
                      <w:lang w:eastAsia="ko-KR"/>
                    </w:rPr>
                  </w:pPr>
                  <w:r w:rsidRPr="00AF27B1">
                    <w:rPr>
                      <w:rFonts w:asciiTheme="minorHAnsi" w:eastAsia="Times New Roman" w:hAnsiTheme="minorHAnsi" w:cstheme="minorHAnsi"/>
                      <w:color w:val="000000"/>
                      <w:lang w:eastAsia="ko-KR"/>
                    </w:rPr>
                    <w:t>3.3%</w:t>
                  </w:r>
                </w:p>
              </w:tc>
              <w:tc>
                <w:tcPr>
                  <w:tcW w:w="1080" w:type="dxa"/>
                  <w:tcBorders>
                    <w:top w:val="nil"/>
                    <w:left w:val="nil"/>
                    <w:bottom w:val="single" w:sz="8" w:space="0" w:color="2E74B5"/>
                    <w:right w:val="single" w:sz="8" w:space="0" w:color="2E74B5"/>
                  </w:tcBorders>
                  <w:noWrap/>
                  <w:vAlign w:val="center"/>
                  <w:hideMark/>
                </w:tcPr>
                <w:p w:rsidR="00AF27B1" w:rsidRPr="00AF27B1" w:rsidRDefault="00AF27B1" w:rsidP="00AF27B1">
                  <w:pPr>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6.8%</w:t>
                  </w:r>
                </w:p>
              </w:tc>
              <w:tc>
                <w:tcPr>
                  <w:tcW w:w="1080" w:type="dxa"/>
                  <w:tcBorders>
                    <w:top w:val="nil"/>
                    <w:left w:val="nil"/>
                    <w:bottom w:val="single" w:sz="8" w:space="0" w:color="2E74B5"/>
                    <w:right w:val="single" w:sz="8" w:space="0" w:color="2E74B5"/>
                  </w:tcBorders>
                  <w:noWrap/>
                  <w:vAlign w:val="center"/>
                  <w:hideMark/>
                </w:tcPr>
                <w:p w:rsidR="00AF27B1" w:rsidRPr="00AF27B1" w:rsidRDefault="00AF27B1" w:rsidP="00AF27B1">
                  <w:pPr>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4.8%</w:t>
                  </w:r>
                </w:p>
              </w:tc>
              <w:tc>
                <w:tcPr>
                  <w:tcW w:w="1700" w:type="dxa"/>
                  <w:tcBorders>
                    <w:top w:val="nil"/>
                    <w:left w:val="nil"/>
                    <w:bottom w:val="single" w:sz="8" w:space="0" w:color="2E74B5"/>
                    <w:right w:val="single" w:sz="8" w:space="0" w:color="2E74B5"/>
                  </w:tcBorders>
                  <w:noWrap/>
                  <w:vAlign w:val="center"/>
                  <w:hideMark/>
                </w:tcPr>
                <w:p w:rsidR="00AF27B1" w:rsidRPr="00AF27B1" w:rsidRDefault="00AF27B1" w:rsidP="00AF27B1">
                  <w:pPr>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-1.8%</w:t>
                  </w:r>
                </w:p>
              </w:tc>
              <w:tc>
                <w:tcPr>
                  <w:tcW w:w="1520" w:type="dxa"/>
                  <w:tcBorders>
                    <w:top w:val="nil"/>
                    <w:left w:val="nil"/>
                    <w:bottom w:val="single" w:sz="8" w:space="0" w:color="2E74B5"/>
                    <w:right w:val="single" w:sz="8" w:space="0" w:color="2E74B5"/>
                  </w:tcBorders>
                  <w:noWrap/>
                  <w:vAlign w:val="center"/>
                  <w:hideMark/>
                </w:tcPr>
                <w:p w:rsidR="00AF27B1" w:rsidRPr="00AF27B1" w:rsidRDefault="00AF27B1" w:rsidP="00AF27B1">
                  <w:pPr>
                    <w:bidi/>
                    <w:spacing w:after="0"/>
                    <w:rPr>
                      <w:rFonts w:asciiTheme="minorHAnsi" w:eastAsia="Times New Roman" w:hAnsiTheme="minorHAnsi" w:cstheme="minorHAnsi"/>
                      <w:b/>
                      <w:bCs/>
                      <w:color w:val="000000"/>
                      <w:lang w:eastAsia="ko-KR"/>
                    </w:rPr>
                  </w:pPr>
                  <w:r w:rsidRPr="00AF27B1">
                    <w:rPr>
                      <w:rFonts w:asciiTheme="minorHAnsi" w:eastAsia="Times New Roman" w:hAnsiTheme="minorHAnsi" w:cstheme="minorHAnsi"/>
                      <w:b/>
                      <w:bCs/>
                      <w:color w:val="000000"/>
                      <w:rtl/>
                      <w:lang w:eastAsia="ko-KR"/>
                    </w:rPr>
                    <w:t>2024</w:t>
                  </w:r>
                </w:p>
              </w:tc>
            </w:tr>
            <w:tr w:rsidR="00AF27B1" w:rsidRPr="00AF27B1" w:rsidTr="0010314C">
              <w:trPr>
                <w:trHeight w:val="300"/>
              </w:trPr>
              <w:tc>
                <w:tcPr>
                  <w:tcW w:w="1080" w:type="dxa"/>
                  <w:tcBorders>
                    <w:top w:val="nil"/>
                    <w:left w:val="single" w:sz="8" w:space="0" w:color="2E74B5"/>
                    <w:bottom w:val="single" w:sz="8" w:space="0" w:color="2E74B5"/>
                    <w:right w:val="single" w:sz="8" w:space="0" w:color="2E74B5"/>
                  </w:tcBorders>
                  <w:shd w:val="clear" w:color="000000" w:fill="DDEBF7"/>
                  <w:noWrap/>
                  <w:vAlign w:val="center"/>
                  <w:hideMark/>
                </w:tcPr>
                <w:p w:rsidR="00AF27B1" w:rsidRPr="00AF27B1" w:rsidRDefault="00AF27B1" w:rsidP="00AF27B1">
                  <w:pPr>
                    <w:bidi/>
                    <w:spacing w:after="0"/>
                    <w:rPr>
                      <w:rFonts w:asciiTheme="minorHAnsi" w:eastAsia="Times New Roman" w:hAnsiTheme="minorHAnsi" w:cstheme="minorHAnsi"/>
                      <w:color w:val="000000"/>
                      <w:rtl/>
                      <w:lang w:eastAsia="ko-KR"/>
                    </w:rPr>
                  </w:pPr>
                  <w:r w:rsidRPr="00AF27B1">
                    <w:rPr>
                      <w:rFonts w:asciiTheme="minorHAnsi" w:eastAsia="Times New Roman" w:hAnsiTheme="minorHAnsi" w:cstheme="minorHAnsi"/>
                      <w:color w:val="000000"/>
                      <w:rtl/>
                      <w:lang w:eastAsia="ko-KR"/>
                    </w:rPr>
                    <w:t>2.9</w:t>
                  </w:r>
                  <w:r w:rsidRPr="00AF27B1">
                    <w:rPr>
                      <w:rFonts w:asciiTheme="minorHAnsi" w:eastAsia="Times New Roman" w:hAnsiTheme="minorHAnsi" w:cstheme="minorHAnsi"/>
                      <w:color w:val="000000"/>
                      <w:lang w:eastAsia="ko-KR"/>
                    </w:rPr>
                    <w:t>%</w:t>
                  </w:r>
                </w:p>
              </w:tc>
              <w:tc>
                <w:tcPr>
                  <w:tcW w:w="1080" w:type="dxa"/>
                  <w:tcBorders>
                    <w:top w:val="nil"/>
                    <w:left w:val="nil"/>
                    <w:bottom w:val="single" w:sz="8" w:space="0" w:color="2E74B5"/>
                    <w:right w:val="single" w:sz="8" w:space="0" w:color="2E74B5"/>
                  </w:tcBorders>
                  <w:shd w:val="clear" w:color="000000" w:fill="DDEBF7"/>
                  <w:noWrap/>
                  <w:vAlign w:val="center"/>
                  <w:hideMark/>
                </w:tcPr>
                <w:p w:rsidR="00AF27B1" w:rsidRPr="00AF27B1" w:rsidRDefault="00AF27B1" w:rsidP="00AF27B1">
                  <w:pPr>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4.7%</w:t>
                  </w:r>
                </w:p>
              </w:tc>
              <w:tc>
                <w:tcPr>
                  <w:tcW w:w="1080" w:type="dxa"/>
                  <w:tcBorders>
                    <w:top w:val="nil"/>
                    <w:left w:val="nil"/>
                    <w:bottom w:val="single" w:sz="8" w:space="0" w:color="2E74B5"/>
                    <w:right w:val="single" w:sz="8" w:space="0" w:color="2E74B5"/>
                  </w:tcBorders>
                  <w:shd w:val="clear" w:color="000000" w:fill="DDEBF7"/>
                  <w:noWrap/>
                  <w:vAlign w:val="center"/>
                  <w:hideMark/>
                </w:tcPr>
                <w:p w:rsidR="00AF27B1" w:rsidRPr="00AF27B1" w:rsidRDefault="00AF27B1" w:rsidP="00AF27B1">
                  <w:pPr>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-2.5%</w:t>
                  </w:r>
                </w:p>
              </w:tc>
              <w:tc>
                <w:tcPr>
                  <w:tcW w:w="1700" w:type="dxa"/>
                  <w:tcBorders>
                    <w:top w:val="nil"/>
                    <w:left w:val="nil"/>
                    <w:bottom w:val="single" w:sz="8" w:space="0" w:color="2E74B5"/>
                    <w:right w:val="single" w:sz="8" w:space="0" w:color="2E74B5"/>
                  </w:tcBorders>
                  <w:shd w:val="clear" w:color="000000" w:fill="DDEBF7"/>
                  <w:noWrap/>
                  <w:vAlign w:val="center"/>
                  <w:hideMark/>
                </w:tcPr>
                <w:p w:rsidR="00AF27B1" w:rsidRPr="00AF27B1" w:rsidRDefault="00AF27B1" w:rsidP="00AF27B1">
                  <w:pPr>
                    <w:bidi/>
                    <w:spacing w:after="0"/>
                    <w:rPr>
                      <w:rFonts w:asciiTheme="minorHAnsi" w:eastAsia="Times New Roman" w:hAnsiTheme="minorHAnsi" w:cstheme="minorHAnsi"/>
                      <w:color w:val="000000"/>
                      <w:lang w:eastAsia="ko-KR"/>
                    </w:rPr>
                  </w:pPr>
                  <w:r w:rsidRPr="00AF27B1">
                    <w:rPr>
                      <w:rFonts w:asciiTheme="minorHAnsi" w:eastAsia="Times New Roman" w:hAnsiTheme="minorHAnsi" w:cstheme="minorHAnsi"/>
                      <w:color w:val="000000"/>
                      <w:lang w:eastAsia="ko-KR"/>
                    </w:rPr>
                    <w:t>-9.6%</w:t>
                  </w:r>
                </w:p>
              </w:tc>
              <w:tc>
                <w:tcPr>
                  <w:tcW w:w="1520" w:type="dxa"/>
                  <w:tcBorders>
                    <w:top w:val="nil"/>
                    <w:left w:val="nil"/>
                    <w:bottom w:val="single" w:sz="8" w:space="0" w:color="2E74B5"/>
                    <w:right w:val="single" w:sz="8" w:space="0" w:color="2E74B5"/>
                  </w:tcBorders>
                  <w:shd w:val="clear" w:color="000000" w:fill="DDEBF7"/>
                  <w:noWrap/>
                  <w:vAlign w:val="center"/>
                  <w:hideMark/>
                </w:tcPr>
                <w:p w:rsidR="00AF27B1" w:rsidRPr="00AF27B1" w:rsidRDefault="00AF27B1" w:rsidP="00AF27B1">
                  <w:pPr>
                    <w:bidi/>
                    <w:spacing w:after="0"/>
                    <w:rPr>
                      <w:rFonts w:asciiTheme="minorHAnsi" w:eastAsia="Times New Roman" w:hAnsiTheme="minorHAnsi" w:cstheme="minorHAnsi"/>
                      <w:b/>
                      <w:bCs/>
                      <w:color w:val="000000"/>
                      <w:lang w:eastAsia="ko-KR"/>
                    </w:rPr>
                  </w:pPr>
                  <w:r w:rsidRPr="00AF27B1">
                    <w:rPr>
                      <w:rFonts w:asciiTheme="minorHAnsi" w:eastAsia="Times New Roman" w:hAnsiTheme="minorHAnsi" w:cstheme="minorHAnsi"/>
                      <w:b/>
                      <w:bCs/>
                      <w:color w:val="000000"/>
                      <w:rtl/>
                      <w:lang w:eastAsia="ko-KR"/>
                    </w:rPr>
                    <w:t>2025</w:t>
                  </w:r>
                </w:p>
              </w:tc>
            </w:tr>
          </w:tbl>
          <w:p w:rsidR="00AF27B1" w:rsidRPr="00AF27B1" w:rsidRDefault="00AF27B1" w:rsidP="00AF27B1">
            <w:pPr>
              <w:bidi/>
              <w:spacing w:line="360" w:lineRule="auto"/>
              <w:rPr>
                <w:rFonts w:asciiTheme="minorHAnsi" w:eastAsia="Times New Roman" w:hAnsiTheme="minorHAnsi" w:cstheme="minorHAnsi"/>
                <w:rtl/>
              </w:rPr>
            </w:pPr>
            <w:r w:rsidRPr="00AF27B1">
              <w:rPr>
                <w:rFonts w:asciiTheme="minorHAnsi" w:eastAsia="Times New Roman" w:hAnsiTheme="minorHAnsi" w:cstheme="minorHAnsi"/>
                <w:b/>
                <w:bCs/>
                <w:rtl/>
              </w:rPr>
              <w:t xml:space="preserve">        </w:t>
            </w:r>
          </w:p>
          <w:p w:rsidR="00AF27B1" w:rsidRPr="00AF27B1" w:rsidRDefault="00AF27B1" w:rsidP="00AF27B1">
            <w:pPr>
              <w:bidi/>
              <w:spacing w:line="360" w:lineRule="auto"/>
              <w:rPr>
                <w:rFonts w:asciiTheme="minorHAnsi" w:eastAsia="Times New Roman" w:hAnsiTheme="minorHAnsi" w:cstheme="minorHAnsi"/>
                <w:rtl/>
              </w:rPr>
            </w:pPr>
          </w:p>
          <w:p w:rsidR="00AF27B1" w:rsidRPr="00AF27B1" w:rsidRDefault="00AF27B1" w:rsidP="00AF27B1">
            <w:pPr>
              <w:bidi/>
              <w:spacing w:line="360" w:lineRule="auto"/>
              <w:rPr>
                <w:rFonts w:asciiTheme="minorHAnsi" w:eastAsia="Times New Roman" w:hAnsiTheme="minorHAnsi" w:cstheme="minorHAnsi"/>
                <w:rtl/>
              </w:rPr>
            </w:pPr>
          </w:p>
          <w:p w:rsidR="00AF27B1" w:rsidRDefault="00AF27B1" w:rsidP="00AF27B1">
            <w:pPr>
              <w:bidi/>
              <w:spacing w:line="360" w:lineRule="auto"/>
              <w:rPr>
                <w:rFonts w:asciiTheme="minorHAnsi" w:eastAsia="Times New Roman" w:hAnsiTheme="minorHAnsi" w:cstheme="minorHAnsi"/>
                <w:rtl/>
              </w:rPr>
            </w:pPr>
          </w:p>
          <w:p w:rsidR="00AF27B1" w:rsidRDefault="00AF27B1" w:rsidP="00AF27B1">
            <w:pPr>
              <w:bidi/>
              <w:spacing w:line="360" w:lineRule="auto"/>
              <w:rPr>
                <w:rFonts w:asciiTheme="minorHAnsi" w:eastAsia="Times New Roman" w:hAnsiTheme="minorHAnsi" w:cstheme="minorHAnsi"/>
                <w:rtl/>
              </w:rPr>
            </w:pPr>
          </w:p>
          <w:p w:rsidR="00AF27B1" w:rsidRPr="00AF27B1" w:rsidRDefault="00AF27B1" w:rsidP="00AF27B1">
            <w:pPr>
              <w:bidi/>
              <w:spacing w:line="360" w:lineRule="auto"/>
              <w:rPr>
                <w:rFonts w:asciiTheme="minorHAnsi" w:eastAsia="Times New Roman" w:hAnsiTheme="minorHAnsi" w:cstheme="minorHAnsi"/>
                <w:rtl/>
              </w:rPr>
            </w:pPr>
          </w:p>
          <w:p w:rsidR="00AF27B1" w:rsidRPr="00AF27B1" w:rsidRDefault="00AF27B1" w:rsidP="00AF27B1">
            <w:pPr>
              <w:bidi/>
              <w:spacing w:line="360" w:lineRule="auto"/>
              <w:rPr>
                <w:rFonts w:asciiTheme="minorHAnsi" w:eastAsia="Times New Roman" w:hAnsiTheme="minorHAnsi" w:cstheme="minorHAnsi" w:hint="cs"/>
                <w:b/>
                <w:bCs/>
                <w:rtl/>
              </w:rPr>
            </w:pPr>
            <w:r w:rsidRPr="00AF27B1">
              <w:rPr>
                <w:rFonts w:asciiTheme="minorHAnsi" w:eastAsia="Times New Roman" w:hAnsiTheme="minorHAnsi" w:cstheme="minorHAnsi"/>
                <w:rtl/>
              </w:rPr>
              <w:lastRenderedPageBreak/>
              <w:t>*סימן שלילי לשינוי בשער החליפין משמעו ייסוף של השקל.</w:t>
            </w:r>
          </w:p>
        </w:tc>
      </w:tr>
      <w:tr w:rsidR="00AF27B1" w:rsidRPr="00AF27B1" w:rsidTr="00AF27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7"/>
        </w:trPr>
        <w:tc>
          <w:tcPr>
            <w:tcW w:w="1416" w:type="dxa"/>
            <w:tcBorders>
              <w:top w:val="nil"/>
              <w:left w:val="nil"/>
              <w:bottom w:val="nil"/>
              <w:right w:val="nil"/>
            </w:tcBorders>
          </w:tcPr>
          <w:p w:rsidR="00AF27B1" w:rsidRPr="00AF27B1" w:rsidRDefault="00AF27B1" w:rsidP="00AF27B1">
            <w:pPr>
              <w:bidi/>
              <w:rPr>
                <w:rFonts w:asciiTheme="minorHAnsi" w:eastAsia="Times New Roman" w:hAnsiTheme="minorHAnsi" w:cstheme="minorHAnsi"/>
                <w:rtl/>
              </w:rPr>
            </w:pPr>
            <w:r w:rsidRPr="00AF27B1">
              <w:rPr>
                <w:rFonts w:asciiTheme="minorHAnsi" w:eastAsia="Times New Roman" w:hAnsiTheme="minorHAnsi" w:cstheme="minorHAnsi"/>
                <w:color w:val="365F91" w:themeColor="accent1" w:themeShade="BF"/>
                <w:rtl/>
              </w:rPr>
              <w:lastRenderedPageBreak/>
              <w:t>שינויי בקווים המנחים</w:t>
            </w:r>
          </w:p>
        </w:tc>
        <w:tc>
          <w:tcPr>
            <w:tcW w:w="8365" w:type="dxa"/>
            <w:tcBorders>
              <w:top w:val="nil"/>
              <w:left w:val="nil"/>
              <w:bottom w:val="nil"/>
              <w:right w:val="nil"/>
            </w:tcBorders>
          </w:tcPr>
          <w:p w:rsidR="00AF27B1" w:rsidRPr="00AF27B1" w:rsidRDefault="00AF27B1" w:rsidP="00AF27B1">
            <w:pPr>
              <w:bidi/>
              <w:spacing w:after="120" w:line="360" w:lineRule="auto"/>
              <w:rPr>
                <w:rFonts w:asciiTheme="minorHAnsi" w:eastAsia="Times New Roman" w:hAnsiTheme="minorHAnsi" w:cstheme="minorHAnsi"/>
                <w:rtl/>
              </w:rPr>
            </w:pPr>
            <w:r w:rsidRPr="00AF27B1">
              <w:rPr>
                <w:rFonts w:asciiTheme="minorHAnsi" w:eastAsia="Times New Roman" w:hAnsiTheme="minorHAnsi" w:cstheme="minorHAnsi"/>
                <w:rtl/>
              </w:rPr>
              <w:t xml:space="preserve">בסוף שנת 2025 נכנסו לתוקפם שינויים בקווים המנחים, שגיבשה הוועדה המוניטרית בהתייעצות עם שר האוצר. מטרת השינויים היא הידוק מגבלות הביטחון והנזילות לצד הרחבה מתונה של תקציב הסיכון במונחי </w:t>
            </w:r>
            <w:r w:rsidRPr="00AF27B1">
              <w:rPr>
                <w:rFonts w:asciiTheme="minorHAnsi" w:eastAsia="Times New Roman" w:hAnsiTheme="minorHAnsi" w:cstheme="minorHAnsi"/>
              </w:rPr>
              <w:t>CVaR5%</w:t>
            </w:r>
            <w:r w:rsidRPr="00AF27B1">
              <w:rPr>
                <w:rFonts w:asciiTheme="minorHAnsi" w:eastAsia="Times New Roman" w:hAnsiTheme="minorHAnsi" w:cstheme="minorHAnsi"/>
                <w:rtl/>
              </w:rPr>
              <w:t xml:space="preserve"> והרחבת דרגות החופש להשקעה בנכסי סיכון.</w:t>
            </w:r>
          </w:p>
        </w:tc>
      </w:tr>
    </w:tbl>
    <w:p w:rsidR="00AF27B1" w:rsidRPr="00AF27B1" w:rsidRDefault="00AF27B1" w:rsidP="00AF27B1">
      <w:pPr>
        <w:bidi/>
        <w:spacing w:line="360" w:lineRule="auto"/>
        <w:rPr>
          <w:rFonts w:asciiTheme="minorHAnsi" w:hAnsiTheme="minorHAnsi" w:cstheme="minorHAnsi"/>
          <w:b/>
          <w:bCs/>
          <w:rtl/>
        </w:rPr>
      </w:pPr>
    </w:p>
    <w:tbl>
      <w:tblPr>
        <w:tblStyle w:val="TableGrid"/>
        <w:bidiVisual/>
        <w:tblW w:w="904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4"/>
      </w:tblGrid>
      <w:tr w:rsidR="00AF27B1" w:rsidRPr="00AF27B1" w:rsidTr="0010314C">
        <w:trPr>
          <w:trHeight w:val="2552"/>
          <w:jc w:val="right"/>
        </w:trPr>
        <w:tc>
          <w:tcPr>
            <w:tcW w:w="9044" w:type="dxa"/>
          </w:tcPr>
          <w:p w:rsidR="00AF27B1" w:rsidRPr="00AF27B1" w:rsidRDefault="00AF27B1" w:rsidP="00AF27B1">
            <w:pPr>
              <w:bidi/>
              <w:spacing w:line="360" w:lineRule="auto"/>
              <w:rPr>
                <w:rFonts w:asciiTheme="minorHAnsi" w:hAnsiTheme="minorHAnsi" w:cstheme="minorHAnsi"/>
                <w:b/>
                <w:bCs/>
                <w:rtl/>
              </w:rPr>
            </w:pPr>
            <w:r w:rsidRPr="00AF27B1">
              <w:rPr>
                <w:rFonts w:asciiTheme="minorHAnsi" w:hAnsiTheme="minorHAnsi" w:cstheme="minorHAnsi"/>
                <w:b/>
                <w:bCs/>
                <w:rtl/>
              </w:rPr>
              <w:t>הדו"ח המלא מפורסם לצד הודעה זו.</w:t>
            </w:r>
          </w:p>
          <w:p w:rsidR="00AF27B1" w:rsidRPr="00AF27B1" w:rsidRDefault="00AF27B1" w:rsidP="00AF27B1">
            <w:pPr>
              <w:bidi/>
              <w:rPr>
                <w:rFonts w:asciiTheme="minorHAnsi" w:hAnsiTheme="minorHAnsi" w:cstheme="minorHAnsi"/>
                <w:rtl/>
              </w:rPr>
            </w:pPr>
          </w:p>
        </w:tc>
      </w:tr>
    </w:tbl>
    <w:p w:rsidR="00AF27B1" w:rsidRPr="00AF27B1" w:rsidRDefault="00AF27B1" w:rsidP="00AF27B1">
      <w:pPr>
        <w:tabs>
          <w:tab w:val="left" w:pos="2876"/>
        </w:tabs>
        <w:bidi/>
        <w:rPr>
          <w:rFonts w:asciiTheme="minorHAnsi" w:hAnsiTheme="minorHAnsi" w:cstheme="minorHAnsi"/>
          <w:rtl/>
        </w:rPr>
      </w:pPr>
    </w:p>
    <w:p w:rsidR="003E7478" w:rsidRPr="00AF27B1" w:rsidRDefault="003E7478" w:rsidP="00AF27B1">
      <w:pPr>
        <w:bidi/>
        <w:rPr>
          <w:rFonts w:asciiTheme="minorHAnsi" w:hAnsiTheme="minorHAnsi" w:cstheme="minorHAnsi" w:hint="cs"/>
        </w:rPr>
      </w:pPr>
    </w:p>
    <w:sectPr w:rsidR="003E7478" w:rsidRPr="00AF27B1" w:rsidSect="00CC2499">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 w:id="1">
    <w:p w:rsidR="00AF27B1" w:rsidRPr="00AF27B1" w:rsidRDefault="00AF27B1" w:rsidP="00AF27B1">
      <w:pPr>
        <w:pStyle w:val="FootnoteText"/>
        <w:jc w:val="both"/>
        <w:rPr>
          <w:rFonts w:cstheme="minorHAnsi"/>
          <w:sz w:val="18"/>
          <w:szCs w:val="18"/>
          <w:rtl/>
        </w:rPr>
      </w:pPr>
      <w:r w:rsidRPr="00AF27B1">
        <w:rPr>
          <w:rStyle w:val="FootnoteReference"/>
          <w:rFonts w:cstheme="minorHAnsi"/>
          <w:sz w:val="18"/>
          <w:szCs w:val="18"/>
        </w:rPr>
        <w:footnoteRef/>
      </w:r>
      <w:r w:rsidRPr="00AF27B1">
        <w:rPr>
          <w:rFonts w:cstheme="minorHAnsi"/>
          <w:sz w:val="18"/>
          <w:szCs w:val="18"/>
          <w:rtl/>
        </w:rPr>
        <w:t xml:space="preserve"> כולל פיקדונות וחשבונות עו"ש בבנקים מרכזיים, שרמת הסיכון הגלומה בהם שקולה לסיכון המדינה הגלום באג"ח ממשלתיות; </w:t>
      </w:r>
      <w:r w:rsidRPr="00AF27B1">
        <w:rPr>
          <w:rFonts w:eastAsia="Times New Roman" w:cstheme="minorHAnsi"/>
          <w:sz w:val="18"/>
          <w:szCs w:val="18"/>
          <w:rtl/>
        </w:rPr>
        <w:t>השקעה  במכשירי חוב של מנפיקים רב-לאומיים ושל מנפיקים סמי-ממשלתיים או בערבות ממשלתית  (</w:t>
      </w:r>
      <w:r w:rsidRPr="00AF27B1">
        <w:rPr>
          <w:rFonts w:eastAsia="Times New Roman" w:cstheme="minorHAnsi"/>
          <w:sz w:val="18"/>
          <w:szCs w:val="18"/>
        </w:rPr>
        <w:t>Supra Sovereign Agencies</w:t>
      </w:r>
      <w:r w:rsidRPr="00AF27B1">
        <w:rPr>
          <w:rFonts w:eastAsia="Times New Roman" w:cstheme="minorHAnsi"/>
          <w:sz w:val="18"/>
          <w:szCs w:val="18"/>
          <w:rtl/>
        </w:rPr>
        <w:t xml:space="preserve">) וכן באג"ח ממשלתיות הנקובות במטבע שאינו המטבע המקומי </w:t>
      </w:r>
      <w:r w:rsidRPr="00AF27B1">
        <w:rPr>
          <w:rFonts w:cstheme="minorHAnsi"/>
          <w:sz w:val="18"/>
          <w:szCs w:val="18"/>
          <w:rtl/>
        </w:rPr>
        <w:t>של המדינה המנפיקה.</w:t>
      </w:r>
    </w:p>
  </w:footnote>
  <w:footnote w:id="2">
    <w:p w:rsidR="00AF27B1" w:rsidRPr="00AF27B1" w:rsidRDefault="00AF27B1" w:rsidP="00AF27B1">
      <w:pPr>
        <w:pStyle w:val="FootnoteText"/>
        <w:rPr>
          <w:rFonts w:cstheme="minorHAnsi"/>
          <w:color w:val="FF0000"/>
          <w:sz w:val="18"/>
          <w:szCs w:val="18"/>
          <w:rtl/>
        </w:rPr>
      </w:pPr>
      <w:r w:rsidRPr="00AF27B1">
        <w:rPr>
          <w:rStyle w:val="FootnoteReference"/>
          <w:rFonts w:cstheme="minorHAnsi"/>
          <w:sz w:val="18"/>
          <w:szCs w:val="18"/>
        </w:rPr>
        <w:footnoteRef/>
      </w:r>
      <w:r w:rsidRPr="00AF27B1">
        <w:rPr>
          <w:rFonts w:cstheme="minorHAnsi"/>
          <w:sz w:val="18"/>
          <w:szCs w:val="18"/>
          <w:rtl/>
        </w:rPr>
        <w:t xml:space="preserve"> </w:t>
      </w:r>
      <w:r w:rsidRPr="00AF27B1">
        <w:rPr>
          <w:rFonts w:cstheme="minorHAnsi"/>
          <w:sz w:val="18"/>
          <w:szCs w:val="18"/>
          <w:rtl/>
        </w:rPr>
        <w:t xml:space="preserve">מידע על הסמן </w:t>
      </w:r>
      <w:proofErr w:type="spellStart"/>
      <w:r w:rsidRPr="00AF27B1">
        <w:rPr>
          <w:rFonts w:cstheme="minorHAnsi"/>
          <w:sz w:val="18"/>
          <w:szCs w:val="18"/>
          <w:rtl/>
        </w:rPr>
        <w:t>המטבעי</w:t>
      </w:r>
      <w:proofErr w:type="spellEnd"/>
      <w:r w:rsidRPr="00AF27B1">
        <w:rPr>
          <w:rFonts w:cstheme="minorHAnsi"/>
          <w:sz w:val="18"/>
          <w:szCs w:val="18"/>
          <w:rtl/>
        </w:rPr>
        <w:t xml:space="preserve"> מובא להלן בפרק ב'.</w:t>
      </w:r>
    </w:p>
  </w:footnote>
  <w:footnote w:id="3">
    <w:p w:rsidR="00AF27B1" w:rsidRPr="00AF27B1" w:rsidRDefault="00AF27B1" w:rsidP="00AF27B1">
      <w:pPr>
        <w:pStyle w:val="FootnoteText"/>
        <w:rPr>
          <w:rFonts w:cstheme="minorHAnsi"/>
          <w:sz w:val="18"/>
          <w:szCs w:val="18"/>
        </w:rPr>
      </w:pPr>
      <w:r w:rsidRPr="00AF27B1">
        <w:rPr>
          <w:rStyle w:val="FootnoteReference"/>
          <w:rFonts w:cstheme="minorHAnsi"/>
          <w:sz w:val="18"/>
          <w:szCs w:val="18"/>
        </w:rPr>
        <w:footnoteRef/>
      </w:r>
      <w:r w:rsidRPr="00AF27B1">
        <w:rPr>
          <w:rFonts w:cstheme="minorHAnsi"/>
          <w:sz w:val="18"/>
          <w:szCs w:val="18"/>
          <w:rtl/>
        </w:rPr>
        <w:t xml:space="preserve"> </w:t>
      </w:r>
      <w:r w:rsidRPr="00AF27B1">
        <w:rPr>
          <w:rFonts w:cstheme="minorHAnsi"/>
          <w:sz w:val="18"/>
          <w:szCs w:val="18"/>
          <w:rtl/>
        </w:rPr>
        <w:t xml:space="preserve">הגדרה של </w:t>
      </w:r>
      <w:proofErr w:type="spellStart"/>
      <w:r w:rsidRPr="00AF27B1">
        <w:rPr>
          <w:rFonts w:cstheme="minorHAnsi"/>
          <w:sz w:val="18"/>
          <w:szCs w:val="18"/>
          <w:rtl/>
        </w:rPr>
        <w:t>מדד־הסיכון</w:t>
      </w:r>
      <w:proofErr w:type="spellEnd"/>
      <w:r w:rsidRPr="00AF27B1">
        <w:rPr>
          <w:rFonts w:cstheme="minorHAnsi"/>
          <w:sz w:val="18"/>
          <w:szCs w:val="18"/>
          <w:rtl/>
        </w:rPr>
        <w:t xml:space="preserve"> נכללת במילון המונחים - נספח 3.</w:t>
      </w:r>
    </w:p>
  </w:footnote>
  <w:footnote w:id="4">
    <w:p w:rsidR="00AF27B1" w:rsidRPr="00AF27B1" w:rsidRDefault="00AF27B1" w:rsidP="00AF27B1">
      <w:pPr>
        <w:pStyle w:val="FootnoteText"/>
        <w:rPr>
          <w:rFonts w:cstheme="minorHAnsi"/>
          <w:sz w:val="18"/>
          <w:szCs w:val="18"/>
          <w:rtl/>
        </w:rPr>
      </w:pPr>
      <w:r w:rsidRPr="00AF27B1">
        <w:rPr>
          <w:rStyle w:val="FootnoteReference"/>
          <w:rFonts w:cstheme="minorHAnsi"/>
          <w:sz w:val="18"/>
          <w:szCs w:val="18"/>
        </w:rPr>
        <w:footnoteRef/>
      </w:r>
      <w:r w:rsidRPr="00AF27B1">
        <w:rPr>
          <w:rFonts w:cstheme="minorHAnsi"/>
          <w:sz w:val="18"/>
          <w:szCs w:val="18"/>
          <w:rtl/>
        </w:rPr>
        <w:t xml:space="preserve"> </w:t>
      </w:r>
      <w:r w:rsidRPr="00AF27B1">
        <w:rPr>
          <w:rFonts w:cstheme="minorHAnsi"/>
          <w:sz w:val="18"/>
          <w:szCs w:val="18"/>
          <w:rtl/>
        </w:rPr>
        <w:t xml:space="preserve">עלות החזקת היתרות בטווח עומדת על 3.1% בממוצע בשלוש שנים האחרונות ועל 2% בממוצע בחמש השנים האחרונות. עלות זו נמוכה מהתשואה </w:t>
      </w:r>
      <w:proofErr w:type="spellStart"/>
      <w:r w:rsidRPr="00AF27B1">
        <w:rPr>
          <w:rFonts w:cstheme="minorHAnsi"/>
          <w:sz w:val="18"/>
          <w:szCs w:val="18"/>
          <w:rtl/>
        </w:rPr>
        <w:t>השקלית</w:t>
      </w:r>
      <w:proofErr w:type="spellEnd"/>
      <w:r w:rsidRPr="00AF27B1">
        <w:rPr>
          <w:rFonts w:cstheme="minorHAnsi"/>
          <w:sz w:val="18"/>
          <w:szCs w:val="18"/>
          <w:rtl/>
        </w:rPr>
        <w:t xml:space="preserve"> בשלוש וחמש השנים האחרונות המוצגת בלוח 1 ב'. לפי הקווים המנחים החדשים (תיבה 1) היעד המשני של מדיניות ההשקעה הוא השגת תשואה שקלית שתצמצם את העלות של החזקת היתרות בטווח הארוך.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1761"/>
    <w:rsid w:val="00AB37A4"/>
    <w:rsid w:val="00AC35CD"/>
    <w:rsid w:val="00AE7479"/>
    <w:rsid w:val="00AF1FA7"/>
    <w:rsid w:val="00AF27B1"/>
    <w:rsid w:val="00B02A8E"/>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E77A7"/>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8F3C6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 w:type="paragraph" w:styleId="FootnoteText">
    <w:name w:val="footnote text"/>
    <w:basedOn w:val="Normal"/>
    <w:link w:val="FootnoteTextChar"/>
    <w:unhideWhenUsed/>
    <w:rsid w:val="00AF27B1"/>
    <w:pPr>
      <w:bidi/>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AF27B1"/>
    <w:rPr>
      <w:sz w:val="20"/>
      <w:szCs w:val="20"/>
    </w:rPr>
  </w:style>
  <w:style w:type="character" w:styleId="FootnoteReference">
    <w:name w:val="footnote reference"/>
    <w:basedOn w:val="DefaultParagraphFont"/>
    <w:unhideWhenUsed/>
    <w:rsid w:val="00AF27B1"/>
    <w:rPr>
      <w:vertAlign w:val="superscript"/>
    </w:rPr>
  </w:style>
  <w:style w:type="table" w:styleId="TableGrid">
    <w:name w:val="Table Grid"/>
    <w:basedOn w:val="TableNormal"/>
    <w:uiPriority w:val="59"/>
    <w:rsid w:val="00AF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רשת טבלה1"/>
    <w:basedOn w:val="TableNormal"/>
    <w:next w:val="TableGrid"/>
    <w:uiPriority w:val="59"/>
    <w:rsid w:val="00AF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2124</Characters>
  <Application>Microsoft Office Word</Application>
  <DocSecurity>0</DocSecurity>
  <Lines>40</Lines>
  <Paragraphs>16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2026-03-31T09:28:00Z</dcterms:created>
  <dcterms:modified xsi:type="dcterms:W3CDTF">2026-03-31T09:28:00Z</dcterms:modified>
</cp:coreProperties>
</file>