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B9410" w14:textId="77777777" w:rsidR="003D3956" w:rsidRPr="00323289" w:rsidRDefault="003D3956">
      <w:pPr>
        <w:rPr>
          <w:rFonts w:asciiTheme="majorHAnsi" w:hAnsiTheme="majorHAnsi" w:cstheme="majorHAnsi"/>
        </w:rPr>
      </w:pPr>
    </w:p>
    <w:tbl>
      <w:tblPr>
        <w:tblpPr w:leftFromText="180" w:rightFromText="180" w:vertAnchor="page" w:horzAnchor="margin" w:tblpXSpec="center" w:tblpY="1021"/>
        <w:bidiVisual/>
        <w:tblW w:w="9072" w:type="dxa"/>
        <w:tblLayout w:type="fixed"/>
        <w:tblLook w:val="0000" w:firstRow="0" w:lastRow="0" w:firstColumn="0" w:lastColumn="0" w:noHBand="0" w:noVBand="0"/>
      </w:tblPr>
      <w:tblGrid>
        <w:gridCol w:w="3392"/>
        <w:gridCol w:w="2596"/>
        <w:gridCol w:w="3084"/>
      </w:tblGrid>
      <w:tr w:rsidR="00FC171A" w:rsidRPr="00323289" w14:paraId="1CF1CD75" w14:textId="77777777" w:rsidTr="003D3956">
        <w:trPr>
          <w:cantSplit/>
        </w:trPr>
        <w:tc>
          <w:tcPr>
            <w:tcW w:w="3392" w:type="dxa"/>
            <w:tcBorders>
              <w:top w:val="nil"/>
              <w:left w:val="nil"/>
              <w:bottom w:val="nil"/>
              <w:right w:val="nil"/>
            </w:tcBorders>
            <w:vAlign w:val="center"/>
          </w:tcPr>
          <w:p w14:paraId="656D828C" w14:textId="77777777" w:rsidR="00FC171A" w:rsidRPr="00323289" w:rsidRDefault="00FC171A" w:rsidP="00FC171A">
            <w:pPr>
              <w:jc w:val="both"/>
              <w:rPr>
                <w:rFonts w:asciiTheme="majorHAnsi" w:hAnsiTheme="majorHAnsi" w:cstheme="majorHAnsi"/>
                <w:b/>
                <w:bCs/>
                <w:rtl/>
              </w:rPr>
            </w:pPr>
            <w:r w:rsidRPr="00323289">
              <w:rPr>
                <w:rFonts w:asciiTheme="majorHAnsi" w:hAnsiTheme="majorHAnsi" w:cstheme="majorHAnsi"/>
                <w:b/>
                <w:bCs/>
                <w:rtl/>
              </w:rPr>
              <w:t>בנק ישראל</w:t>
            </w:r>
          </w:p>
          <w:p w14:paraId="35363314" w14:textId="77777777" w:rsidR="00FC171A" w:rsidRPr="00323289" w:rsidRDefault="00FC171A" w:rsidP="00FC171A">
            <w:pPr>
              <w:jc w:val="both"/>
              <w:rPr>
                <w:rFonts w:asciiTheme="majorHAnsi" w:hAnsiTheme="majorHAnsi" w:cstheme="majorHAnsi"/>
              </w:rPr>
            </w:pPr>
            <w:r w:rsidRPr="00323289">
              <w:rPr>
                <w:rFonts w:asciiTheme="majorHAnsi" w:hAnsiTheme="majorHAnsi" w:cstheme="majorHAnsi"/>
                <w:rtl/>
              </w:rPr>
              <w:t>דוברות והסברה כלכלית</w:t>
            </w:r>
          </w:p>
        </w:tc>
        <w:tc>
          <w:tcPr>
            <w:tcW w:w="2596" w:type="dxa"/>
            <w:tcBorders>
              <w:top w:val="nil"/>
              <w:left w:val="nil"/>
              <w:bottom w:val="nil"/>
              <w:right w:val="nil"/>
            </w:tcBorders>
          </w:tcPr>
          <w:p w14:paraId="7B524BF2" w14:textId="77777777" w:rsidR="00FC171A" w:rsidRPr="00323289" w:rsidRDefault="00FC171A" w:rsidP="00FC171A">
            <w:pPr>
              <w:jc w:val="both"/>
              <w:rPr>
                <w:rFonts w:asciiTheme="majorHAnsi" w:hAnsiTheme="majorHAnsi" w:cstheme="majorHAnsi"/>
              </w:rPr>
            </w:pPr>
            <w:r w:rsidRPr="00323289">
              <w:rPr>
                <w:rFonts w:asciiTheme="majorHAnsi" w:hAnsiTheme="majorHAnsi" w:cstheme="majorHAnsi"/>
                <w:noProof/>
              </w:rPr>
              <w:drawing>
                <wp:inline distT="0" distB="0" distL="0" distR="0" wp14:anchorId="0A91A85E" wp14:editId="10F4D752">
                  <wp:extent cx="975360" cy="975360"/>
                  <wp:effectExtent l="0" t="0" r="0" b="0"/>
                  <wp:docPr id="1" name="Picture 1" descr="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14:paraId="1F388045" w14:textId="7CEB4D12" w:rsidR="00FC171A" w:rsidRPr="00323289" w:rsidRDefault="00FC171A" w:rsidP="00723B64">
            <w:pPr>
              <w:jc w:val="right"/>
              <w:rPr>
                <w:rFonts w:asciiTheme="majorHAnsi" w:hAnsiTheme="majorHAnsi" w:cstheme="majorHAnsi"/>
                <w:rtl/>
              </w:rPr>
            </w:pPr>
            <w:r w:rsidRPr="00323289">
              <w:rPr>
                <w:rFonts w:asciiTheme="majorHAnsi" w:hAnsiTheme="majorHAnsi" w:cstheme="majorHAnsi"/>
                <w:rtl/>
              </w:rPr>
              <w:t xml:space="preserve">‏ירושלים, </w:t>
            </w:r>
            <w:r w:rsidR="00723B64" w:rsidRPr="00323289">
              <w:rPr>
                <w:rFonts w:asciiTheme="majorHAnsi" w:hAnsiTheme="majorHAnsi" w:cstheme="majorHAnsi"/>
                <w:rtl/>
              </w:rPr>
              <w:t>כ</w:t>
            </w:r>
            <w:r w:rsidR="007A4BA0" w:rsidRPr="00323289">
              <w:rPr>
                <w:rFonts w:asciiTheme="majorHAnsi" w:hAnsiTheme="majorHAnsi" w:cstheme="majorHAnsi"/>
                <w:rtl/>
              </w:rPr>
              <w:t>"</w:t>
            </w:r>
            <w:r w:rsidR="00985794" w:rsidRPr="00323289">
              <w:rPr>
                <w:rFonts w:asciiTheme="majorHAnsi" w:hAnsiTheme="majorHAnsi" w:cstheme="majorHAnsi"/>
                <w:rtl/>
              </w:rPr>
              <w:t>ט</w:t>
            </w:r>
            <w:r w:rsidR="00E824F2" w:rsidRPr="00323289">
              <w:rPr>
                <w:rFonts w:asciiTheme="majorHAnsi" w:hAnsiTheme="majorHAnsi" w:cstheme="majorHAnsi"/>
                <w:rtl/>
              </w:rPr>
              <w:t xml:space="preserve"> </w:t>
            </w:r>
            <w:r w:rsidR="00723B64" w:rsidRPr="00323289">
              <w:rPr>
                <w:rFonts w:asciiTheme="majorHAnsi" w:hAnsiTheme="majorHAnsi" w:cstheme="majorHAnsi"/>
                <w:rtl/>
              </w:rPr>
              <w:t>ב</w:t>
            </w:r>
            <w:r w:rsidR="007A4BA0" w:rsidRPr="00323289">
              <w:rPr>
                <w:rFonts w:asciiTheme="majorHAnsi" w:hAnsiTheme="majorHAnsi" w:cstheme="majorHAnsi"/>
                <w:rtl/>
              </w:rPr>
              <w:t>אדר ב'</w:t>
            </w:r>
            <w:r w:rsidRPr="00323289">
              <w:rPr>
                <w:rFonts w:asciiTheme="majorHAnsi" w:hAnsiTheme="majorHAnsi" w:cstheme="majorHAnsi"/>
                <w:rtl/>
              </w:rPr>
              <w:t>, תשפ"</w:t>
            </w:r>
            <w:r w:rsidR="00ED0EEB" w:rsidRPr="00323289">
              <w:rPr>
                <w:rFonts w:asciiTheme="majorHAnsi" w:hAnsiTheme="majorHAnsi" w:cstheme="majorHAnsi"/>
                <w:rtl/>
              </w:rPr>
              <w:t>ד</w:t>
            </w:r>
          </w:p>
          <w:p w14:paraId="559DAC8F" w14:textId="49D5FABA" w:rsidR="00FC171A" w:rsidRPr="00323289" w:rsidRDefault="00FC171A" w:rsidP="00C874E7">
            <w:pPr>
              <w:jc w:val="right"/>
              <w:rPr>
                <w:rFonts w:asciiTheme="majorHAnsi" w:hAnsiTheme="majorHAnsi" w:cstheme="majorHAnsi"/>
              </w:rPr>
            </w:pPr>
            <w:r w:rsidRPr="00323289">
              <w:rPr>
                <w:rFonts w:asciiTheme="majorHAnsi" w:hAnsiTheme="majorHAnsi" w:cstheme="majorHAnsi"/>
                <w:rtl/>
              </w:rPr>
              <w:t>‏‏‏‏‏‏</w:t>
            </w:r>
            <w:r w:rsidR="00985794" w:rsidRPr="00323289">
              <w:rPr>
                <w:rFonts w:asciiTheme="majorHAnsi" w:hAnsiTheme="majorHAnsi" w:cstheme="majorHAnsi"/>
                <w:rtl/>
              </w:rPr>
              <w:t>8</w:t>
            </w:r>
            <w:r w:rsidR="00B8762E" w:rsidRPr="00323289">
              <w:rPr>
                <w:rFonts w:asciiTheme="majorHAnsi" w:hAnsiTheme="majorHAnsi" w:cstheme="majorHAnsi"/>
                <w:rtl/>
              </w:rPr>
              <w:t xml:space="preserve"> </w:t>
            </w:r>
            <w:r w:rsidR="007A4BA0" w:rsidRPr="00323289">
              <w:rPr>
                <w:rFonts w:asciiTheme="majorHAnsi" w:hAnsiTheme="majorHAnsi" w:cstheme="majorHAnsi"/>
                <w:rtl/>
              </w:rPr>
              <w:t>באפריל</w:t>
            </w:r>
            <w:r w:rsidRPr="00323289">
              <w:rPr>
                <w:rFonts w:asciiTheme="majorHAnsi" w:hAnsiTheme="majorHAnsi" w:cstheme="majorHAnsi"/>
                <w:rtl/>
              </w:rPr>
              <w:t xml:space="preserve"> 202</w:t>
            </w:r>
            <w:r w:rsidR="00C874E7" w:rsidRPr="00323289">
              <w:rPr>
                <w:rFonts w:asciiTheme="majorHAnsi" w:hAnsiTheme="majorHAnsi" w:cstheme="majorHAnsi"/>
                <w:rtl/>
              </w:rPr>
              <w:t>4</w:t>
            </w:r>
          </w:p>
        </w:tc>
      </w:tr>
    </w:tbl>
    <w:p w14:paraId="0363BD60" w14:textId="77777777" w:rsidR="006A4DC0" w:rsidRPr="00323289" w:rsidRDefault="006A4DC0" w:rsidP="006A4DC0">
      <w:pPr>
        <w:jc w:val="both"/>
        <w:rPr>
          <w:rFonts w:asciiTheme="majorHAnsi" w:hAnsiTheme="majorHAnsi" w:cstheme="majorHAnsi"/>
          <w:rtl/>
        </w:rPr>
      </w:pPr>
      <w:r w:rsidRPr="00323289">
        <w:rPr>
          <w:rFonts w:asciiTheme="majorHAnsi" w:hAnsiTheme="majorHAnsi" w:cstheme="majorHAnsi"/>
          <w:rtl/>
        </w:rPr>
        <w:t>הודעה לעיתונות:</w:t>
      </w:r>
    </w:p>
    <w:p w14:paraId="2464C45F" w14:textId="77777777" w:rsidR="006A4DC0" w:rsidRPr="00323289" w:rsidRDefault="006A4DC0" w:rsidP="00A251DD">
      <w:pPr>
        <w:jc w:val="both"/>
        <w:rPr>
          <w:rFonts w:asciiTheme="majorHAnsi" w:hAnsiTheme="majorHAnsi" w:cstheme="majorHAnsi"/>
          <w:rtl/>
        </w:rPr>
      </w:pPr>
    </w:p>
    <w:p w14:paraId="48CE48B4" w14:textId="1BBA7BBA" w:rsidR="00BB518C" w:rsidRPr="00323289" w:rsidRDefault="00BB518C" w:rsidP="00723B64">
      <w:pPr>
        <w:pStyle w:val="af6"/>
        <w:rPr>
          <w:rFonts w:asciiTheme="majorHAnsi" w:hAnsiTheme="majorHAnsi" w:cstheme="majorHAnsi"/>
          <w:rtl/>
        </w:rPr>
      </w:pPr>
      <w:r w:rsidRPr="00323289">
        <w:rPr>
          <w:rFonts w:asciiTheme="majorHAnsi" w:hAnsiTheme="majorHAnsi" w:cstheme="majorHAnsi"/>
          <w:rtl/>
        </w:rPr>
        <w:t xml:space="preserve">התחזית המקרו-כלכלית של חטיבת המחקר, </w:t>
      </w:r>
      <w:r w:rsidR="0001548A" w:rsidRPr="00323289">
        <w:rPr>
          <w:rFonts w:asciiTheme="majorHAnsi" w:hAnsiTheme="majorHAnsi" w:cstheme="majorHAnsi"/>
          <w:rtl/>
        </w:rPr>
        <w:t>אפריל</w:t>
      </w:r>
      <w:r w:rsidRPr="00323289">
        <w:rPr>
          <w:rFonts w:asciiTheme="majorHAnsi" w:hAnsiTheme="majorHAnsi" w:cstheme="majorHAnsi"/>
          <w:rtl/>
        </w:rPr>
        <w:t xml:space="preserve"> 202</w:t>
      </w:r>
      <w:r w:rsidR="00723B64" w:rsidRPr="00323289">
        <w:rPr>
          <w:rFonts w:asciiTheme="majorHAnsi" w:hAnsiTheme="majorHAnsi" w:cstheme="majorHAnsi"/>
          <w:rtl/>
        </w:rPr>
        <w:t>4</w:t>
      </w:r>
    </w:p>
    <w:p w14:paraId="2CC7F337" w14:textId="77777777" w:rsidR="003B2D4B" w:rsidRPr="00323289" w:rsidRDefault="003B2D4B" w:rsidP="00597143">
      <w:pPr>
        <w:pStyle w:val="1"/>
        <w:rPr>
          <w:rFonts w:asciiTheme="majorHAnsi" w:hAnsiTheme="majorHAnsi" w:cstheme="majorHAnsi"/>
        </w:rPr>
      </w:pPr>
      <w:r w:rsidRPr="00323289">
        <w:rPr>
          <w:rFonts w:asciiTheme="majorHAnsi" w:hAnsiTheme="majorHAnsi" w:cstheme="majorHAnsi"/>
          <w:rtl/>
        </w:rPr>
        <w:t>תמצית</w:t>
      </w:r>
    </w:p>
    <w:p w14:paraId="5E96D09C" w14:textId="1311BA51" w:rsidR="00C47183" w:rsidRPr="00323289" w:rsidRDefault="003B2D4B" w:rsidP="0043206E">
      <w:pPr>
        <w:spacing w:after="120"/>
        <w:jc w:val="both"/>
        <w:rPr>
          <w:rFonts w:asciiTheme="majorHAnsi" w:eastAsia="Calibri" w:hAnsiTheme="majorHAnsi" w:cstheme="majorHAnsi"/>
          <w:rtl/>
        </w:rPr>
      </w:pPr>
      <w:r w:rsidRPr="00323289">
        <w:rPr>
          <w:rFonts w:asciiTheme="majorHAnsi" w:eastAsia="Calibri" w:hAnsiTheme="majorHAnsi" w:cstheme="majorHAnsi"/>
          <w:rtl/>
        </w:rPr>
        <w:t xml:space="preserve">מסמך זה מציג את התחזית המקרו-כלכלית שחטיבת המחקר בבנק ישראל גיבשה </w:t>
      </w:r>
      <w:r w:rsidR="00B5670A" w:rsidRPr="00323289">
        <w:rPr>
          <w:rFonts w:asciiTheme="majorHAnsi" w:eastAsia="Calibri" w:hAnsiTheme="majorHAnsi" w:cstheme="majorHAnsi"/>
          <w:rtl/>
        </w:rPr>
        <w:t>ב</w:t>
      </w:r>
      <w:r w:rsidR="0001548A" w:rsidRPr="00323289">
        <w:rPr>
          <w:rFonts w:asciiTheme="majorHAnsi" w:eastAsia="Calibri" w:hAnsiTheme="majorHAnsi" w:cstheme="majorHAnsi"/>
          <w:rtl/>
        </w:rPr>
        <w:t>אפריל</w:t>
      </w:r>
      <w:r w:rsidRPr="00323289">
        <w:rPr>
          <w:rFonts w:asciiTheme="majorHAnsi" w:eastAsia="Calibri" w:hAnsiTheme="majorHAnsi" w:cstheme="majorHAnsi"/>
          <w:rtl/>
        </w:rPr>
        <w:t xml:space="preserve"> 202</w:t>
      </w:r>
      <w:r w:rsidR="00B5670A" w:rsidRPr="00323289">
        <w:rPr>
          <w:rFonts w:asciiTheme="majorHAnsi" w:eastAsia="Calibri" w:hAnsiTheme="majorHAnsi" w:cstheme="majorHAnsi"/>
          <w:rtl/>
        </w:rPr>
        <w:t>4</w:t>
      </w:r>
      <w:r w:rsidRPr="00323289">
        <w:rPr>
          <w:rFonts w:asciiTheme="majorHAnsi" w:eastAsia="Calibri" w:hAnsiTheme="majorHAnsi" w:cstheme="majorHAnsi"/>
          <w:rtl/>
        </w:rPr>
        <w:t xml:space="preserve"> בנוגע למשתני המקרו העיקריים – התוצר, האינפלציה והר</w:t>
      </w:r>
      <w:bookmarkStart w:id="0" w:name="_GoBack"/>
      <w:bookmarkEnd w:id="0"/>
      <w:r w:rsidRPr="00323289">
        <w:rPr>
          <w:rFonts w:asciiTheme="majorHAnsi" w:eastAsia="Calibri" w:hAnsiTheme="majorHAnsi" w:cstheme="majorHAnsi"/>
          <w:rtl/>
        </w:rPr>
        <w:t>יבית.</w:t>
      </w:r>
      <w:r w:rsidR="00A52617" w:rsidRPr="00323289">
        <w:rPr>
          <w:rFonts w:asciiTheme="majorHAnsi" w:eastAsia="Calibri" w:hAnsiTheme="majorHAnsi" w:cstheme="majorHAnsi"/>
          <w:vertAlign w:val="superscript"/>
          <w:rtl/>
        </w:rPr>
        <w:footnoteReference w:id="1"/>
      </w:r>
      <w:r w:rsidR="00C47183" w:rsidRPr="00323289">
        <w:rPr>
          <w:rFonts w:asciiTheme="majorHAnsi" w:hAnsiTheme="majorHAnsi" w:cstheme="majorHAnsi"/>
          <w:rtl/>
        </w:rPr>
        <w:t xml:space="preserve"> </w:t>
      </w:r>
      <w:r w:rsidR="00B5670A" w:rsidRPr="00323289">
        <w:rPr>
          <w:rFonts w:asciiTheme="majorHAnsi" w:eastAsia="Calibri" w:hAnsiTheme="majorHAnsi" w:cstheme="majorHAnsi"/>
          <w:rtl/>
        </w:rPr>
        <w:t xml:space="preserve">בדומה לתחזית </w:t>
      </w:r>
      <w:r w:rsidR="00E91DE8" w:rsidRPr="00323289">
        <w:rPr>
          <w:rFonts w:asciiTheme="majorHAnsi" w:eastAsia="Calibri" w:hAnsiTheme="majorHAnsi" w:cstheme="majorHAnsi"/>
          <w:rtl/>
        </w:rPr>
        <w:t>מ</w:t>
      </w:r>
      <w:r w:rsidR="0092279B" w:rsidRPr="00323289">
        <w:rPr>
          <w:rFonts w:asciiTheme="majorHAnsi" w:eastAsia="Calibri" w:hAnsiTheme="majorHAnsi" w:cstheme="majorHAnsi"/>
          <w:rtl/>
        </w:rPr>
        <w:t>ינואר 2024</w:t>
      </w:r>
      <w:r w:rsidR="00B5670A" w:rsidRPr="00323289">
        <w:rPr>
          <w:rFonts w:asciiTheme="majorHAnsi" w:eastAsia="Calibri" w:hAnsiTheme="majorHAnsi" w:cstheme="majorHAnsi"/>
          <w:rtl/>
        </w:rPr>
        <w:t xml:space="preserve">, התחזית הנוכחית </w:t>
      </w:r>
      <w:r w:rsidR="00E91DE8" w:rsidRPr="00323289">
        <w:rPr>
          <w:rFonts w:asciiTheme="majorHAnsi" w:eastAsia="Calibri" w:hAnsiTheme="majorHAnsi" w:cstheme="majorHAnsi"/>
          <w:rtl/>
        </w:rPr>
        <w:t xml:space="preserve">גובשה </w:t>
      </w:r>
      <w:r w:rsidR="00B5670A" w:rsidRPr="00323289">
        <w:rPr>
          <w:rFonts w:asciiTheme="majorHAnsi" w:eastAsia="Calibri" w:hAnsiTheme="majorHAnsi" w:cstheme="majorHAnsi"/>
          <w:rtl/>
        </w:rPr>
        <w:t xml:space="preserve">תחת ההנחה </w:t>
      </w:r>
      <w:r w:rsidR="00CD3399" w:rsidRPr="00323289">
        <w:rPr>
          <w:rFonts w:asciiTheme="majorHAnsi" w:eastAsia="Calibri" w:hAnsiTheme="majorHAnsi" w:cstheme="majorHAnsi"/>
          <w:rtl/>
        </w:rPr>
        <w:t xml:space="preserve">שההשפעה הכלכלית הישירה של </w:t>
      </w:r>
      <w:r w:rsidR="00E23659" w:rsidRPr="00323289">
        <w:rPr>
          <w:rFonts w:asciiTheme="majorHAnsi" w:eastAsia="Calibri" w:hAnsiTheme="majorHAnsi" w:cstheme="majorHAnsi"/>
          <w:rtl/>
        </w:rPr>
        <w:t>מלחמת "חרבות ברזל"</w:t>
      </w:r>
      <w:r w:rsidR="00CD3399" w:rsidRPr="00323289">
        <w:rPr>
          <w:rFonts w:asciiTheme="majorHAnsi" w:eastAsia="Calibri" w:hAnsiTheme="majorHAnsi" w:cstheme="majorHAnsi"/>
          <w:rtl/>
        </w:rPr>
        <w:t xml:space="preserve"> הגיעה לשיאה </w:t>
      </w:r>
      <w:r w:rsidR="00B5670A" w:rsidRPr="00323289">
        <w:rPr>
          <w:rFonts w:asciiTheme="majorHAnsi" w:eastAsia="Calibri" w:hAnsiTheme="majorHAnsi" w:cstheme="majorHAnsi"/>
          <w:rtl/>
        </w:rPr>
        <w:t xml:space="preserve">ברבעון הרביעי של 2023, </w:t>
      </w:r>
      <w:r w:rsidR="00CD3399" w:rsidRPr="00323289">
        <w:rPr>
          <w:rFonts w:asciiTheme="majorHAnsi" w:eastAsia="Calibri" w:hAnsiTheme="majorHAnsi" w:cstheme="majorHAnsi"/>
          <w:rtl/>
        </w:rPr>
        <w:t xml:space="preserve">ושהיא </w:t>
      </w:r>
      <w:r w:rsidR="00B5670A" w:rsidRPr="00323289">
        <w:rPr>
          <w:rFonts w:asciiTheme="majorHAnsi" w:eastAsia="Calibri" w:hAnsiTheme="majorHAnsi" w:cstheme="majorHAnsi"/>
          <w:rtl/>
        </w:rPr>
        <w:t>ת</w:t>
      </w:r>
      <w:r w:rsidR="00E51155" w:rsidRPr="00323289">
        <w:rPr>
          <w:rFonts w:asciiTheme="majorHAnsi" w:eastAsia="Calibri" w:hAnsiTheme="majorHAnsi" w:cstheme="majorHAnsi"/>
          <w:rtl/>
        </w:rPr>
        <w:t>י</w:t>
      </w:r>
      <w:r w:rsidR="00B5670A" w:rsidRPr="00323289">
        <w:rPr>
          <w:rFonts w:asciiTheme="majorHAnsi" w:eastAsia="Calibri" w:hAnsiTheme="majorHAnsi" w:cstheme="majorHAnsi"/>
          <w:rtl/>
        </w:rPr>
        <w:t xml:space="preserve">משך </w:t>
      </w:r>
      <w:r w:rsidR="00193E4E" w:rsidRPr="00323289">
        <w:rPr>
          <w:rFonts w:asciiTheme="majorHAnsi" w:eastAsia="Calibri" w:hAnsiTheme="majorHAnsi" w:cstheme="majorHAnsi"/>
          <w:rtl/>
        </w:rPr>
        <w:t>עד לסוף</w:t>
      </w:r>
      <w:r w:rsidR="00B5670A" w:rsidRPr="00323289">
        <w:rPr>
          <w:rFonts w:asciiTheme="majorHAnsi" w:eastAsia="Calibri" w:hAnsiTheme="majorHAnsi" w:cstheme="majorHAnsi"/>
          <w:rtl/>
        </w:rPr>
        <w:t xml:space="preserve"> 2024 בעצימות</w:t>
      </w:r>
      <w:r w:rsidR="003A0896" w:rsidRPr="00323289">
        <w:rPr>
          <w:rFonts w:asciiTheme="majorHAnsi" w:eastAsia="Calibri" w:hAnsiTheme="majorHAnsi" w:cstheme="majorHAnsi"/>
          <w:rtl/>
        </w:rPr>
        <w:t xml:space="preserve"> הולכת</w:t>
      </w:r>
      <w:r w:rsidR="00B5670A" w:rsidRPr="00323289">
        <w:rPr>
          <w:rFonts w:asciiTheme="majorHAnsi" w:eastAsia="Calibri" w:hAnsiTheme="majorHAnsi" w:cstheme="majorHAnsi"/>
          <w:rtl/>
        </w:rPr>
        <w:t xml:space="preserve"> </w:t>
      </w:r>
      <w:r w:rsidR="003A0896" w:rsidRPr="00323289">
        <w:rPr>
          <w:rFonts w:asciiTheme="majorHAnsi" w:eastAsia="Calibri" w:hAnsiTheme="majorHAnsi" w:cstheme="majorHAnsi"/>
          <w:rtl/>
        </w:rPr>
        <w:t>ו</w:t>
      </w:r>
      <w:r w:rsidR="00B5670A" w:rsidRPr="00323289">
        <w:rPr>
          <w:rFonts w:asciiTheme="majorHAnsi" w:eastAsia="Calibri" w:hAnsiTheme="majorHAnsi" w:cstheme="majorHAnsi"/>
          <w:rtl/>
        </w:rPr>
        <w:t>פוחתת</w:t>
      </w:r>
      <w:r w:rsidR="00CF536F" w:rsidRPr="00323289">
        <w:rPr>
          <w:rFonts w:asciiTheme="majorHAnsi" w:eastAsia="Calibri" w:hAnsiTheme="majorHAnsi" w:cstheme="majorHAnsi"/>
          <w:rtl/>
        </w:rPr>
        <w:t xml:space="preserve">. </w:t>
      </w:r>
      <w:r w:rsidR="002A30ED" w:rsidRPr="00323289">
        <w:rPr>
          <w:rFonts w:asciiTheme="majorHAnsi" w:eastAsia="Calibri" w:hAnsiTheme="majorHAnsi" w:cstheme="majorHAnsi"/>
          <w:rtl/>
        </w:rPr>
        <w:t>עבור 2025 ההנחה היא שלא יהיו השפעות</w:t>
      </w:r>
      <w:r w:rsidR="00575C72" w:rsidRPr="00323289">
        <w:rPr>
          <w:rFonts w:asciiTheme="majorHAnsi" w:eastAsia="Calibri" w:hAnsiTheme="majorHAnsi" w:cstheme="majorHAnsi"/>
          <w:rtl/>
        </w:rPr>
        <w:t xml:space="preserve"> </w:t>
      </w:r>
      <w:r w:rsidR="002A30ED" w:rsidRPr="00323289">
        <w:rPr>
          <w:rFonts w:asciiTheme="majorHAnsi" w:eastAsia="Calibri" w:hAnsiTheme="majorHAnsi" w:cstheme="majorHAnsi"/>
          <w:rtl/>
        </w:rPr>
        <w:t xml:space="preserve">לחימה </w:t>
      </w:r>
      <w:r w:rsidR="006A3F0D" w:rsidRPr="00323289">
        <w:rPr>
          <w:rFonts w:asciiTheme="majorHAnsi" w:eastAsia="Calibri" w:hAnsiTheme="majorHAnsi" w:cstheme="majorHAnsi"/>
          <w:rtl/>
        </w:rPr>
        <w:t>ישירות</w:t>
      </w:r>
      <w:r w:rsidR="002A30ED" w:rsidRPr="00323289">
        <w:rPr>
          <w:rFonts w:asciiTheme="majorHAnsi" w:eastAsia="Calibri" w:hAnsiTheme="majorHAnsi" w:cstheme="majorHAnsi"/>
          <w:rtl/>
        </w:rPr>
        <w:t xml:space="preserve"> נוספות.</w:t>
      </w:r>
      <w:r w:rsidR="00575C72" w:rsidRPr="00323289">
        <w:rPr>
          <w:rFonts w:asciiTheme="majorHAnsi" w:eastAsia="Calibri" w:hAnsiTheme="majorHAnsi" w:cstheme="majorHAnsi"/>
          <w:rtl/>
        </w:rPr>
        <w:t xml:space="preserve"> </w:t>
      </w:r>
      <w:r w:rsidR="00A80F08" w:rsidRPr="00323289">
        <w:rPr>
          <w:rFonts w:asciiTheme="majorHAnsi" w:eastAsia="Calibri" w:hAnsiTheme="majorHAnsi" w:cstheme="majorHAnsi"/>
          <w:rtl/>
        </w:rPr>
        <w:t>כמו כן</w:t>
      </w:r>
      <w:r w:rsidR="00B5670A" w:rsidRPr="00323289">
        <w:rPr>
          <w:rFonts w:asciiTheme="majorHAnsi" w:eastAsia="Calibri" w:hAnsiTheme="majorHAnsi" w:cstheme="majorHAnsi"/>
          <w:rtl/>
        </w:rPr>
        <w:t xml:space="preserve">, אנו מניחים כי חלק הארי של המלחמה </w:t>
      </w:r>
      <w:r w:rsidR="00CD3399" w:rsidRPr="00323289">
        <w:rPr>
          <w:rFonts w:asciiTheme="majorHAnsi" w:eastAsia="Calibri" w:hAnsiTheme="majorHAnsi" w:cstheme="majorHAnsi"/>
          <w:rtl/>
        </w:rPr>
        <w:t>ימשיך להיות מוגבל ל</w:t>
      </w:r>
      <w:r w:rsidR="00B5670A" w:rsidRPr="00323289">
        <w:rPr>
          <w:rFonts w:asciiTheme="majorHAnsi" w:eastAsia="Calibri" w:hAnsiTheme="majorHAnsi" w:cstheme="majorHAnsi"/>
          <w:rtl/>
        </w:rPr>
        <w:t>עזה.</w:t>
      </w:r>
      <w:r w:rsidR="00C47183" w:rsidRPr="00323289">
        <w:rPr>
          <w:rFonts w:asciiTheme="majorHAnsi" w:eastAsia="Calibri" w:hAnsiTheme="majorHAnsi" w:cstheme="majorHAnsi"/>
          <w:rtl/>
        </w:rPr>
        <w:t xml:space="preserve"> </w:t>
      </w:r>
      <w:r w:rsidR="00B5670A" w:rsidRPr="00323289">
        <w:rPr>
          <w:rFonts w:asciiTheme="majorHAnsi" w:eastAsia="Calibri" w:hAnsiTheme="majorHAnsi" w:cstheme="majorHAnsi"/>
          <w:rtl/>
        </w:rPr>
        <w:t xml:space="preserve">מטבע הדברים, התחזית מאופיינת ברמה גבוהה במיוחד של אי ודאות, בין היתר </w:t>
      </w:r>
      <w:r w:rsidR="00C47183" w:rsidRPr="00323289">
        <w:rPr>
          <w:rFonts w:asciiTheme="majorHAnsi" w:eastAsia="Calibri" w:hAnsiTheme="majorHAnsi" w:cstheme="majorHAnsi"/>
          <w:rtl/>
        </w:rPr>
        <w:t>בנוגע למשך ואופי המלחמה</w:t>
      </w:r>
      <w:r w:rsidR="00122671" w:rsidRPr="00323289">
        <w:rPr>
          <w:rFonts w:asciiTheme="majorHAnsi" w:eastAsia="Calibri" w:hAnsiTheme="majorHAnsi" w:cstheme="majorHAnsi"/>
          <w:rtl/>
        </w:rPr>
        <w:t xml:space="preserve"> בעזה</w:t>
      </w:r>
      <w:r w:rsidR="00E23659" w:rsidRPr="00323289">
        <w:rPr>
          <w:rFonts w:asciiTheme="majorHAnsi" w:eastAsia="Calibri" w:hAnsiTheme="majorHAnsi" w:cstheme="majorHAnsi"/>
          <w:rtl/>
        </w:rPr>
        <w:t>, השלכותיה לאחר סיומה,</w:t>
      </w:r>
      <w:r w:rsidR="00122671" w:rsidRPr="00323289">
        <w:rPr>
          <w:rFonts w:asciiTheme="majorHAnsi" w:eastAsia="Calibri" w:hAnsiTheme="majorHAnsi" w:cstheme="majorHAnsi"/>
          <w:rtl/>
        </w:rPr>
        <w:t xml:space="preserve"> והאפשרות להחמרה בחזית הצפונית</w:t>
      </w:r>
      <w:r w:rsidR="00365460" w:rsidRPr="00323289">
        <w:rPr>
          <w:rFonts w:asciiTheme="majorHAnsi" w:eastAsia="Calibri" w:hAnsiTheme="majorHAnsi" w:cstheme="majorHAnsi"/>
          <w:rtl/>
        </w:rPr>
        <w:t xml:space="preserve"> ובחזיתות אחרות</w:t>
      </w:r>
      <w:r w:rsidR="0092279B" w:rsidRPr="00323289">
        <w:rPr>
          <w:rFonts w:asciiTheme="majorHAnsi" w:eastAsia="Calibri" w:hAnsiTheme="majorHAnsi" w:cstheme="majorHAnsi"/>
          <w:rtl/>
        </w:rPr>
        <w:t>.</w:t>
      </w:r>
    </w:p>
    <w:p w14:paraId="6D532261" w14:textId="35115148" w:rsidR="00B144DA" w:rsidRPr="00323289" w:rsidRDefault="00B5670A" w:rsidP="00E91DE8">
      <w:pPr>
        <w:spacing w:after="120"/>
        <w:jc w:val="both"/>
        <w:rPr>
          <w:rFonts w:asciiTheme="majorHAnsi" w:eastAsia="Calibri" w:hAnsiTheme="majorHAnsi" w:cstheme="majorHAnsi"/>
          <w:rtl/>
        </w:rPr>
      </w:pPr>
      <w:r w:rsidRPr="00323289">
        <w:rPr>
          <w:rFonts w:asciiTheme="majorHAnsi" w:eastAsia="Calibri" w:hAnsiTheme="majorHAnsi" w:cstheme="majorHAnsi"/>
          <w:rtl/>
        </w:rPr>
        <w:t>על פי התחזית, התוצר צפוי לצמוח בשיעור של 2</w:t>
      </w:r>
      <w:r w:rsidR="00312603" w:rsidRPr="00323289">
        <w:rPr>
          <w:rFonts w:asciiTheme="majorHAnsi" w:eastAsia="Calibri" w:hAnsiTheme="majorHAnsi" w:cstheme="majorHAnsi"/>
          <w:rtl/>
        </w:rPr>
        <w:t>.0</w:t>
      </w:r>
      <w:r w:rsidRPr="00323289">
        <w:rPr>
          <w:rFonts w:asciiTheme="majorHAnsi" w:eastAsia="Calibri" w:hAnsiTheme="majorHAnsi" w:cstheme="majorHAnsi"/>
          <w:rtl/>
        </w:rPr>
        <w:t xml:space="preserve">% </w:t>
      </w:r>
      <w:r w:rsidR="005B33D3" w:rsidRPr="00323289">
        <w:rPr>
          <w:rFonts w:asciiTheme="majorHAnsi" w:eastAsia="Calibri" w:hAnsiTheme="majorHAnsi" w:cstheme="majorHAnsi"/>
          <w:rtl/>
        </w:rPr>
        <w:t>בשנת</w:t>
      </w:r>
      <w:r w:rsidR="007B5A0E" w:rsidRPr="00323289">
        <w:rPr>
          <w:rFonts w:asciiTheme="majorHAnsi" w:eastAsia="Calibri" w:hAnsiTheme="majorHAnsi" w:cstheme="majorHAnsi"/>
          <w:rtl/>
        </w:rPr>
        <w:t xml:space="preserve"> </w:t>
      </w:r>
      <w:r w:rsidR="008B753E" w:rsidRPr="00323289">
        <w:rPr>
          <w:rFonts w:asciiTheme="majorHAnsi" w:eastAsia="Calibri" w:hAnsiTheme="majorHAnsi" w:cstheme="majorHAnsi"/>
          <w:rtl/>
        </w:rPr>
        <w:t>20</w:t>
      </w:r>
      <w:r w:rsidR="007B5A0E" w:rsidRPr="00323289">
        <w:rPr>
          <w:rFonts w:asciiTheme="majorHAnsi" w:eastAsia="Calibri" w:hAnsiTheme="majorHAnsi" w:cstheme="majorHAnsi"/>
          <w:rtl/>
        </w:rPr>
        <w:t>24</w:t>
      </w:r>
      <w:r w:rsidR="00406B00" w:rsidRPr="00323289">
        <w:rPr>
          <w:rFonts w:asciiTheme="majorHAnsi" w:eastAsia="Calibri" w:hAnsiTheme="majorHAnsi" w:cstheme="majorHAnsi"/>
        </w:rPr>
        <w:t xml:space="preserve"> </w:t>
      </w:r>
      <w:r w:rsidR="00F8106B" w:rsidRPr="00323289">
        <w:rPr>
          <w:rFonts w:asciiTheme="majorHAnsi" w:eastAsia="Calibri" w:hAnsiTheme="majorHAnsi" w:cstheme="majorHAnsi"/>
          <w:rtl/>
        </w:rPr>
        <w:t>ו</w:t>
      </w:r>
      <w:r w:rsidR="00E91DE8" w:rsidRPr="00323289">
        <w:rPr>
          <w:rFonts w:asciiTheme="majorHAnsi" w:eastAsia="Calibri" w:hAnsiTheme="majorHAnsi" w:cstheme="majorHAnsi"/>
          <w:rtl/>
        </w:rPr>
        <w:t xml:space="preserve">של </w:t>
      </w:r>
      <w:r w:rsidR="005B560B" w:rsidRPr="00323289">
        <w:rPr>
          <w:rFonts w:asciiTheme="majorHAnsi" w:eastAsia="Calibri" w:hAnsiTheme="majorHAnsi" w:cstheme="majorHAnsi"/>
          <w:rtl/>
        </w:rPr>
        <w:t>5.0</w:t>
      </w:r>
      <w:r w:rsidR="00F8106B" w:rsidRPr="00323289">
        <w:rPr>
          <w:rFonts w:asciiTheme="majorHAnsi" w:eastAsia="Calibri" w:hAnsiTheme="majorHAnsi" w:cstheme="majorHAnsi"/>
          <w:rtl/>
        </w:rPr>
        <w:t>% בשנת 2025</w:t>
      </w:r>
      <w:r w:rsidR="0059537B" w:rsidRPr="00323289">
        <w:rPr>
          <w:rFonts w:asciiTheme="majorHAnsi" w:eastAsia="Calibri" w:hAnsiTheme="majorHAnsi" w:cstheme="majorHAnsi"/>
          <w:rtl/>
        </w:rPr>
        <w:t xml:space="preserve">, </w:t>
      </w:r>
      <w:r w:rsidR="00E23659" w:rsidRPr="00323289">
        <w:rPr>
          <w:rFonts w:asciiTheme="majorHAnsi" w:eastAsia="Calibri" w:hAnsiTheme="majorHAnsi" w:cstheme="majorHAnsi"/>
          <w:rtl/>
        </w:rPr>
        <w:t xml:space="preserve">כמו </w:t>
      </w:r>
      <w:r w:rsidR="005B560B" w:rsidRPr="00323289">
        <w:rPr>
          <w:rFonts w:asciiTheme="majorHAnsi" w:eastAsia="Calibri" w:hAnsiTheme="majorHAnsi" w:cstheme="majorHAnsi"/>
          <w:rtl/>
        </w:rPr>
        <w:t>הערכתנו בתחזית ינוא</w:t>
      </w:r>
      <w:r w:rsidR="009D782A" w:rsidRPr="00323289">
        <w:rPr>
          <w:rFonts w:asciiTheme="majorHAnsi" w:eastAsia="Calibri" w:hAnsiTheme="majorHAnsi" w:cstheme="majorHAnsi"/>
          <w:rtl/>
        </w:rPr>
        <w:t>ר. שיעור האינפלציה בארבעת הרבעונים הקרובים (המסתיימים ברבעון הראשון של שנת 2025) צפוי להיות 2.</w:t>
      </w:r>
      <w:r w:rsidR="001F10AD" w:rsidRPr="00323289">
        <w:rPr>
          <w:rFonts w:asciiTheme="majorHAnsi" w:eastAsia="Calibri" w:hAnsiTheme="majorHAnsi" w:cstheme="majorHAnsi"/>
          <w:rtl/>
        </w:rPr>
        <w:t>8</w:t>
      </w:r>
      <w:r w:rsidR="009D782A" w:rsidRPr="00323289">
        <w:rPr>
          <w:rFonts w:asciiTheme="majorHAnsi" w:eastAsia="Calibri" w:hAnsiTheme="majorHAnsi" w:cstheme="majorHAnsi"/>
          <w:rtl/>
        </w:rPr>
        <w:t>%</w:t>
      </w:r>
      <w:r w:rsidR="001F10AD" w:rsidRPr="00323289">
        <w:rPr>
          <w:rFonts w:asciiTheme="majorHAnsi" w:eastAsia="Calibri" w:hAnsiTheme="majorHAnsi" w:cstheme="majorHAnsi"/>
          <w:rtl/>
        </w:rPr>
        <w:t>.</w:t>
      </w:r>
      <w:r w:rsidR="009D782A" w:rsidRPr="00323289">
        <w:rPr>
          <w:rFonts w:asciiTheme="majorHAnsi" w:eastAsia="Calibri" w:hAnsiTheme="majorHAnsi" w:cstheme="majorHAnsi"/>
          <w:rtl/>
        </w:rPr>
        <w:t xml:space="preserve"> </w:t>
      </w:r>
      <w:r w:rsidRPr="00323289">
        <w:rPr>
          <w:rFonts w:asciiTheme="majorHAnsi" w:eastAsia="Calibri" w:hAnsiTheme="majorHAnsi" w:cstheme="majorHAnsi"/>
          <w:rtl/>
        </w:rPr>
        <w:t>שיעור האינפלציה ב</w:t>
      </w:r>
      <w:r w:rsidR="00CF536F" w:rsidRPr="00323289">
        <w:rPr>
          <w:rFonts w:asciiTheme="majorHAnsi" w:eastAsia="Calibri" w:hAnsiTheme="majorHAnsi" w:cstheme="majorHAnsi"/>
          <w:rtl/>
        </w:rPr>
        <w:t xml:space="preserve">מהלך </w:t>
      </w:r>
      <w:r w:rsidRPr="00323289">
        <w:rPr>
          <w:rFonts w:asciiTheme="majorHAnsi" w:eastAsia="Calibri" w:hAnsiTheme="majorHAnsi" w:cstheme="majorHAnsi"/>
          <w:rtl/>
        </w:rPr>
        <w:t>שנת 2024 צפוי להיות 2.</w:t>
      </w:r>
      <w:r w:rsidR="0059537B" w:rsidRPr="00323289">
        <w:rPr>
          <w:rFonts w:asciiTheme="majorHAnsi" w:eastAsia="Calibri" w:hAnsiTheme="majorHAnsi" w:cstheme="majorHAnsi"/>
          <w:rtl/>
        </w:rPr>
        <w:t>7</w:t>
      </w:r>
      <w:r w:rsidRPr="00323289">
        <w:rPr>
          <w:rFonts w:asciiTheme="majorHAnsi" w:eastAsia="Calibri" w:hAnsiTheme="majorHAnsi" w:cstheme="majorHAnsi"/>
          <w:rtl/>
        </w:rPr>
        <w:t>%</w:t>
      </w:r>
      <w:r w:rsidR="00D31644" w:rsidRPr="00323289">
        <w:rPr>
          <w:rFonts w:asciiTheme="majorHAnsi" w:eastAsia="Calibri" w:hAnsiTheme="majorHAnsi" w:cstheme="majorHAnsi"/>
          <w:rtl/>
        </w:rPr>
        <w:t xml:space="preserve"> (</w:t>
      </w:r>
      <w:r w:rsidR="0059537B" w:rsidRPr="00323289">
        <w:rPr>
          <w:rFonts w:asciiTheme="majorHAnsi" w:eastAsia="Calibri" w:hAnsiTheme="majorHAnsi" w:cstheme="majorHAnsi"/>
          <w:rtl/>
        </w:rPr>
        <w:t>לעומת 2.4%</w:t>
      </w:r>
      <w:r w:rsidR="00A80F08" w:rsidRPr="00323289">
        <w:rPr>
          <w:rFonts w:asciiTheme="majorHAnsi" w:eastAsia="Calibri" w:hAnsiTheme="majorHAnsi" w:cstheme="majorHAnsi"/>
          <w:rtl/>
        </w:rPr>
        <w:t xml:space="preserve"> </w:t>
      </w:r>
      <w:r w:rsidR="0059537B" w:rsidRPr="00323289">
        <w:rPr>
          <w:rFonts w:asciiTheme="majorHAnsi" w:eastAsia="Calibri" w:hAnsiTheme="majorHAnsi" w:cstheme="majorHAnsi"/>
          <w:rtl/>
        </w:rPr>
        <w:t>ב</w:t>
      </w:r>
      <w:r w:rsidR="00D31644" w:rsidRPr="00323289">
        <w:rPr>
          <w:rFonts w:asciiTheme="majorHAnsi" w:eastAsia="Calibri" w:hAnsiTheme="majorHAnsi" w:cstheme="majorHAnsi"/>
          <w:rtl/>
        </w:rPr>
        <w:t xml:space="preserve">תחזית </w:t>
      </w:r>
      <w:r w:rsidR="0059537B" w:rsidRPr="00323289">
        <w:rPr>
          <w:rFonts w:asciiTheme="majorHAnsi" w:eastAsia="Calibri" w:hAnsiTheme="majorHAnsi" w:cstheme="majorHAnsi"/>
          <w:rtl/>
        </w:rPr>
        <w:t>ינואר</w:t>
      </w:r>
      <w:r w:rsidR="00D31644" w:rsidRPr="00323289">
        <w:rPr>
          <w:rFonts w:asciiTheme="majorHAnsi" w:eastAsia="Calibri" w:hAnsiTheme="majorHAnsi" w:cstheme="majorHAnsi"/>
          <w:rtl/>
        </w:rPr>
        <w:t>)</w:t>
      </w:r>
      <w:r w:rsidR="00550ACA" w:rsidRPr="00323289">
        <w:rPr>
          <w:rFonts w:asciiTheme="majorHAnsi" w:eastAsia="Calibri" w:hAnsiTheme="majorHAnsi" w:cstheme="majorHAnsi"/>
          <w:rtl/>
        </w:rPr>
        <w:t xml:space="preserve"> ואילו </w:t>
      </w:r>
      <w:r w:rsidR="00CF536F" w:rsidRPr="00323289">
        <w:rPr>
          <w:rFonts w:asciiTheme="majorHAnsi" w:eastAsia="Calibri" w:hAnsiTheme="majorHAnsi" w:cstheme="majorHAnsi"/>
          <w:rtl/>
        </w:rPr>
        <w:t xml:space="preserve">במהלך </w:t>
      </w:r>
      <w:r w:rsidR="00550ACA" w:rsidRPr="00323289">
        <w:rPr>
          <w:rFonts w:asciiTheme="majorHAnsi" w:eastAsia="Calibri" w:hAnsiTheme="majorHAnsi" w:cstheme="majorHAnsi"/>
          <w:rtl/>
        </w:rPr>
        <w:t xml:space="preserve">שנת 2025 הוא </w:t>
      </w:r>
      <w:r w:rsidR="007B5A0E" w:rsidRPr="00323289">
        <w:rPr>
          <w:rFonts w:asciiTheme="majorHAnsi" w:eastAsia="Calibri" w:hAnsiTheme="majorHAnsi" w:cstheme="majorHAnsi"/>
          <w:rtl/>
        </w:rPr>
        <w:t xml:space="preserve">צפוי לעמוד </w:t>
      </w:r>
      <w:r w:rsidR="00550ACA" w:rsidRPr="00323289">
        <w:rPr>
          <w:rFonts w:asciiTheme="majorHAnsi" w:eastAsia="Calibri" w:hAnsiTheme="majorHAnsi" w:cstheme="majorHAnsi"/>
          <w:rtl/>
        </w:rPr>
        <w:t>על</w:t>
      </w:r>
      <w:r w:rsidR="00575C72" w:rsidRPr="00323289">
        <w:rPr>
          <w:rFonts w:asciiTheme="majorHAnsi" w:eastAsia="Calibri" w:hAnsiTheme="majorHAnsi" w:cstheme="majorHAnsi"/>
          <w:rtl/>
        </w:rPr>
        <w:t xml:space="preserve"> </w:t>
      </w:r>
      <w:r w:rsidR="0059537B" w:rsidRPr="00323289">
        <w:rPr>
          <w:rFonts w:asciiTheme="majorHAnsi" w:eastAsia="Calibri" w:hAnsiTheme="majorHAnsi" w:cstheme="majorHAnsi"/>
          <w:rtl/>
        </w:rPr>
        <w:t>2.3</w:t>
      </w:r>
      <w:r w:rsidR="00550ACA" w:rsidRPr="00323289">
        <w:rPr>
          <w:rFonts w:asciiTheme="majorHAnsi" w:eastAsia="Calibri" w:hAnsiTheme="majorHAnsi" w:cstheme="majorHAnsi"/>
          <w:rtl/>
        </w:rPr>
        <w:t>%</w:t>
      </w:r>
      <w:r w:rsidR="0059537B" w:rsidRPr="00323289">
        <w:rPr>
          <w:rFonts w:asciiTheme="majorHAnsi" w:eastAsia="Calibri" w:hAnsiTheme="majorHAnsi" w:cstheme="majorHAnsi"/>
          <w:rtl/>
        </w:rPr>
        <w:t xml:space="preserve"> (לעומת 2.0% בתחזית ינואר)</w:t>
      </w:r>
      <w:r w:rsidR="00A80F08" w:rsidRPr="00323289">
        <w:rPr>
          <w:rFonts w:asciiTheme="majorHAnsi" w:eastAsia="Calibri" w:hAnsiTheme="majorHAnsi" w:cstheme="majorHAnsi"/>
          <w:rtl/>
        </w:rPr>
        <w:t>.</w:t>
      </w:r>
      <w:r w:rsidRPr="00323289">
        <w:rPr>
          <w:rFonts w:asciiTheme="majorHAnsi" w:eastAsia="Calibri" w:hAnsiTheme="majorHAnsi" w:cstheme="majorHAnsi"/>
          <w:rtl/>
        </w:rPr>
        <w:t xml:space="preserve"> ברבעון </w:t>
      </w:r>
      <w:r w:rsidR="008F50AB" w:rsidRPr="00323289">
        <w:rPr>
          <w:rFonts w:asciiTheme="majorHAnsi" w:eastAsia="Calibri" w:hAnsiTheme="majorHAnsi" w:cstheme="majorHAnsi"/>
          <w:rtl/>
        </w:rPr>
        <w:t>הראשון</w:t>
      </w:r>
      <w:r w:rsidRPr="00323289">
        <w:rPr>
          <w:rFonts w:asciiTheme="majorHAnsi" w:eastAsia="Calibri" w:hAnsiTheme="majorHAnsi" w:cstheme="majorHAnsi"/>
          <w:rtl/>
        </w:rPr>
        <w:t xml:space="preserve"> של 202</w:t>
      </w:r>
      <w:r w:rsidR="008F50AB" w:rsidRPr="00323289">
        <w:rPr>
          <w:rFonts w:asciiTheme="majorHAnsi" w:eastAsia="Calibri" w:hAnsiTheme="majorHAnsi" w:cstheme="majorHAnsi"/>
          <w:rtl/>
        </w:rPr>
        <w:t>5</w:t>
      </w:r>
      <w:r w:rsidRPr="00323289">
        <w:rPr>
          <w:rFonts w:asciiTheme="majorHAnsi" w:eastAsia="Calibri" w:hAnsiTheme="majorHAnsi" w:cstheme="majorHAnsi"/>
          <w:rtl/>
        </w:rPr>
        <w:t xml:space="preserve"> הריבית צפויה לעמוד על </w:t>
      </w:r>
      <w:r w:rsidR="00A80F08" w:rsidRPr="00323289">
        <w:rPr>
          <w:rFonts w:asciiTheme="majorHAnsi" w:eastAsia="Calibri" w:hAnsiTheme="majorHAnsi" w:cstheme="majorHAnsi"/>
          <w:rtl/>
        </w:rPr>
        <w:t>3.75</w:t>
      </w:r>
      <w:r w:rsidRPr="00323289">
        <w:rPr>
          <w:rFonts w:asciiTheme="majorHAnsi" w:eastAsia="Calibri" w:hAnsiTheme="majorHAnsi" w:cstheme="majorHAnsi"/>
          <w:rtl/>
        </w:rPr>
        <w:t>%.</w:t>
      </w:r>
    </w:p>
    <w:p w14:paraId="295AE7A3" w14:textId="77777777" w:rsidR="003B2D4B" w:rsidRPr="00323289" w:rsidRDefault="003B2D4B" w:rsidP="00597143">
      <w:pPr>
        <w:pStyle w:val="1"/>
        <w:rPr>
          <w:rFonts w:asciiTheme="majorHAnsi" w:hAnsiTheme="majorHAnsi" w:cstheme="majorHAnsi"/>
          <w:rtl/>
        </w:rPr>
      </w:pPr>
      <w:r w:rsidRPr="00323289">
        <w:rPr>
          <w:rFonts w:asciiTheme="majorHAnsi" w:hAnsiTheme="majorHAnsi" w:cstheme="majorHAnsi"/>
          <w:rtl/>
        </w:rPr>
        <w:t>התחזית</w:t>
      </w:r>
    </w:p>
    <w:p w14:paraId="1F75308F" w14:textId="4ED4EBF2" w:rsidR="003B2D4B" w:rsidRPr="00323289" w:rsidRDefault="003A0896" w:rsidP="00A02DF4">
      <w:pPr>
        <w:spacing w:after="120"/>
        <w:jc w:val="both"/>
        <w:rPr>
          <w:rFonts w:asciiTheme="majorHAnsi" w:eastAsia="Calibri" w:hAnsiTheme="majorHAnsi" w:cstheme="majorHAnsi"/>
          <w:rtl/>
        </w:rPr>
      </w:pPr>
      <w:r w:rsidRPr="00323289">
        <w:rPr>
          <w:rFonts w:asciiTheme="majorHAnsi" w:eastAsia="Calibri" w:hAnsiTheme="majorHAnsi" w:cstheme="majorHAnsi"/>
          <w:rtl/>
        </w:rPr>
        <w:t>חטיבת המחקר של בנק ישראל עורכת בכל רבעון תחזית מקרו-כלכלית שמתבססת על מספר מודלים</w:t>
      </w:r>
      <w:r w:rsidR="003B2D4B" w:rsidRPr="00323289">
        <w:rPr>
          <w:rFonts w:asciiTheme="majorHAnsi" w:eastAsia="Calibri" w:hAnsiTheme="majorHAnsi" w:cstheme="majorHAnsi"/>
          <w:rtl/>
        </w:rPr>
        <w:t>, על מקורות מידע שונים ועל הערכות שיפוטיות. בתהליך זה יש תפקיד מרכזי למודל ה-</w:t>
      </w:r>
      <w:r w:rsidR="003B2D4B" w:rsidRPr="00323289">
        <w:rPr>
          <w:rFonts w:asciiTheme="majorHAnsi" w:eastAsia="Calibri" w:hAnsiTheme="majorHAnsi" w:cstheme="majorHAnsi"/>
        </w:rPr>
        <w:t>DSGE</w:t>
      </w:r>
      <w:r w:rsidR="003B2D4B" w:rsidRPr="00323289">
        <w:rPr>
          <w:rFonts w:asciiTheme="majorHAnsi" w:eastAsia="Calibri" w:hAnsiTheme="majorHAnsi" w:cstheme="majorHAnsi"/>
          <w:rtl/>
        </w:rPr>
        <w:t xml:space="preserve"> (</w:t>
      </w:r>
      <w:r w:rsidR="003B2D4B" w:rsidRPr="00323289">
        <w:rPr>
          <w:rFonts w:asciiTheme="majorHAnsi" w:eastAsia="Calibri" w:hAnsiTheme="majorHAnsi" w:cstheme="majorHAnsi"/>
        </w:rPr>
        <w:t>Dynamic Stochastic General Equilibrium</w:t>
      </w:r>
      <w:r w:rsidR="003B2D4B" w:rsidRPr="00323289">
        <w:rPr>
          <w:rFonts w:asciiTheme="majorHAnsi" w:eastAsia="Calibri" w:hAnsiTheme="majorHAnsi" w:cstheme="majorHAnsi"/>
          <w:rtl/>
        </w:rPr>
        <w:t>) שפותח בחטיבת המחקר – מודל מבני שמבוסס על יסודות מיקרו-כלכליים.</w:t>
      </w:r>
      <w:r w:rsidR="003B2D4B" w:rsidRPr="00323289">
        <w:rPr>
          <w:rFonts w:asciiTheme="majorHAnsi" w:eastAsia="Calibri" w:hAnsiTheme="majorHAnsi" w:cstheme="majorHAnsi"/>
          <w:vertAlign w:val="superscript"/>
          <w:rtl/>
        </w:rPr>
        <w:footnoteReference w:id="2"/>
      </w:r>
      <w:r w:rsidR="003B2D4B" w:rsidRPr="00323289">
        <w:rPr>
          <w:rFonts w:asciiTheme="majorHAnsi" w:eastAsia="Calibri" w:hAnsiTheme="majorHAnsi" w:cstheme="majorHAnsi"/>
          <w:rtl/>
        </w:rPr>
        <w:t xml:space="preserve"> המודל מספק מסגרת לניתוח הכוחות המשפיעים על הכלכלה ו</w:t>
      </w:r>
      <w:r w:rsidR="00D355BA" w:rsidRPr="00323289">
        <w:rPr>
          <w:rFonts w:asciiTheme="majorHAnsi" w:eastAsia="Calibri" w:hAnsiTheme="majorHAnsi" w:cstheme="majorHAnsi"/>
          <w:rtl/>
        </w:rPr>
        <w:t xml:space="preserve">הוא </w:t>
      </w:r>
      <w:r w:rsidR="003B2D4B" w:rsidRPr="00323289">
        <w:rPr>
          <w:rFonts w:asciiTheme="majorHAnsi" w:eastAsia="Calibri" w:hAnsiTheme="majorHAnsi" w:cstheme="majorHAnsi"/>
          <w:rtl/>
        </w:rPr>
        <w:t xml:space="preserve">מאפשר לגבש את המידע </w:t>
      </w:r>
      <w:r w:rsidR="003B2D4B" w:rsidRPr="00323289">
        <w:rPr>
          <w:rFonts w:asciiTheme="majorHAnsi" w:eastAsia="Calibri" w:hAnsiTheme="majorHAnsi" w:cstheme="majorHAnsi"/>
          <w:rtl/>
        </w:rPr>
        <w:lastRenderedPageBreak/>
        <w:t xml:space="preserve">מהמקורות השונים לכדי תחזית מקרו-כלכלית למשתנים ריאליים ונומינליים, המתאפיינת בעקביות פנימית ובסיפור כלכלי. </w:t>
      </w:r>
    </w:p>
    <w:p w14:paraId="6DD49758" w14:textId="231392C6" w:rsidR="000D2878" w:rsidRPr="00323289" w:rsidRDefault="00F2124E" w:rsidP="00D355BA">
      <w:pPr>
        <w:spacing w:after="120"/>
        <w:jc w:val="both"/>
        <w:rPr>
          <w:rFonts w:asciiTheme="majorHAnsi" w:eastAsia="Calibri" w:hAnsiTheme="majorHAnsi" w:cstheme="majorHAnsi"/>
          <w:rtl/>
        </w:rPr>
      </w:pPr>
      <w:r w:rsidRPr="00323289">
        <w:rPr>
          <w:rFonts w:asciiTheme="majorHAnsi" w:eastAsia="Calibri" w:hAnsiTheme="majorHAnsi" w:cstheme="majorHAnsi"/>
          <w:rtl/>
        </w:rPr>
        <w:t xml:space="preserve">לצורך גיבוש אומדנים להשפעות הכלכליות של המלחמה </w:t>
      </w:r>
      <w:r w:rsidR="00D355BA" w:rsidRPr="00323289">
        <w:rPr>
          <w:rFonts w:asciiTheme="majorHAnsi" w:eastAsia="Calibri" w:hAnsiTheme="majorHAnsi" w:cstheme="majorHAnsi"/>
          <w:rtl/>
        </w:rPr>
        <w:t xml:space="preserve">ניתן </w:t>
      </w:r>
      <w:r w:rsidR="000D2878" w:rsidRPr="00323289">
        <w:rPr>
          <w:rFonts w:asciiTheme="majorHAnsi" w:eastAsia="Calibri" w:hAnsiTheme="majorHAnsi" w:cstheme="majorHAnsi"/>
          <w:rtl/>
        </w:rPr>
        <w:t xml:space="preserve">דגש מיוחד </w:t>
      </w:r>
      <w:r w:rsidR="00D355BA" w:rsidRPr="00323289">
        <w:rPr>
          <w:rFonts w:asciiTheme="majorHAnsi" w:eastAsia="Calibri" w:hAnsiTheme="majorHAnsi" w:cstheme="majorHAnsi"/>
          <w:rtl/>
        </w:rPr>
        <w:t>ל</w:t>
      </w:r>
      <w:r w:rsidR="000D2878" w:rsidRPr="00323289">
        <w:rPr>
          <w:rFonts w:asciiTheme="majorHAnsi" w:eastAsia="Calibri" w:hAnsiTheme="majorHAnsi" w:cstheme="majorHAnsi"/>
          <w:rtl/>
        </w:rPr>
        <w:t xml:space="preserve">ניתוח </w:t>
      </w:r>
      <w:r w:rsidRPr="00323289">
        <w:rPr>
          <w:rFonts w:asciiTheme="majorHAnsi" w:eastAsia="Calibri" w:hAnsiTheme="majorHAnsi" w:cstheme="majorHAnsi"/>
          <w:rtl/>
        </w:rPr>
        <w:t xml:space="preserve">נתונים מהירים המעידים על היקפי הפגיעה </w:t>
      </w:r>
      <w:r w:rsidR="00312603" w:rsidRPr="00323289">
        <w:rPr>
          <w:rFonts w:asciiTheme="majorHAnsi" w:eastAsia="Calibri" w:hAnsiTheme="majorHAnsi" w:cstheme="majorHAnsi"/>
          <w:rtl/>
        </w:rPr>
        <w:t>ועל קצב ההתאוששות</w:t>
      </w:r>
      <w:r w:rsidR="009A55FB" w:rsidRPr="00323289">
        <w:rPr>
          <w:rFonts w:asciiTheme="majorHAnsi" w:eastAsia="Calibri" w:hAnsiTheme="majorHAnsi" w:cstheme="majorHAnsi"/>
          <w:rtl/>
        </w:rPr>
        <w:t xml:space="preserve"> </w:t>
      </w:r>
      <w:r w:rsidR="00312603" w:rsidRPr="00323289">
        <w:rPr>
          <w:rFonts w:asciiTheme="majorHAnsi" w:eastAsia="Calibri" w:hAnsiTheme="majorHAnsi" w:cstheme="majorHAnsi"/>
          <w:rtl/>
        </w:rPr>
        <w:t xml:space="preserve">של </w:t>
      </w:r>
      <w:r w:rsidR="009A55FB" w:rsidRPr="00323289">
        <w:rPr>
          <w:rFonts w:asciiTheme="majorHAnsi" w:eastAsia="Calibri" w:hAnsiTheme="majorHAnsi" w:cstheme="majorHAnsi"/>
          <w:rtl/>
        </w:rPr>
        <w:t>תוצר ענפי המשק ו</w:t>
      </w:r>
      <w:r w:rsidR="00312603" w:rsidRPr="00323289">
        <w:rPr>
          <w:rFonts w:asciiTheme="majorHAnsi" w:eastAsia="Calibri" w:hAnsiTheme="majorHAnsi" w:cstheme="majorHAnsi"/>
          <w:rtl/>
        </w:rPr>
        <w:t>ה</w:t>
      </w:r>
      <w:r w:rsidR="009A55FB" w:rsidRPr="00323289">
        <w:rPr>
          <w:rFonts w:asciiTheme="majorHAnsi" w:eastAsia="Calibri" w:hAnsiTheme="majorHAnsi" w:cstheme="majorHAnsi"/>
          <w:rtl/>
        </w:rPr>
        <w:t>שימושים</w:t>
      </w:r>
      <w:r w:rsidR="0068311A" w:rsidRPr="00323289">
        <w:rPr>
          <w:rFonts w:asciiTheme="majorHAnsi" w:eastAsia="Calibri" w:hAnsiTheme="majorHAnsi" w:cstheme="majorHAnsi"/>
          <w:rtl/>
        </w:rPr>
        <w:t>,</w:t>
      </w:r>
      <w:r w:rsidRPr="00323289">
        <w:rPr>
          <w:rFonts w:asciiTheme="majorHAnsi" w:eastAsia="Calibri" w:hAnsiTheme="majorHAnsi" w:cstheme="majorHAnsi"/>
          <w:rtl/>
        </w:rPr>
        <w:t xml:space="preserve"> וכן על </w:t>
      </w:r>
      <w:r w:rsidR="00C86DF3" w:rsidRPr="00323289">
        <w:rPr>
          <w:rFonts w:asciiTheme="majorHAnsi" w:eastAsia="Calibri" w:hAnsiTheme="majorHAnsi" w:cstheme="majorHAnsi"/>
          <w:rtl/>
        </w:rPr>
        <w:t xml:space="preserve">ניתוח של </w:t>
      </w:r>
      <w:r w:rsidR="00C96086" w:rsidRPr="00323289">
        <w:rPr>
          <w:rFonts w:asciiTheme="majorHAnsi" w:eastAsia="Calibri" w:hAnsiTheme="majorHAnsi" w:cstheme="majorHAnsi"/>
          <w:rtl/>
        </w:rPr>
        <w:t>אירועים ביטחוניים מן ה</w:t>
      </w:r>
      <w:r w:rsidR="000D2878" w:rsidRPr="00323289">
        <w:rPr>
          <w:rFonts w:asciiTheme="majorHAnsi" w:eastAsia="Calibri" w:hAnsiTheme="majorHAnsi" w:cstheme="majorHAnsi"/>
          <w:rtl/>
        </w:rPr>
        <w:t xml:space="preserve">עבר. </w:t>
      </w:r>
      <w:r w:rsidR="00BF5708" w:rsidRPr="00323289">
        <w:rPr>
          <w:rFonts w:asciiTheme="majorHAnsi" w:eastAsia="Calibri" w:hAnsiTheme="majorHAnsi" w:cstheme="majorHAnsi"/>
          <w:rtl/>
        </w:rPr>
        <w:t>ה</w:t>
      </w:r>
      <w:r w:rsidR="003A5BC1" w:rsidRPr="00323289">
        <w:rPr>
          <w:rFonts w:asciiTheme="majorHAnsi" w:eastAsia="Calibri" w:hAnsiTheme="majorHAnsi" w:cstheme="majorHAnsi"/>
          <w:rtl/>
        </w:rPr>
        <w:t xml:space="preserve">ניתוח </w:t>
      </w:r>
      <w:r w:rsidR="00BF5708" w:rsidRPr="00323289">
        <w:rPr>
          <w:rFonts w:asciiTheme="majorHAnsi" w:eastAsia="Calibri" w:hAnsiTheme="majorHAnsi" w:cstheme="majorHAnsi"/>
          <w:rtl/>
        </w:rPr>
        <w:t>הסתייע בהערכות</w:t>
      </w:r>
      <w:r w:rsidR="00E51155" w:rsidRPr="00323289">
        <w:rPr>
          <w:rFonts w:asciiTheme="majorHAnsi" w:eastAsia="Calibri" w:hAnsiTheme="majorHAnsi" w:cstheme="majorHAnsi"/>
          <w:rtl/>
        </w:rPr>
        <w:t xml:space="preserve"> לגבי </w:t>
      </w:r>
      <w:r w:rsidR="003A5BC1" w:rsidRPr="00323289">
        <w:rPr>
          <w:rFonts w:asciiTheme="majorHAnsi" w:eastAsia="Calibri" w:hAnsiTheme="majorHAnsi" w:cstheme="majorHAnsi"/>
          <w:rtl/>
        </w:rPr>
        <w:t>היקף הפגיעה</w:t>
      </w:r>
      <w:r w:rsidR="00312603" w:rsidRPr="00323289">
        <w:rPr>
          <w:rFonts w:asciiTheme="majorHAnsi" w:eastAsia="Calibri" w:hAnsiTheme="majorHAnsi" w:cstheme="majorHAnsi"/>
          <w:rtl/>
        </w:rPr>
        <w:t xml:space="preserve"> וההתאוששות</w:t>
      </w:r>
      <w:r w:rsidR="003A5BC1" w:rsidRPr="00323289">
        <w:rPr>
          <w:rFonts w:asciiTheme="majorHAnsi" w:eastAsia="Calibri" w:hAnsiTheme="majorHAnsi" w:cstheme="majorHAnsi"/>
          <w:rtl/>
        </w:rPr>
        <w:t xml:space="preserve"> בצד ההיצע</w:t>
      </w:r>
      <w:r w:rsidR="00E51155" w:rsidRPr="00323289">
        <w:rPr>
          <w:rFonts w:asciiTheme="majorHAnsi" w:eastAsia="Calibri" w:hAnsiTheme="majorHAnsi" w:cstheme="majorHAnsi"/>
          <w:rtl/>
        </w:rPr>
        <w:t xml:space="preserve"> ברמה הענפית</w:t>
      </w:r>
      <w:r w:rsidR="00CF536F" w:rsidRPr="00323289">
        <w:rPr>
          <w:rFonts w:asciiTheme="majorHAnsi" w:eastAsia="Calibri" w:hAnsiTheme="majorHAnsi" w:cstheme="majorHAnsi"/>
          <w:rtl/>
        </w:rPr>
        <w:t>,</w:t>
      </w:r>
      <w:r w:rsidR="003A5BC1" w:rsidRPr="00323289">
        <w:rPr>
          <w:rFonts w:asciiTheme="majorHAnsi" w:eastAsia="Calibri" w:hAnsiTheme="majorHAnsi" w:cstheme="majorHAnsi"/>
          <w:rtl/>
        </w:rPr>
        <w:t xml:space="preserve"> </w:t>
      </w:r>
      <w:r w:rsidR="00312603" w:rsidRPr="00323289">
        <w:rPr>
          <w:rFonts w:asciiTheme="majorHAnsi" w:eastAsia="Calibri" w:hAnsiTheme="majorHAnsi" w:cstheme="majorHAnsi"/>
          <w:rtl/>
        </w:rPr>
        <w:t xml:space="preserve">הקשורים </w:t>
      </w:r>
      <w:r w:rsidR="006E15ED" w:rsidRPr="00323289">
        <w:rPr>
          <w:rFonts w:asciiTheme="majorHAnsi" w:eastAsia="Calibri" w:hAnsiTheme="majorHAnsi" w:cstheme="majorHAnsi"/>
          <w:rtl/>
        </w:rPr>
        <w:t xml:space="preserve">בין היתר </w:t>
      </w:r>
      <w:r w:rsidR="00312603" w:rsidRPr="00323289">
        <w:rPr>
          <w:rFonts w:asciiTheme="majorHAnsi" w:eastAsia="Calibri" w:hAnsiTheme="majorHAnsi" w:cstheme="majorHAnsi"/>
          <w:rtl/>
        </w:rPr>
        <w:t xml:space="preserve">למחסור </w:t>
      </w:r>
      <w:r w:rsidR="003A5BC1" w:rsidRPr="00323289">
        <w:rPr>
          <w:rFonts w:asciiTheme="majorHAnsi" w:eastAsia="Calibri" w:hAnsiTheme="majorHAnsi" w:cstheme="majorHAnsi"/>
          <w:rtl/>
        </w:rPr>
        <w:t>בעובדים במהלך תקופת הלחימה</w:t>
      </w:r>
      <w:r w:rsidR="003E14C2" w:rsidRPr="00323289">
        <w:rPr>
          <w:rFonts w:asciiTheme="majorHAnsi" w:eastAsia="Calibri" w:hAnsiTheme="majorHAnsi" w:cstheme="majorHAnsi"/>
          <w:rtl/>
        </w:rPr>
        <w:t xml:space="preserve"> </w:t>
      </w:r>
      <w:r w:rsidR="00D355BA" w:rsidRPr="00323289">
        <w:rPr>
          <w:rFonts w:asciiTheme="majorHAnsi" w:eastAsia="Calibri" w:hAnsiTheme="majorHAnsi" w:cstheme="majorHAnsi"/>
          <w:rtl/>
        </w:rPr>
        <w:t xml:space="preserve">ולמגבלות </w:t>
      </w:r>
      <w:r w:rsidR="003E14C2" w:rsidRPr="00323289">
        <w:rPr>
          <w:rFonts w:asciiTheme="majorHAnsi" w:eastAsia="Calibri" w:hAnsiTheme="majorHAnsi" w:cstheme="majorHAnsi"/>
          <w:rtl/>
        </w:rPr>
        <w:t>הביטחוניות על הפעילות</w:t>
      </w:r>
      <w:r w:rsidR="006E15ED" w:rsidRPr="00323289">
        <w:rPr>
          <w:rFonts w:asciiTheme="majorHAnsi" w:eastAsia="Calibri" w:hAnsiTheme="majorHAnsi" w:cstheme="majorHAnsi"/>
          <w:rtl/>
        </w:rPr>
        <w:t xml:space="preserve">. בצד הביקוש נותחו הנתונים שהצטברו עד כה לצורך הערכת הפגיעה </w:t>
      </w:r>
      <w:r w:rsidR="00C86DF3" w:rsidRPr="00323289">
        <w:rPr>
          <w:rFonts w:asciiTheme="majorHAnsi" w:eastAsia="Calibri" w:hAnsiTheme="majorHAnsi" w:cstheme="majorHAnsi"/>
          <w:rtl/>
        </w:rPr>
        <w:t>בשימושים השונים</w:t>
      </w:r>
      <w:r w:rsidR="00312603" w:rsidRPr="00323289">
        <w:rPr>
          <w:rFonts w:asciiTheme="majorHAnsi" w:eastAsia="Calibri" w:hAnsiTheme="majorHAnsi" w:cstheme="majorHAnsi"/>
          <w:rtl/>
        </w:rPr>
        <w:t xml:space="preserve"> וכן </w:t>
      </w:r>
      <w:r w:rsidR="00D355BA" w:rsidRPr="00323289">
        <w:rPr>
          <w:rFonts w:asciiTheme="majorHAnsi" w:eastAsia="Calibri" w:hAnsiTheme="majorHAnsi" w:cstheme="majorHAnsi"/>
          <w:rtl/>
        </w:rPr>
        <w:t xml:space="preserve">לצורך הערכה </w:t>
      </w:r>
      <w:r w:rsidR="00312603" w:rsidRPr="00323289">
        <w:rPr>
          <w:rFonts w:asciiTheme="majorHAnsi" w:eastAsia="Calibri" w:hAnsiTheme="majorHAnsi" w:cstheme="majorHAnsi"/>
          <w:rtl/>
        </w:rPr>
        <w:t>לגבי קצב התאוששותם עד כה</w:t>
      </w:r>
      <w:r w:rsidR="006E15ED" w:rsidRPr="00323289">
        <w:rPr>
          <w:rFonts w:asciiTheme="majorHAnsi" w:eastAsia="Calibri" w:hAnsiTheme="majorHAnsi" w:cstheme="majorHAnsi"/>
          <w:rtl/>
        </w:rPr>
        <w:t>.</w:t>
      </w:r>
      <w:r w:rsidR="009A55FB" w:rsidRPr="00323289">
        <w:rPr>
          <w:rFonts w:asciiTheme="majorHAnsi" w:eastAsia="Calibri" w:hAnsiTheme="majorHAnsi" w:cstheme="majorHAnsi"/>
          <w:rtl/>
        </w:rPr>
        <w:t xml:space="preserve"> התוצאות שהתקבלו גובשו לכדי תחזית למקורות והשימושי</w:t>
      </w:r>
      <w:r w:rsidR="00E23659" w:rsidRPr="00323289">
        <w:rPr>
          <w:rFonts w:asciiTheme="majorHAnsi" w:eastAsia="Calibri" w:hAnsiTheme="majorHAnsi" w:cstheme="majorHAnsi"/>
          <w:rtl/>
        </w:rPr>
        <w:t>ם, וזו תרמה לגיבוש התחזית שמוצגת כאן.</w:t>
      </w:r>
    </w:p>
    <w:p w14:paraId="0FBEEA0E" w14:textId="77777777" w:rsidR="003B2D4B" w:rsidRPr="00323289" w:rsidRDefault="003B2D4B" w:rsidP="00910C95">
      <w:pPr>
        <w:pStyle w:val="a"/>
        <w:rPr>
          <w:rFonts w:asciiTheme="majorHAnsi" w:hAnsiTheme="majorHAnsi" w:cstheme="majorHAnsi"/>
          <w:rtl/>
        </w:rPr>
      </w:pPr>
      <w:r w:rsidRPr="00323289">
        <w:rPr>
          <w:rFonts w:asciiTheme="majorHAnsi" w:hAnsiTheme="majorHAnsi" w:cstheme="majorHAnsi"/>
          <w:rtl/>
        </w:rPr>
        <w:t>הסביבה העולמית</w:t>
      </w:r>
    </w:p>
    <w:p w14:paraId="20785F5C" w14:textId="151DD468" w:rsidR="000262FD" w:rsidRPr="00323289" w:rsidRDefault="000262FD" w:rsidP="0096462D">
      <w:pPr>
        <w:spacing w:after="120"/>
        <w:jc w:val="both"/>
        <w:rPr>
          <w:rFonts w:asciiTheme="majorHAnsi" w:eastAsia="Calibri" w:hAnsiTheme="majorHAnsi" w:cstheme="majorHAnsi"/>
          <w:rtl/>
        </w:rPr>
      </w:pPr>
      <w:r w:rsidRPr="00323289">
        <w:rPr>
          <w:rFonts w:asciiTheme="majorHAnsi" w:eastAsia="Calibri" w:hAnsiTheme="majorHAnsi" w:cstheme="majorHAnsi"/>
          <w:rtl/>
        </w:rPr>
        <w:t xml:space="preserve">הערכותינו לגבי ההתפתחויות בסביבה העולמית מתבססות בעיקרן על התחזיות שמגבשים מוסדות בין-לאומיים ובתי השקעות זרים. ההנחות המרכזיות לגבי הסביבה העולמית </w:t>
      </w:r>
      <w:r w:rsidR="005B4214" w:rsidRPr="00323289">
        <w:rPr>
          <w:rFonts w:asciiTheme="majorHAnsi" w:eastAsia="Calibri" w:hAnsiTheme="majorHAnsi" w:cstheme="majorHAnsi"/>
          <w:rtl/>
        </w:rPr>
        <w:t xml:space="preserve">השתנו במידה מועטה בלבד בהשוואה </w:t>
      </w:r>
      <w:r w:rsidR="000F0E4C" w:rsidRPr="00323289">
        <w:rPr>
          <w:rFonts w:asciiTheme="majorHAnsi" w:eastAsia="Calibri" w:hAnsiTheme="majorHAnsi" w:cstheme="majorHAnsi"/>
          <w:rtl/>
        </w:rPr>
        <w:t xml:space="preserve">לאלו ששימשו </w:t>
      </w:r>
      <w:r w:rsidRPr="00323289">
        <w:rPr>
          <w:rFonts w:asciiTheme="majorHAnsi" w:eastAsia="Calibri" w:hAnsiTheme="majorHAnsi" w:cstheme="majorHAnsi"/>
          <w:rtl/>
        </w:rPr>
        <w:t xml:space="preserve">לתחזית שפורסמה </w:t>
      </w:r>
      <w:r w:rsidR="00D45B5B" w:rsidRPr="00323289">
        <w:rPr>
          <w:rFonts w:asciiTheme="majorHAnsi" w:eastAsia="Calibri" w:hAnsiTheme="majorHAnsi" w:cstheme="majorHAnsi"/>
          <w:rtl/>
        </w:rPr>
        <w:t>בינואר</w:t>
      </w:r>
      <w:r w:rsidRPr="00323289">
        <w:rPr>
          <w:rFonts w:asciiTheme="majorHAnsi" w:eastAsia="Calibri" w:hAnsiTheme="majorHAnsi" w:cstheme="majorHAnsi"/>
          <w:rtl/>
        </w:rPr>
        <w:t xml:space="preserve">. בהתאם, אנו מניחים כי </w:t>
      </w:r>
      <w:r w:rsidR="00815F31" w:rsidRPr="00323289">
        <w:rPr>
          <w:rFonts w:asciiTheme="majorHAnsi" w:eastAsia="Calibri" w:hAnsiTheme="majorHAnsi" w:cstheme="majorHAnsi"/>
          <w:rtl/>
        </w:rPr>
        <w:t xml:space="preserve">התוצר </w:t>
      </w:r>
      <w:r w:rsidRPr="00323289">
        <w:rPr>
          <w:rFonts w:asciiTheme="majorHAnsi" w:eastAsia="Calibri" w:hAnsiTheme="majorHAnsi" w:cstheme="majorHAnsi"/>
          <w:rtl/>
        </w:rPr>
        <w:t xml:space="preserve">במשקים המפותחים </w:t>
      </w:r>
      <w:r w:rsidR="00815F31" w:rsidRPr="00323289">
        <w:rPr>
          <w:rFonts w:asciiTheme="majorHAnsi" w:eastAsia="Calibri" w:hAnsiTheme="majorHAnsi" w:cstheme="majorHAnsi"/>
          <w:rtl/>
        </w:rPr>
        <w:t xml:space="preserve">יצמח בשיעורים של </w:t>
      </w:r>
      <w:r w:rsidR="00D45B5B" w:rsidRPr="00323289">
        <w:rPr>
          <w:rFonts w:asciiTheme="majorHAnsi" w:eastAsia="Calibri" w:hAnsiTheme="majorHAnsi" w:cstheme="majorHAnsi"/>
          <w:rtl/>
        </w:rPr>
        <w:t>1</w:t>
      </w:r>
      <w:r w:rsidRPr="00323289">
        <w:rPr>
          <w:rFonts w:asciiTheme="majorHAnsi" w:eastAsia="Calibri" w:hAnsiTheme="majorHAnsi" w:cstheme="majorHAnsi"/>
          <w:rtl/>
        </w:rPr>
        <w:t>% בשנת 2024</w:t>
      </w:r>
      <w:r w:rsidR="00B64662" w:rsidRPr="00323289">
        <w:rPr>
          <w:rFonts w:asciiTheme="majorHAnsi" w:eastAsia="Calibri" w:hAnsiTheme="majorHAnsi" w:cstheme="majorHAnsi"/>
          <w:rtl/>
        </w:rPr>
        <w:t xml:space="preserve"> (לעומת 0.8% בתחזית ינואר)</w:t>
      </w:r>
      <w:r w:rsidR="00575C72" w:rsidRPr="00323289">
        <w:rPr>
          <w:rFonts w:asciiTheme="majorHAnsi" w:eastAsia="Calibri" w:hAnsiTheme="majorHAnsi" w:cstheme="majorHAnsi"/>
          <w:rtl/>
        </w:rPr>
        <w:t xml:space="preserve"> </w:t>
      </w:r>
      <w:r w:rsidR="00F8106B" w:rsidRPr="00323289">
        <w:rPr>
          <w:rFonts w:asciiTheme="majorHAnsi" w:eastAsia="Calibri" w:hAnsiTheme="majorHAnsi" w:cstheme="majorHAnsi"/>
          <w:rtl/>
        </w:rPr>
        <w:t>ו</w:t>
      </w:r>
      <w:r w:rsidR="00815F31" w:rsidRPr="00323289">
        <w:rPr>
          <w:rFonts w:asciiTheme="majorHAnsi" w:eastAsia="Calibri" w:hAnsiTheme="majorHAnsi" w:cstheme="majorHAnsi"/>
          <w:rtl/>
        </w:rPr>
        <w:t xml:space="preserve">של </w:t>
      </w:r>
      <w:r w:rsidR="00F8106B" w:rsidRPr="00323289">
        <w:rPr>
          <w:rFonts w:asciiTheme="majorHAnsi" w:eastAsia="Calibri" w:hAnsiTheme="majorHAnsi" w:cstheme="majorHAnsi"/>
          <w:rtl/>
        </w:rPr>
        <w:t>1.</w:t>
      </w:r>
      <w:r w:rsidR="00D45B5B" w:rsidRPr="00323289">
        <w:rPr>
          <w:rFonts w:asciiTheme="majorHAnsi" w:eastAsia="Calibri" w:hAnsiTheme="majorHAnsi" w:cstheme="majorHAnsi"/>
          <w:rtl/>
        </w:rPr>
        <w:t>4</w:t>
      </w:r>
      <w:r w:rsidR="00FF75A8" w:rsidRPr="00323289">
        <w:rPr>
          <w:rFonts w:asciiTheme="majorHAnsi" w:eastAsia="Calibri" w:hAnsiTheme="majorHAnsi" w:cstheme="majorHAnsi"/>
          <w:rtl/>
        </w:rPr>
        <w:t>%</w:t>
      </w:r>
      <w:r w:rsidR="00F8106B" w:rsidRPr="00323289">
        <w:rPr>
          <w:rFonts w:asciiTheme="majorHAnsi" w:eastAsia="Calibri" w:hAnsiTheme="majorHAnsi" w:cstheme="majorHAnsi"/>
          <w:rtl/>
        </w:rPr>
        <w:t xml:space="preserve"> בשנת 2025</w:t>
      </w:r>
      <w:r w:rsidR="00B64662" w:rsidRPr="00323289">
        <w:rPr>
          <w:rFonts w:asciiTheme="majorHAnsi" w:eastAsia="Calibri" w:hAnsiTheme="majorHAnsi" w:cstheme="majorHAnsi"/>
          <w:rtl/>
        </w:rPr>
        <w:t xml:space="preserve"> (לעומת 1.5% בתחזית ינואר)</w:t>
      </w:r>
      <w:r w:rsidRPr="00323289">
        <w:rPr>
          <w:rFonts w:asciiTheme="majorHAnsi" w:eastAsia="Calibri" w:hAnsiTheme="majorHAnsi" w:cstheme="majorHAnsi"/>
          <w:rtl/>
        </w:rPr>
        <w:t xml:space="preserve">. אשר לסחר העולמי, אנו מניחים כי הוא </w:t>
      </w:r>
      <w:r w:rsidR="00815F31" w:rsidRPr="00323289">
        <w:rPr>
          <w:rFonts w:asciiTheme="majorHAnsi" w:eastAsia="Calibri" w:hAnsiTheme="majorHAnsi" w:cstheme="majorHAnsi"/>
          <w:rtl/>
        </w:rPr>
        <w:t xml:space="preserve">יצמח </w:t>
      </w:r>
      <w:r w:rsidR="00043DA5" w:rsidRPr="00323289">
        <w:rPr>
          <w:rFonts w:asciiTheme="majorHAnsi" w:eastAsia="Calibri" w:hAnsiTheme="majorHAnsi" w:cstheme="majorHAnsi"/>
          <w:rtl/>
        </w:rPr>
        <w:t>ב</w:t>
      </w:r>
      <w:r w:rsidR="006649F5" w:rsidRPr="00323289">
        <w:rPr>
          <w:rFonts w:asciiTheme="majorHAnsi" w:eastAsia="Calibri" w:hAnsiTheme="majorHAnsi" w:cstheme="majorHAnsi"/>
          <w:rtl/>
        </w:rPr>
        <w:t>-</w:t>
      </w:r>
      <w:r w:rsidR="00043DA5" w:rsidRPr="00323289">
        <w:rPr>
          <w:rFonts w:asciiTheme="majorHAnsi" w:eastAsia="Calibri" w:hAnsiTheme="majorHAnsi" w:cstheme="majorHAnsi"/>
          <w:rtl/>
        </w:rPr>
        <w:t>3.</w:t>
      </w:r>
      <w:r w:rsidR="00312603" w:rsidRPr="00323289">
        <w:rPr>
          <w:rFonts w:asciiTheme="majorHAnsi" w:eastAsia="Calibri" w:hAnsiTheme="majorHAnsi" w:cstheme="majorHAnsi"/>
          <w:rtl/>
        </w:rPr>
        <w:t>1</w:t>
      </w:r>
      <w:r w:rsidR="00043DA5" w:rsidRPr="00323289">
        <w:rPr>
          <w:rFonts w:asciiTheme="majorHAnsi" w:eastAsia="Calibri" w:hAnsiTheme="majorHAnsi" w:cstheme="majorHAnsi"/>
          <w:rtl/>
        </w:rPr>
        <w:t>% בשנת 2024</w:t>
      </w:r>
      <w:r w:rsidR="00B64662" w:rsidRPr="00323289">
        <w:rPr>
          <w:rFonts w:asciiTheme="majorHAnsi" w:eastAsia="Calibri" w:hAnsiTheme="majorHAnsi" w:cstheme="majorHAnsi"/>
          <w:rtl/>
        </w:rPr>
        <w:t xml:space="preserve"> (לעומת 3.5% בתחזית ינואר)</w:t>
      </w:r>
      <w:r w:rsidR="00043DA5" w:rsidRPr="00323289">
        <w:rPr>
          <w:rFonts w:asciiTheme="majorHAnsi" w:eastAsia="Calibri" w:hAnsiTheme="majorHAnsi" w:cstheme="majorHAnsi"/>
          <w:rtl/>
        </w:rPr>
        <w:t xml:space="preserve"> </w:t>
      </w:r>
      <w:r w:rsidRPr="00323289">
        <w:rPr>
          <w:rFonts w:asciiTheme="majorHAnsi" w:eastAsia="Calibri" w:hAnsiTheme="majorHAnsi" w:cstheme="majorHAnsi"/>
          <w:rtl/>
        </w:rPr>
        <w:t>ו</w:t>
      </w:r>
      <w:r w:rsidR="00043DA5" w:rsidRPr="00323289">
        <w:rPr>
          <w:rFonts w:asciiTheme="majorHAnsi" w:eastAsia="Calibri" w:hAnsiTheme="majorHAnsi" w:cstheme="majorHAnsi"/>
          <w:rtl/>
        </w:rPr>
        <w:t>ב</w:t>
      </w:r>
      <w:r w:rsidRPr="00323289">
        <w:rPr>
          <w:rFonts w:asciiTheme="majorHAnsi" w:eastAsia="Calibri" w:hAnsiTheme="majorHAnsi" w:cstheme="majorHAnsi"/>
          <w:rtl/>
        </w:rPr>
        <w:t>-</w:t>
      </w:r>
      <w:r w:rsidR="00043DA5" w:rsidRPr="00323289">
        <w:rPr>
          <w:rFonts w:asciiTheme="majorHAnsi" w:eastAsia="Calibri" w:hAnsiTheme="majorHAnsi" w:cstheme="majorHAnsi"/>
          <w:rtl/>
        </w:rPr>
        <w:t>3</w:t>
      </w:r>
      <w:r w:rsidR="009D7285" w:rsidRPr="00323289">
        <w:rPr>
          <w:rFonts w:asciiTheme="majorHAnsi" w:eastAsia="Calibri" w:hAnsiTheme="majorHAnsi" w:cstheme="majorHAnsi"/>
          <w:rtl/>
        </w:rPr>
        <w:t>.</w:t>
      </w:r>
      <w:r w:rsidR="00312603" w:rsidRPr="00323289">
        <w:rPr>
          <w:rFonts w:asciiTheme="majorHAnsi" w:eastAsia="Calibri" w:hAnsiTheme="majorHAnsi" w:cstheme="majorHAnsi"/>
          <w:rtl/>
        </w:rPr>
        <w:t>4</w:t>
      </w:r>
      <w:r w:rsidR="00043DA5" w:rsidRPr="00323289">
        <w:rPr>
          <w:rFonts w:asciiTheme="majorHAnsi" w:eastAsia="Calibri" w:hAnsiTheme="majorHAnsi" w:cstheme="majorHAnsi"/>
          <w:rtl/>
        </w:rPr>
        <w:t>%</w:t>
      </w:r>
      <w:r w:rsidRPr="00323289">
        <w:rPr>
          <w:rFonts w:asciiTheme="majorHAnsi" w:eastAsia="Calibri" w:hAnsiTheme="majorHAnsi" w:cstheme="majorHAnsi"/>
          <w:rtl/>
        </w:rPr>
        <w:t xml:space="preserve"> בשנ</w:t>
      </w:r>
      <w:r w:rsidR="00043DA5" w:rsidRPr="00323289">
        <w:rPr>
          <w:rFonts w:asciiTheme="majorHAnsi" w:eastAsia="Calibri" w:hAnsiTheme="majorHAnsi" w:cstheme="majorHAnsi"/>
          <w:rtl/>
        </w:rPr>
        <w:t>ת 2025</w:t>
      </w:r>
      <w:r w:rsidR="00B64662" w:rsidRPr="00323289">
        <w:rPr>
          <w:rFonts w:asciiTheme="majorHAnsi" w:eastAsia="Calibri" w:hAnsiTheme="majorHAnsi" w:cstheme="majorHAnsi"/>
          <w:rtl/>
        </w:rPr>
        <w:t xml:space="preserve"> (לעומת 3.0% בתחזית ינואר)</w:t>
      </w:r>
      <w:r w:rsidRPr="00323289">
        <w:rPr>
          <w:rFonts w:asciiTheme="majorHAnsi" w:eastAsia="Calibri" w:hAnsiTheme="majorHAnsi" w:cstheme="majorHAnsi"/>
          <w:rtl/>
        </w:rPr>
        <w:t>. התחזיות לאינפלציה במשקים המפותחים</w:t>
      </w:r>
      <w:r w:rsidR="00822AEA" w:rsidRPr="00323289">
        <w:rPr>
          <w:rFonts w:asciiTheme="majorHAnsi" w:eastAsia="Calibri" w:hAnsiTheme="majorHAnsi" w:cstheme="majorHAnsi"/>
          <w:rtl/>
        </w:rPr>
        <w:t xml:space="preserve"> לשנת 2024</w:t>
      </w:r>
      <w:r w:rsidRPr="00323289">
        <w:rPr>
          <w:rFonts w:asciiTheme="majorHAnsi" w:eastAsia="Calibri" w:hAnsiTheme="majorHAnsi" w:cstheme="majorHAnsi"/>
          <w:rtl/>
        </w:rPr>
        <w:t xml:space="preserve"> עודכנ</w:t>
      </w:r>
      <w:r w:rsidR="00822AEA" w:rsidRPr="00323289">
        <w:rPr>
          <w:rFonts w:asciiTheme="majorHAnsi" w:eastAsia="Calibri" w:hAnsiTheme="majorHAnsi" w:cstheme="majorHAnsi"/>
          <w:rtl/>
        </w:rPr>
        <w:t>ה</w:t>
      </w:r>
      <w:r w:rsidRPr="00323289">
        <w:rPr>
          <w:rFonts w:asciiTheme="majorHAnsi" w:eastAsia="Calibri" w:hAnsiTheme="majorHAnsi" w:cstheme="majorHAnsi"/>
          <w:rtl/>
        </w:rPr>
        <w:t xml:space="preserve"> </w:t>
      </w:r>
      <w:r w:rsidR="00DC3ECA" w:rsidRPr="00323289">
        <w:rPr>
          <w:rFonts w:asciiTheme="majorHAnsi" w:eastAsia="Calibri" w:hAnsiTheme="majorHAnsi" w:cstheme="majorHAnsi"/>
          <w:rtl/>
        </w:rPr>
        <w:t>ל-</w:t>
      </w:r>
      <w:r w:rsidR="0026430D" w:rsidRPr="00323289">
        <w:rPr>
          <w:rFonts w:asciiTheme="majorHAnsi" w:eastAsia="Calibri" w:hAnsiTheme="majorHAnsi" w:cstheme="majorHAnsi"/>
          <w:rtl/>
        </w:rPr>
        <w:t>2.</w:t>
      </w:r>
      <w:r w:rsidR="00EE4300" w:rsidRPr="00323289">
        <w:rPr>
          <w:rFonts w:asciiTheme="majorHAnsi" w:eastAsia="Calibri" w:hAnsiTheme="majorHAnsi" w:cstheme="majorHAnsi"/>
          <w:rtl/>
        </w:rPr>
        <w:t>4</w:t>
      </w:r>
      <w:r w:rsidR="00DC3ECA" w:rsidRPr="00323289">
        <w:rPr>
          <w:rFonts w:asciiTheme="majorHAnsi" w:eastAsia="Calibri" w:hAnsiTheme="majorHAnsi" w:cstheme="majorHAnsi"/>
          <w:rtl/>
        </w:rPr>
        <w:t>%</w:t>
      </w:r>
      <w:r w:rsidR="00822AEA" w:rsidRPr="00323289">
        <w:rPr>
          <w:rFonts w:asciiTheme="majorHAnsi" w:eastAsia="Calibri" w:hAnsiTheme="majorHAnsi" w:cstheme="majorHAnsi"/>
          <w:rtl/>
        </w:rPr>
        <w:t xml:space="preserve"> (לעומת 2.3% בתחזית ינואר),</w:t>
      </w:r>
      <w:r w:rsidR="00DC3ECA" w:rsidRPr="00323289">
        <w:rPr>
          <w:rFonts w:asciiTheme="majorHAnsi" w:eastAsia="Calibri" w:hAnsiTheme="majorHAnsi" w:cstheme="majorHAnsi"/>
          <w:rtl/>
        </w:rPr>
        <w:t xml:space="preserve"> </w:t>
      </w:r>
      <w:r w:rsidR="00822AEA" w:rsidRPr="00323289">
        <w:rPr>
          <w:rFonts w:asciiTheme="majorHAnsi" w:eastAsia="Calibri" w:hAnsiTheme="majorHAnsi" w:cstheme="majorHAnsi"/>
          <w:rtl/>
        </w:rPr>
        <w:t xml:space="preserve">ואילו עבור שנת 2025 התחזית היא </w:t>
      </w:r>
      <w:r w:rsidR="0026430D" w:rsidRPr="00323289">
        <w:rPr>
          <w:rFonts w:asciiTheme="majorHAnsi" w:eastAsia="Calibri" w:hAnsiTheme="majorHAnsi" w:cstheme="majorHAnsi"/>
          <w:rtl/>
        </w:rPr>
        <w:t>2.2</w:t>
      </w:r>
      <w:r w:rsidR="00DC3ECA" w:rsidRPr="00323289">
        <w:rPr>
          <w:rFonts w:asciiTheme="majorHAnsi" w:eastAsia="Calibri" w:hAnsiTheme="majorHAnsi" w:cstheme="majorHAnsi"/>
          <w:rtl/>
        </w:rPr>
        <w:t>%</w:t>
      </w:r>
      <w:r w:rsidR="00822AEA" w:rsidRPr="00323289">
        <w:rPr>
          <w:rFonts w:asciiTheme="majorHAnsi" w:eastAsia="Calibri" w:hAnsiTheme="majorHAnsi" w:cstheme="majorHAnsi"/>
          <w:rtl/>
        </w:rPr>
        <w:t>,</w:t>
      </w:r>
      <w:r w:rsidR="00DC3ECA" w:rsidRPr="00323289">
        <w:rPr>
          <w:rFonts w:asciiTheme="majorHAnsi" w:eastAsia="Calibri" w:hAnsiTheme="majorHAnsi" w:cstheme="majorHAnsi"/>
          <w:rtl/>
        </w:rPr>
        <w:t xml:space="preserve"> </w:t>
      </w:r>
      <w:r w:rsidR="0026430D" w:rsidRPr="00323289">
        <w:rPr>
          <w:rFonts w:asciiTheme="majorHAnsi" w:eastAsia="Calibri" w:hAnsiTheme="majorHAnsi" w:cstheme="majorHAnsi"/>
          <w:rtl/>
        </w:rPr>
        <w:t>בדומה</w:t>
      </w:r>
      <w:r w:rsidR="00DC3ECA" w:rsidRPr="00323289">
        <w:rPr>
          <w:rFonts w:asciiTheme="majorHAnsi" w:eastAsia="Calibri" w:hAnsiTheme="majorHAnsi" w:cstheme="majorHAnsi"/>
          <w:rtl/>
        </w:rPr>
        <w:t xml:space="preserve"> </w:t>
      </w:r>
      <w:r w:rsidR="0026430D" w:rsidRPr="00323289">
        <w:rPr>
          <w:rFonts w:asciiTheme="majorHAnsi" w:eastAsia="Calibri" w:hAnsiTheme="majorHAnsi" w:cstheme="majorHAnsi"/>
          <w:rtl/>
        </w:rPr>
        <w:t>ל</w:t>
      </w:r>
      <w:r w:rsidR="00DC3ECA" w:rsidRPr="00323289">
        <w:rPr>
          <w:rFonts w:asciiTheme="majorHAnsi" w:eastAsia="Calibri" w:hAnsiTheme="majorHAnsi" w:cstheme="majorHAnsi"/>
          <w:rtl/>
        </w:rPr>
        <w:t xml:space="preserve">תחזית </w:t>
      </w:r>
      <w:r w:rsidR="0096462D" w:rsidRPr="00323289">
        <w:rPr>
          <w:rFonts w:asciiTheme="majorHAnsi" w:eastAsia="Calibri" w:hAnsiTheme="majorHAnsi" w:cstheme="majorHAnsi"/>
          <w:rtl/>
        </w:rPr>
        <w:t>מ</w:t>
      </w:r>
      <w:r w:rsidR="0026430D" w:rsidRPr="00323289">
        <w:rPr>
          <w:rFonts w:asciiTheme="majorHAnsi" w:eastAsia="Calibri" w:hAnsiTheme="majorHAnsi" w:cstheme="majorHAnsi"/>
          <w:rtl/>
        </w:rPr>
        <w:t>ינואר</w:t>
      </w:r>
      <w:r w:rsidR="00865D9A" w:rsidRPr="00323289">
        <w:rPr>
          <w:rFonts w:asciiTheme="majorHAnsi" w:eastAsia="Calibri" w:hAnsiTheme="majorHAnsi" w:cstheme="majorHAnsi"/>
          <w:rtl/>
        </w:rPr>
        <w:t xml:space="preserve">. </w:t>
      </w:r>
      <w:r w:rsidRPr="00323289">
        <w:rPr>
          <w:rFonts w:asciiTheme="majorHAnsi" w:eastAsia="Calibri" w:hAnsiTheme="majorHAnsi" w:cstheme="majorHAnsi"/>
          <w:rtl/>
        </w:rPr>
        <w:t xml:space="preserve">התחזית של בתי ההשקעות לריבית הממוצעת במדינות המפותחות </w:t>
      </w:r>
      <w:r w:rsidR="0096462D" w:rsidRPr="00323289">
        <w:rPr>
          <w:rFonts w:asciiTheme="majorHAnsi" w:eastAsia="Calibri" w:hAnsiTheme="majorHAnsi" w:cstheme="majorHAnsi"/>
          <w:rtl/>
        </w:rPr>
        <w:t>הופחתה במעט, ו</w:t>
      </w:r>
      <w:r w:rsidR="00815F31" w:rsidRPr="00323289">
        <w:rPr>
          <w:rFonts w:asciiTheme="majorHAnsi" w:eastAsia="Calibri" w:hAnsiTheme="majorHAnsi" w:cstheme="majorHAnsi"/>
          <w:rtl/>
        </w:rPr>
        <w:t xml:space="preserve">היא </w:t>
      </w:r>
      <w:r w:rsidR="0096462D" w:rsidRPr="00323289">
        <w:rPr>
          <w:rFonts w:asciiTheme="majorHAnsi" w:eastAsia="Calibri" w:hAnsiTheme="majorHAnsi" w:cstheme="majorHAnsi"/>
          <w:rtl/>
        </w:rPr>
        <w:t xml:space="preserve">עומדת על </w:t>
      </w:r>
      <w:r w:rsidRPr="00323289">
        <w:rPr>
          <w:rFonts w:asciiTheme="majorHAnsi" w:eastAsia="Calibri" w:hAnsiTheme="majorHAnsi" w:cstheme="majorHAnsi"/>
          <w:rtl/>
        </w:rPr>
        <w:t>3.</w:t>
      </w:r>
      <w:r w:rsidR="003C2650" w:rsidRPr="00323289">
        <w:rPr>
          <w:rFonts w:asciiTheme="majorHAnsi" w:eastAsia="Calibri" w:hAnsiTheme="majorHAnsi" w:cstheme="majorHAnsi"/>
          <w:rtl/>
        </w:rPr>
        <w:t>8</w:t>
      </w:r>
      <w:r w:rsidRPr="00323289">
        <w:rPr>
          <w:rFonts w:asciiTheme="majorHAnsi" w:eastAsia="Calibri" w:hAnsiTheme="majorHAnsi" w:cstheme="majorHAnsi"/>
          <w:rtl/>
        </w:rPr>
        <w:t>% בסוף 2024 (</w:t>
      </w:r>
      <w:r w:rsidR="003C2650" w:rsidRPr="00323289">
        <w:rPr>
          <w:rFonts w:asciiTheme="majorHAnsi" w:eastAsia="Calibri" w:hAnsiTheme="majorHAnsi" w:cstheme="majorHAnsi"/>
          <w:rtl/>
        </w:rPr>
        <w:t>לעומת 3.9% בתחזית ינואר</w:t>
      </w:r>
      <w:r w:rsidRPr="00323289">
        <w:rPr>
          <w:rFonts w:asciiTheme="majorHAnsi" w:eastAsia="Calibri" w:hAnsiTheme="majorHAnsi" w:cstheme="majorHAnsi"/>
          <w:rtl/>
        </w:rPr>
        <w:t>)</w:t>
      </w:r>
      <w:r w:rsidR="004603E6" w:rsidRPr="00323289">
        <w:rPr>
          <w:rFonts w:asciiTheme="majorHAnsi" w:eastAsia="Calibri" w:hAnsiTheme="majorHAnsi" w:cstheme="majorHAnsi"/>
          <w:rtl/>
        </w:rPr>
        <w:t xml:space="preserve"> ו</w:t>
      </w:r>
      <w:r w:rsidR="0096462D" w:rsidRPr="00323289">
        <w:rPr>
          <w:rFonts w:asciiTheme="majorHAnsi" w:eastAsia="Calibri" w:hAnsiTheme="majorHAnsi" w:cstheme="majorHAnsi"/>
          <w:rtl/>
        </w:rPr>
        <w:t xml:space="preserve">על </w:t>
      </w:r>
      <w:r w:rsidR="004603E6" w:rsidRPr="00323289">
        <w:rPr>
          <w:rFonts w:asciiTheme="majorHAnsi" w:eastAsia="Calibri" w:hAnsiTheme="majorHAnsi" w:cstheme="majorHAnsi"/>
          <w:rtl/>
        </w:rPr>
        <w:t>3.</w:t>
      </w:r>
      <w:r w:rsidR="008E457A" w:rsidRPr="00323289">
        <w:rPr>
          <w:rFonts w:asciiTheme="majorHAnsi" w:eastAsia="Calibri" w:hAnsiTheme="majorHAnsi" w:cstheme="majorHAnsi"/>
          <w:rtl/>
        </w:rPr>
        <w:t>0</w:t>
      </w:r>
      <w:r w:rsidR="004603E6" w:rsidRPr="00323289">
        <w:rPr>
          <w:rFonts w:asciiTheme="majorHAnsi" w:eastAsia="Calibri" w:hAnsiTheme="majorHAnsi" w:cstheme="majorHAnsi"/>
          <w:rtl/>
        </w:rPr>
        <w:t xml:space="preserve">% </w:t>
      </w:r>
      <w:r w:rsidR="00815F31" w:rsidRPr="00323289">
        <w:rPr>
          <w:rFonts w:asciiTheme="majorHAnsi" w:eastAsia="Calibri" w:hAnsiTheme="majorHAnsi" w:cstheme="majorHAnsi"/>
          <w:rtl/>
        </w:rPr>
        <w:t>ב</w:t>
      </w:r>
      <w:r w:rsidR="004603E6" w:rsidRPr="00323289">
        <w:rPr>
          <w:rFonts w:asciiTheme="majorHAnsi" w:eastAsia="Calibri" w:hAnsiTheme="majorHAnsi" w:cstheme="majorHAnsi"/>
          <w:rtl/>
        </w:rPr>
        <w:t>סוף 2025</w:t>
      </w:r>
      <w:r w:rsidR="008E457A" w:rsidRPr="00323289">
        <w:rPr>
          <w:rFonts w:asciiTheme="majorHAnsi" w:eastAsia="Calibri" w:hAnsiTheme="majorHAnsi" w:cstheme="majorHAnsi"/>
          <w:rtl/>
        </w:rPr>
        <w:t xml:space="preserve"> (</w:t>
      </w:r>
      <w:r w:rsidR="0096462D" w:rsidRPr="00323289">
        <w:rPr>
          <w:rFonts w:asciiTheme="majorHAnsi" w:eastAsia="Calibri" w:hAnsiTheme="majorHAnsi" w:cstheme="majorHAnsi"/>
          <w:rtl/>
        </w:rPr>
        <w:t>לעומת 3.1% ב</w:t>
      </w:r>
      <w:r w:rsidR="008E457A" w:rsidRPr="00323289">
        <w:rPr>
          <w:rFonts w:asciiTheme="majorHAnsi" w:eastAsia="Calibri" w:hAnsiTheme="majorHAnsi" w:cstheme="majorHAnsi"/>
          <w:rtl/>
        </w:rPr>
        <w:t>תחזית ינואר)</w:t>
      </w:r>
      <w:r w:rsidRPr="00323289">
        <w:rPr>
          <w:rFonts w:asciiTheme="majorHAnsi" w:eastAsia="Calibri" w:hAnsiTheme="majorHAnsi" w:cstheme="majorHAnsi"/>
          <w:rtl/>
        </w:rPr>
        <w:t xml:space="preserve">. מחירה של חבית נפט מסוג "ברנט" </w:t>
      </w:r>
      <w:r w:rsidR="00D4458B" w:rsidRPr="00323289">
        <w:rPr>
          <w:rFonts w:asciiTheme="majorHAnsi" w:eastAsia="Calibri" w:hAnsiTheme="majorHAnsi" w:cstheme="majorHAnsi"/>
          <w:rtl/>
        </w:rPr>
        <w:t>עלה</w:t>
      </w:r>
      <w:r w:rsidR="00DC4E14" w:rsidRPr="00323289">
        <w:rPr>
          <w:rFonts w:asciiTheme="majorHAnsi" w:eastAsia="Calibri" w:hAnsiTheme="majorHAnsi" w:cstheme="majorHAnsi"/>
          <w:rtl/>
        </w:rPr>
        <w:t xml:space="preserve"> לרמה</w:t>
      </w:r>
      <w:r w:rsidR="00D4458B" w:rsidRPr="00323289">
        <w:rPr>
          <w:rFonts w:asciiTheme="majorHAnsi" w:eastAsia="Calibri" w:hAnsiTheme="majorHAnsi" w:cstheme="majorHAnsi"/>
          <w:rtl/>
        </w:rPr>
        <w:t xml:space="preserve"> של כ-</w:t>
      </w:r>
      <w:r w:rsidR="00447D68" w:rsidRPr="00323289">
        <w:rPr>
          <w:rFonts w:asciiTheme="majorHAnsi" w:eastAsia="Calibri" w:hAnsiTheme="majorHAnsi" w:cstheme="majorHAnsi"/>
          <w:rtl/>
        </w:rPr>
        <w:t>90</w:t>
      </w:r>
      <w:r w:rsidR="00920316" w:rsidRPr="00323289">
        <w:rPr>
          <w:rFonts w:asciiTheme="majorHAnsi" w:eastAsia="Calibri" w:hAnsiTheme="majorHAnsi" w:cstheme="majorHAnsi"/>
          <w:rtl/>
        </w:rPr>
        <w:t>$</w:t>
      </w:r>
      <w:r w:rsidR="00D4458B" w:rsidRPr="00323289">
        <w:rPr>
          <w:rFonts w:asciiTheme="majorHAnsi" w:eastAsia="Calibri" w:hAnsiTheme="majorHAnsi" w:cstheme="majorHAnsi"/>
          <w:rtl/>
        </w:rPr>
        <w:t>, לעומת כ-78$</w:t>
      </w:r>
      <w:r w:rsidR="00DC4E14" w:rsidRPr="00323289">
        <w:rPr>
          <w:rFonts w:asciiTheme="majorHAnsi" w:eastAsia="Calibri" w:hAnsiTheme="majorHAnsi" w:cstheme="majorHAnsi"/>
          <w:rtl/>
        </w:rPr>
        <w:t xml:space="preserve"> בעת</w:t>
      </w:r>
      <w:r w:rsidR="00815F31" w:rsidRPr="00323289">
        <w:rPr>
          <w:rFonts w:asciiTheme="majorHAnsi" w:eastAsia="Calibri" w:hAnsiTheme="majorHAnsi" w:cstheme="majorHAnsi"/>
          <w:rtl/>
        </w:rPr>
        <w:t xml:space="preserve"> </w:t>
      </w:r>
      <w:r w:rsidRPr="00323289">
        <w:rPr>
          <w:rFonts w:asciiTheme="majorHAnsi" w:eastAsia="Calibri" w:hAnsiTheme="majorHAnsi" w:cstheme="majorHAnsi"/>
          <w:rtl/>
        </w:rPr>
        <w:t xml:space="preserve">עריכת תחזית </w:t>
      </w:r>
      <w:r w:rsidR="00D4458B" w:rsidRPr="00323289">
        <w:rPr>
          <w:rFonts w:asciiTheme="majorHAnsi" w:eastAsia="Calibri" w:hAnsiTheme="majorHAnsi" w:cstheme="majorHAnsi"/>
          <w:rtl/>
        </w:rPr>
        <w:t>ינואר</w:t>
      </w:r>
      <w:r w:rsidRPr="00323289">
        <w:rPr>
          <w:rFonts w:asciiTheme="majorHAnsi" w:eastAsia="Calibri" w:hAnsiTheme="majorHAnsi" w:cstheme="majorHAnsi"/>
          <w:rtl/>
        </w:rPr>
        <w:t>.</w:t>
      </w:r>
    </w:p>
    <w:p w14:paraId="0A57DA9F" w14:textId="77777777" w:rsidR="003B2D4B" w:rsidRPr="00323289" w:rsidRDefault="003B2D4B" w:rsidP="00910C95">
      <w:pPr>
        <w:pStyle w:val="a"/>
        <w:rPr>
          <w:rFonts w:asciiTheme="majorHAnsi" w:hAnsiTheme="majorHAnsi" w:cstheme="majorHAnsi"/>
          <w:rtl/>
        </w:rPr>
      </w:pPr>
      <w:r w:rsidRPr="00323289">
        <w:rPr>
          <w:rFonts w:asciiTheme="majorHAnsi" w:hAnsiTheme="majorHAnsi" w:cstheme="majorHAnsi"/>
          <w:rtl/>
        </w:rPr>
        <w:t>הפעילות הריאלית בישראל</w:t>
      </w:r>
    </w:p>
    <w:p w14:paraId="1DB7C931" w14:textId="2FC246CC" w:rsidR="00013915" w:rsidRPr="00323289" w:rsidRDefault="00C86273" w:rsidP="00E87C51">
      <w:pPr>
        <w:ind w:left="8"/>
        <w:jc w:val="both"/>
        <w:rPr>
          <w:rFonts w:asciiTheme="majorHAnsi" w:hAnsiTheme="majorHAnsi" w:cstheme="majorHAnsi"/>
          <w:rtl/>
        </w:rPr>
      </w:pPr>
      <w:r w:rsidRPr="00323289">
        <w:rPr>
          <w:rFonts w:asciiTheme="majorHAnsi" w:hAnsiTheme="majorHAnsi" w:cstheme="majorHAnsi"/>
          <w:b/>
          <w:bCs/>
          <w:rtl/>
        </w:rPr>
        <w:t>התוצר צפוי לצמוח ב-2</w:t>
      </w:r>
      <w:r w:rsidR="00312603" w:rsidRPr="00323289">
        <w:rPr>
          <w:rFonts w:asciiTheme="majorHAnsi" w:hAnsiTheme="majorHAnsi" w:cstheme="majorHAnsi"/>
          <w:b/>
          <w:bCs/>
          <w:rtl/>
        </w:rPr>
        <w:t>.0</w:t>
      </w:r>
      <w:r w:rsidRPr="00323289">
        <w:rPr>
          <w:rFonts w:asciiTheme="majorHAnsi" w:hAnsiTheme="majorHAnsi" w:cstheme="majorHAnsi"/>
          <w:b/>
          <w:bCs/>
          <w:rtl/>
        </w:rPr>
        <w:t>% בשנים 2023 ו-2024</w:t>
      </w:r>
      <w:r w:rsidR="00BA276F" w:rsidRPr="00323289">
        <w:rPr>
          <w:rFonts w:asciiTheme="majorHAnsi" w:hAnsiTheme="majorHAnsi" w:cstheme="majorHAnsi"/>
          <w:b/>
          <w:bCs/>
          <w:rtl/>
        </w:rPr>
        <w:t>, וב-5</w:t>
      </w:r>
      <w:r w:rsidR="006447F6" w:rsidRPr="00323289">
        <w:rPr>
          <w:rFonts w:asciiTheme="majorHAnsi" w:hAnsiTheme="majorHAnsi" w:cstheme="majorHAnsi"/>
          <w:b/>
          <w:bCs/>
          <w:rtl/>
        </w:rPr>
        <w:t>.</w:t>
      </w:r>
      <w:r w:rsidR="00BE6899" w:rsidRPr="00323289">
        <w:rPr>
          <w:rFonts w:asciiTheme="majorHAnsi" w:hAnsiTheme="majorHAnsi" w:cstheme="majorHAnsi"/>
          <w:b/>
          <w:bCs/>
          <w:rtl/>
        </w:rPr>
        <w:t>0</w:t>
      </w:r>
      <w:r w:rsidR="00BA276F" w:rsidRPr="00323289">
        <w:rPr>
          <w:rFonts w:asciiTheme="majorHAnsi" w:hAnsiTheme="majorHAnsi" w:cstheme="majorHAnsi"/>
          <w:b/>
          <w:bCs/>
          <w:rtl/>
        </w:rPr>
        <w:t>% בשנת 2025</w:t>
      </w:r>
      <w:r w:rsidR="00575C72" w:rsidRPr="00323289">
        <w:rPr>
          <w:rFonts w:asciiTheme="majorHAnsi" w:hAnsiTheme="majorHAnsi" w:cstheme="majorHAnsi"/>
          <w:b/>
          <w:bCs/>
          <w:rtl/>
        </w:rPr>
        <w:t xml:space="preserve"> </w:t>
      </w:r>
      <w:r w:rsidRPr="00323289">
        <w:rPr>
          <w:rFonts w:asciiTheme="majorHAnsi" w:hAnsiTheme="majorHAnsi" w:cstheme="majorHAnsi"/>
          <w:rtl/>
        </w:rPr>
        <w:t>(לוח 1).</w:t>
      </w:r>
      <w:r w:rsidR="00FE69FD" w:rsidRPr="00323289">
        <w:rPr>
          <w:rFonts w:asciiTheme="majorHAnsi" w:hAnsiTheme="majorHAnsi" w:cstheme="majorHAnsi"/>
          <w:rtl/>
        </w:rPr>
        <w:t xml:space="preserve"> </w:t>
      </w:r>
      <w:r w:rsidRPr="00323289">
        <w:rPr>
          <w:rFonts w:asciiTheme="majorHAnsi" w:hAnsiTheme="majorHAnsi" w:cstheme="majorHAnsi"/>
          <w:rtl/>
        </w:rPr>
        <w:t xml:space="preserve">התחזית בלוח 1 מבוססת על ההנחה שההשפעה </w:t>
      </w:r>
      <w:r w:rsidR="00815F31" w:rsidRPr="00323289">
        <w:rPr>
          <w:rFonts w:asciiTheme="majorHAnsi" w:hAnsiTheme="majorHAnsi" w:cstheme="majorHAnsi"/>
          <w:rtl/>
        </w:rPr>
        <w:t xml:space="preserve">הכלכלית </w:t>
      </w:r>
      <w:r w:rsidRPr="00323289">
        <w:rPr>
          <w:rFonts w:asciiTheme="majorHAnsi" w:hAnsiTheme="majorHAnsi" w:cstheme="majorHAnsi"/>
          <w:rtl/>
        </w:rPr>
        <w:t xml:space="preserve">הישירה של המלחמה על המשק </w:t>
      </w:r>
      <w:r w:rsidR="00C560E9" w:rsidRPr="00323289">
        <w:rPr>
          <w:rFonts w:asciiTheme="majorHAnsi" w:hAnsiTheme="majorHAnsi" w:cstheme="majorHAnsi"/>
          <w:rtl/>
        </w:rPr>
        <w:t>הגיעה ל</w:t>
      </w:r>
      <w:r w:rsidRPr="00323289">
        <w:rPr>
          <w:rFonts w:asciiTheme="majorHAnsi" w:hAnsiTheme="majorHAnsi" w:cstheme="majorHAnsi"/>
          <w:rtl/>
        </w:rPr>
        <w:t>שיאה ברבעון הרביעי של 2023</w:t>
      </w:r>
      <w:r w:rsidR="00272036" w:rsidRPr="00323289">
        <w:rPr>
          <w:rFonts w:asciiTheme="majorHAnsi" w:hAnsiTheme="majorHAnsi" w:cstheme="majorHAnsi"/>
          <w:rtl/>
        </w:rPr>
        <w:t>,</w:t>
      </w:r>
      <w:r w:rsidRPr="00323289">
        <w:rPr>
          <w:rFonts w:asciiTheme="majorHAnsi" w:hAnsiTheme="majorHAnsi" w:cstheme="majorHAnsi"/>
          <w:rtl/>
        </w:rPr>
        <w:t xml:space="preserve"> ו</w:t>
      </w:r>
      <w:r w:rsidR="00815F31" w:rsidRPr="00323289">
        <w:rPr>
          <w:rFonts w:asciiTheme="majorHAnsi" w:hAnsiTheme="majorHAnsi" w:cstheme="majorHAnsi"/>
          <w:rtl/>
        </w:rPr>
        <w:t xml:space="preserve">שבמהלך </w:t>
      </w:r>
      <w:r w:rsidRPr="00323289">
        <w:rPr>
          <w:rFonts w:asciiTheme="majorHAnsi" w:hAnsiTheme="majorHAnsi" w:cstheme="majorHAnsi"/>
          <w:rtl/>
        </w:rPr>
        <w:t>2024 עצימות</w:t>
      </w:r>
      <w:r w:rsidR="00C560E9" w:rsidRPr="00323289">
        <w:rPr>
          <w:rFonts w:asciiTheme="majorHAnsi" w:hAnsiTheme="majorHAnsi" w:cstheme="majorHAnsi"/>
          <w:rtl/>
        </w:rPr>
        <w:t>ה</w:t>
      </w:r>
      <w:r w:rsidRPr="00323289">
        <w:rPr>
          <w:rFonts w:asciiTheme="majorHAnsi" w:hAnsiTheme="majorHAnsi" w:cstheme="majorHAnsi"/>
          <w:rtl/>
        </w:rPr>
        <w:t xml:space="preserve"> פוחתת</w:t>
      </w:r>
      <w:r w:rsidR="00CF6763" w:rsidRPr="00323289">
        <w:rPr>
          <w:rFonts w:asciiTheme="majorHAnsi" w:hAnsiTheme="majorHAnsi" w:cstheme="majorHAnsi"/>
          <w:rtl/>
        </w:rPr>
        <w:t xml:space="preserve"> בהדרגה</w:t>
      </w:r>
      <w:r w:rsidR="00B9024D" w:rsidRPr="00323289">
        <w:rPr>
          <w:rFonts w:asciiTheme="majorHAnsi" w:hAnsiTheme="majorHAnsi" w:cstheme="majorHAnsi"/>
          <w:rtl/>
        </w:rPr>
        <w:t xml:space="preserve">. </w:t>
      </w:r>
      <w:r w:rsidR="002710CE" w:rsidRPr="00323289">
        <w:rPr>
          <w:rFonts w:asciiTheme="majorHAnsi" w:hAnsiTheme="majorHAnsi" w:cstheme="majorHAnsi"/>
          <w:rtl/>
        </w:rPr>
        <w:t xml:space="preserve">ב-2025 צפויה התאוששות </w:t>
      </w:r>
      <w:r w:rsidR="009B2BEB" w:rsidRPr="00323289">
        <w:rPr>
          <w:rFonts w:asciiTheme="majorHAnsi" w:hAnsiTheme="majorHAnsi" w:cstheme="majorHAnsi"/>
          <w:rtl/>
        </w:rPr>
        <w:t xml:space="preserve">כלכלית </w:t>
      </w:r>
      <w:r w:rsidR="002710CE" w:rsidRPr="00323289">
        <w:rPr>
          <w:rFonts w:asciiTheme="majorHAnsi" w:hAnsiTheme="majorHAnsi" w:cstheme="majorHAnsi"/>
          <w:rtl/>
        </w:rPr>
        <w:t>שת</w:t>
      </w:r>
      <w:r w:rsidR="00272036" w:rsidRPr="00323289">
        <w:rPr>
          <w:rFonts w:asciiTheme="majorHAnsi" w:hAnsiTheme="majorHAnsi" w:cstheme="majorHAnsi"/>
          <w:rtl/>
        </w:rPr>
        <w:t>תמוך בה</w:t>
      </w:r>
      <w:r w:rsidR="00013915" w:rsidRPr="00323289">
        <w:rPr>
          <w:rFonts w:asciiTheme="majorHAnsi" w:hAnsiTheme="majorHAnsi" w:cstheme="majorHAnsi"/>
          <w:rtl/>
        </w:rPr>
        <w:t>תקרבות</w:t>
      </w:r>
      <w:r w:rsidR="00272036" w:rsidRPr="00323289">
        <w:rPr>
          <w:rFonts w:asciiTheme="majorHAnsi" w:hAnsiTheme="majorHAnsi" w:cstheme="majorHAnsi"/>
          <w:rtl/>
        </w:rPr>
        <w:t xml:space="preserve"> </w:t>
      </w:r>
      <w:r w:rsidR="002710CE" w:rsidRPr="00323289">
        <w:rPr>
          <w:rFonts w:asciiTheme="majorHAnsi" w:hAnsiTheme="majorHAnsi" w:cstheme="majorHAnsi"/>
          <w:rtl/>
        </w:rPr>
        <w:t xml:space="preserve">של רמת </w:t>
      </w:r>
      <w:r w:rsidR="00272036" w:rsidRPr="00323289">
        <w:rPr>
          <w:rFonts w:asciiTheme="majorHAnsi" w:hAnsiTheme="majorHAnsi" w:cstheme="majorHAnsi"/>
          <w:rtl/>
        </w:rPr>
        <w:t>התוצר למגמ</w:t>
      </w:r>
      <w:r w:rsidR="009B2BEB" w:rsidRPr="00323289">
        <w:rPr>
          <w:rFonts w:asciiTheme="majorHAnsi" w:hAnsiTheme="majorHAnsi" w:cstheme="majorHAnsi"/>
          <w:rtl/>
        </w:rPr>
        <w:t>ה שאפיינה אותו טרם משבר הקורונה</w:t>
      </w:r>
      <w:r w:rsidR="0054398A" w:rsidRPr="00323289">
        <w:rPr>
          <w:rFonts w:asciiTheme="majorHAnsi" w:hAnsiTheme="majorHAnsi" w:cstheme="majorHAnsi"/>
          <w:rtl/>
        </w:rPr>
        <w:t>.</w:t>
      </w:r>
      <w:r w:rsidR="00CE687D" w:rsidRPr="00323289">
        <w:rPr>
          <w:rFonts w:asciiTheme="majorHAnsi" w:hAnsiTheme="majorHAnsi" w:cstheme="majorHAnsi"/>
          <w:rtl/>
        </w:rPr>
        <w:t xml:space="preserve"> תחזית הצמיחה </w:t>
      </w:r>
      <w:r w:rsidR="00C54C1C" w:rsidRPr="00323289">
        <w:rPr>
          <w:rFonts w:asciiTheme="majorHAnsi" w:hAnsiTheme="majorHAnsi" w:cstheme="majorHAnsi"/>
          <w:rtl/>
        </w:rPr>
        <w:t xml:space="preserve">נותרה </w:t>
      </w:r>
      <w:r w:rsidR="00CE687D" w:rsidRPr="00323289">
        <w:rPr>
          <w:rFonts w:asciiTheme="majorHAnsi" w:hAnsiTheme="majorHAnsi" w:cstheme="majorHAnsi"/>
          <w:rtl/>
        </w:rPr>
        <w:t>על כנה מכיוון שמרבית ההתפתחויות מאז פרסום תחזית ינואר תאמו את הנחותינו, ו</w:t>
      </w:r>
      <w:r w:rsidR="00E87C51" w:rsidRPr="00323289">
        <w:rPr>
          <w:rFonts w:asciiTheme="majorHAnsi" w:hAnsiTheme="majorHAnsi" w:cstheme="majorHAnsi"/>
          <w:rtl/>
        </w:rPr>
        <w:t>הסטיה ב</w:t>
      </w:r>
      <w:r w:rsidR="00CE687D" w:rsidRPr="00323289">
        <w:rPr>
          <w:rFonts w:asciiTheme="majorHAnsi" w:hAnsiTheme="majorHAnsi" w:cstheme="majorHAnsi"/>
          <w:rtl/>
        </w:rPr>
        <w:t xml:space="preserve">אלו שלא תאמו את הנחותינו </w:t>
      </w:r>
      <w:r w:rsidR="00E87C51" w:rsidRPr="00323289">
        <w:rPr>
          <w:rFonts w:asciiTheme="majorHAnsi" w:hAnsiTheme="majorHAnsi" w:cstheme="majorHAnsi"/>
          <w:rtl/>
        </w:rPr>
        <w:t>ה</w:t>
      </w:r>
      <w:r w:rsidR="00700B68" w:rsidRPr="00323289">
        <w:rPr>
          <w:rFonts w:asciiTheme="majorHAnsi" w:hAnsiTheme="majorHAnsi" w:cstheme="majorHAnsi"/>
          <w:rtl/>
        </w:rPr>
        <w:t>י</w:t>
      </w:r>
      <w:r w:rsidR="00E87C51" w:rsidRPr="00323289">
        <w:rPr>
          <w:rFonts w:asciiTheme="majorHAnsi" w:hAnsiTheme="majorHAnsi" w:cstheme="majorHAnsi"/>
          <w:rtl/>
        </w:rPr>
        <w:t>יתה לכיוונים שונים</w:t>
      </w:r>
      <w:r w:rsidR="00CE687D" w:rsidRPr="00323289">
        <w:rPr>
          <w:rFonts w:asciiTheme="majorHAnsi" w:hAnsiTheme="majorHAnsi" w:cstheme="majorHAnsi"/>
          <w:rtl/>
        </w:rPr>
        <w:t xml:space="preserve">. מחד, על פי נתוני הרכישות באשראי נראה שהצריכה הפרטית מתאוששת מהר מהצפוי, אך מאידך, פתרון למחסור בעובדים לא-ישראלים מתמהמה וכך גם חזרתם של תושבים לבתיהם בצפון. </w:t>
      </w:r>
    </w:p>
    <w:p w14:paraId="5BD22342" w14:textId="4DCB17F1" w:rsidR="00FE69FD" w:rsidRPr="00323289" w:rsidRDefault="00C86273" w:rsidP="00994035">
      <w:pPr>
        <w:ind w:left="8"/>
        <w:jc w:val="both"/>
        <w:rPr>
          <w:rFonts w:asciiTheme="majorHAnsi" w:hAnsiTheme="majorHAnsi" w:cstheme="majorHAnsi"/>
          <w:rtl/>
        </w:rPr>
      </w:pPr>
      <w:r w:rsidRPr="00323289">
        <w:rPr>
          <w:rFonts w:asciiTheme="majorHAnsi" w:hAnsiTheme="majorHAnsi" w:cstheme="majorHAnsi"/>
          <w:rtl/>
        </w:rPr>
        <w:t xml:space="preserve">הפגיעה </w:t>
      </w:r>
      <w:r w:rsidR="00272036" w:rsidRPr="00323289">
        <w:rPr>
          <w:rFonts w:asciiTheme="majorHAnsi" w:hAnsiTheme="majorHAnsi" w:cstheme="majorHAnsi"/>
          <w:rtl/>
        </w:rPr>
        <w:t xml:space="preserve">הצפויה </w:t>
      </w:r>
      <w:r w:rsidRPr="00323289">
        <w:rPr>
          <w:rFonts w:asciiTheme="majorHAnsi" w:hAnsiTheme="majorHAnsi" w:cstheme="majorHAnsi"/>
          <w:rtl/>
        </w:rPr>
        <w:t xml:space="preserve">בתוצר </w:t>
      </w:r>
      <w:r w:rsidR="00CF6763" w:rsidRPr="00323289">
        <w:rPr>
          <w:rFonts w:asciiTheme="majorHAnsi" w:hAnsiTheme="majorHAnsi" w:cstheme="majorHAnsi"/>
          <w:rtl/>
        </w:rPr>
        <w:t>ב</w:t>
      </w:r>
      <w:r w:rsidR="006447F6" w:rsidRPr="00323289">
        <w:rPr>
          <w:rFonts w:asciiTheme="majorHAnsi" w:hAnsiTheme="majorHAnsi" w:cstheme="majorHAnsi"/>
          <w:rtl/>
        </w:rPr>
        <w:t xml:space="preserve">מהלך שנת </w:t>
      </w:r>
      <w:r w:rsidR="0054398A" w:rsidRPr="00323289">
        <w:rPr>
          <w:rFonts w:asciiTheme="majorHAnsi" w:hAnsiTheme="majorHAnsi" w:cstheme="majorHAnsi"/>
          <w:rtl/>
        </w:rPr>
        <w:t xml:space="preserve">2024 </w:t>
      </w:r>
      <w:r w:rsidRPr="00323289">
        <w:rPr>
          <w:rFonts w:asciiTheme="majorHAnsi" w:hAnsiTheme="majorHAnsi" w:cstheme="majorHAnsi"/>
          <w:rtl/>
        </w:rPr>
        <w:t>נובעת הן מפגיעה בצד ההיצע והן מפגיעה בצד הביקוש.</w:t>
      </w:r>
      <w:r w:rsidR="00013915" w:rsidRPr="00323289">
        <w:rPr>
          <w:rFonts w:asciiTheme="majorHAnsi" w:hAnsiTheme="majorHAnsi" w:cstheme="majorHAnsi"/>
          <w:rtl/>
        </w:rPr>
        <w:t xml:space="preserve"> </w:t>
      </w:r>
      <w:r w:rsidRPr="00323289">
        <w:rPr>
          <w:rFonts w:asciiTheme="majorHAnsi" w:hAnsiTheme="majorHAnsi" w:cstheme="majorHAnsi"/>
          <w:rtl/>
        </w:rPr>
        <w:t xml:space="preserve">בצד ההיצע, גיוס המילואים הנרחב </w:t>
      </w:r>
      <w:r w:rsidR="009D7285" w:rsidRPr="00323289">
        <w:rPr>
          <w:rFonts w:asciiTheme="majorHAnsi" w:hAnsiTheme="majorHAnsi" w:cstheme="majorHAnsi"/>
          <w:rtl/>
        </w:rPr>
        <w:t xml:space="preserve">התבטא </w:t>
      </w:r>
      <w:r w:rsidRPr="00323289">
        <w:rPr>
          <w:rFonts w:asciiTheme="majorHAnsi" w:hAnsiTheme="majorHAnsi" w:cstheme="majorHAnsi"/>
          <w:rtl/>
        </w:rPr>
        <w:t>בירידה בהיצע העבודה בכל ענפי המשק</w:t>
      </w:r>
      <w:r w:rsidR="00054A7E" w:rsidRPr="00323289">
        <w:rPr>
          <w:rFonts w:asciiTheme="majorHAnsi" w:hAnsiTheme="majorHAnsi" w:cstheme="majorHAnsi"/>
          <w:rtl/>
        </w:rPr>
        <w:t xml:space="preserve">, </w:t>
      </w:r>
      <w:r w:rsidR="00013915" w:rsidRPr="00323289">
        <w:rPr>
          <w:rFonts w:asciiTheme="majorHAnsi" w:hAnsiTheme="majorHAnsi" w:cstheme="majorHAnsi"/>
          <w:rtl/>
        </w:rPr>
        <w:t xml:space="preserve">אך ההיצע מתאושש </w:t>
      </w:r>
      <w:r w:rsidR="00054A7E" w:rsidRPr="00323289">
        <w:rPr>
          <w:rFonts w:asciiTheme="majorHAnsi" w:hAnsiTheme="majorHAnsi" w:cstheme="majorHAnsi"/>
          <w:rtl/>
        </w:rPr>
        <w:t xml:space="preserve">לאחר </w:t>
      </w:r>
      <w:r w:rsidR="00054A7E" w:rsidRPr="00323289">
        <w:rPr>
          <w:rFonts w:asciiTheme="majorHAnsi" w:hAnsiTheme="majorHAnsi" w:cstheme="majorHAnsi"/>
          <w:rtl/>
        </w:rPr>
        <w:lastRenderedPageBreak/>
        <w:t>ירידה משמעותית בהיקף גיוס המילואים ביחס לתחילת המלחמה</w:t>
      </w:r>
      <w:r w:rsidRPr="00323289">
        <w:rPr>
          <w:rFonts w:asciiTheme="majorHAnsi" w:hAnsiTheme="majorHAnsi" w:cstheme="majorHAnsi"/>
          <w:rtl/>
        </w:rPr>
        <w:t>. בענ</w:t>
      </w:r>
      <w:r w:rsidR="00994035" w:rsidRPr="00323289">
        <w:rPr>
          <w:rFonts w:asciiTheme="majorHAnsi" w:hAnsiTheme="majorHAnsi" w:cstheme="majorHAnsi"/>
          <w:rtl/>
        </w:rPr>
        <w:t>ף</w:t>
      </w:r>
      <w:r w:rsidRPr="00323289">
        <w:rPr>
          <w:rFonts w:asciiTheme="majorHAnsi" w:hAnsiTheme="majorHAnsi" w:cstheme="majorHAnsi"/>
          <w:rtl/>
        </w:rPr>
        <w:t xml:space="preserve"> ה</w:t>
      </w:r>
      <w:r w:rsidR="00FC0F18" w:rsidRPr="00323289">
        <w:rPr>
          <w:rFonts w:asciiTheme="majorHAnsi" w:hAnsiTheme="majorHAnsi" w:cstheme="majorHAnsi"/>
          <w:rtl/>
        </w:rPr>
        <w:t>בניה</w:t>
      </w:r>
      <w:r w:rsidRPr="00323289">
        <w:rPr>
          <w:rFonts w:asciiTheme="majorHAnsi" w:hAnsiTheme="majorHAnsi" w:cstheme="majorHAnsi"/>
          <w:rtl/>
        </w:rPr>
        <w:t xml:space="preserve"> </w:t>
      </w:r>
      <w:r w:rsidR="003C33E7" w:rsidRPr="00323289">
        <w:rPr>
          <w:rFonts w:asciiTheme="majorHAnsi" w:hAnsiTheme="majorHAnsi" w:cstheme="majorHAnsi"/>
          <w:rtl/>
        </w:rPr>
        <w:t xml:space="preserve">ניכרת </w:t>
      </w:r>
      <w:r w:rsidR="00E87C51" w:rsidRPr="00323289">
        <w:rPr>
          <w:rFonts w:asciiTheme="majorHAnsi" w:hAnsiTheme="majorHAnsi" w:cstheme="majorHAnsi"/>
          <w:rtl/>
        </w:rPr>
        <w:t xml:space="preserve">במיוחד </w:t>
      </w:r>
      <w:r w:rsidRPr="00323289">
        <w:rPr>
          <w:rFonts w:asciiTheme="majorHAnsi" w:hAnsiTheme="majorHAnsi" w:cstheme="majorHAnsi"/>
          <w:rtl/>
        </w:rPr>
        <w:t xml:space="preserve">פגיעה משמעותית בהיצע העבודה </w:t>
      </w:r>
      <w:r w:rsidR="00815F31" w:rsidRPr="00323289">
        <w:rPr>
          <w:rFonts w:asciiTheme="majorHAnsi" w:hAnsiTheme="majorHAnsi" w:cstheme="majorHAnsi"/>
          <w:rtl/>
        </w:rPr>
        <w:t xml:space="preserve">– </w:t>
      </w:r>
      <w:r w:rsidRPr="00323289">
        <w:rPr>
          <w:rFonts w:asciiTheme="majorHAnsi" w:hAnsiTheme="majorHAnsi" w:cstheme="majorHAnsi"/>
          <w:rtl/>
        </w:rPr>
        <w:t xml:space="preserve">בשל </w:t>
      </w:r>
      <w:r w:rsidR="00122671" w:rsidRPr="00323289">
        <w:rPr>
          <w:rFonts w:asciiTheme="majorHAnsi" w:hAnsiTheme="majorHAnsi" w:cstheme="majorHAnsi"/>
          <w:rtl/>
        </w:rPr>
        <w:t xml:space="preserve">הגבלות על כניסת עובדים </w:t>
      </w:r>
      <w:r w:rsidR="00D21D10" w:rsidRPr="00323289">
        <w:rPr>
          <w:rFonts w:asciiTheme="majorHAnsi" w:hAnsiTheme="majorHAnsi" w:cstheme="majorHAnsi"/>
          <w:rtl/>
        </w:rPr>
        <w:t xml:space="preserve">פלסטינאים </w:t>
      </w:r>
      <w:r w:rsidR="00122671" w:rsidRPr="00323289">
        <w:rPr>
          <w:rFonts w:asciiTheme="majorHAnsi" w:hAnsiTheme="majorHAnsi" w:cstheme="majorHAnsi"/>
          <w:rtl/>
        </w:rPr>
        <w:t>מיהודה ושומרון והפסקה מוחלטת של העסקת של עובדים מעזה</w:t>
      </w:r>
      <w:r w:rsidRPr="00323289">
        <w:rPr>
          <w:rFonts w:asciiTheme="majorHAnsi" w:hAnsiTheme="majorHAnsi" w:cstheme="majorHAnsi"/>
          <w:rtl/>
        </w:rPr>
        <w:t xml:space="preserve">. </w:t>
      </w:r>
      <w:r w:rsidR="00613C19" w:rsidRPr="00323289">
        <w:rPr>
          <w:rFonts w:asciiTheme="majorHAnsi" w:hAnsiTheme="majorHAnsi" w:cstheme="majorHAnsi"/>
          <w:rtl/>
        </w:rPr>
        <w:t xml:space="preserve">בתחזית זו </w:t>
      </w:r>
      <w:r w:rsidR="00A76B70" w:rsidRPr="00323289">
        <w:rPr>
          <w:rFonts w:asciiTheme="majorHAnsi" w:hAnsiTheme="majorHAnsi" w:cstheme="majorHAnsi"/>
          <w:rtl/>
        </w:rPr>
        <w:t>אנו מעריכים</w:t>
      </w:r>
      <w:r w:rsidR="00A945B1" w:rsidRPr="00323289">
        <w:rPr>
          <w:rFonts w:asciiTheme="majorHAnsi" w:hAnsiTheme="majorHAnsi" w:cstheme="majorHAnsi"/>
          <w:rtl/>
        </w:rPr>
        <w:t xml:space="preserve">, מחד, שענף </w:t>
      </w:r>
      <w:r w:rsidR="00E87C51" w:rsidRPr="00323289">
        <w:rPr>
          <w:rFonts w:asciiTheme="majorHAnsi" w:hAnsiTheme="majorHAnsi" w:cstheme="majorHAnsi"/>
          <w:rtl/>
        </w:rPr>
        <w:t>ה</w:t>
      </w:r>
      <w:r w:rsidR="00FC0F18" w:rsidRPr="00323289">
        <w:rPr>
          <w:rFonts w:asciiTheme="majorHAnsi" w:hAnsiTheme="majorHAnsi" w:cstheme="majorHAnsi"/>
          <w:rtl/>
        </w:rPr>
        <w:t>בניה</w:t>
      </w:r>
      <w:r w:rsidR="00E87C51" w:rsidRPr="00323289">
        <w:rPr>
          <w:rFonts w:asciiTheme="majorHAnsi" w:hAnsiTheme="majorHAnsi" w:cstheme="majorHAnsi"/>
          <w:rtl/>
        </w:rPr>
        <w:t xml:space="preserve"> </w:t>
      </w:r>
      <w:r w:rsidR="00A945B1" w:rsidRPr="00323289">
        <w:rPr>
          <w:rFonts w:asciiTheme="majorHAnsi" w:hAnsiTheme="majorHAnsi" w:cstheme="majorHAnsi"/>
          <w:rtl/>
        </w:rPr>
        <w:t>מצליח לפעול טוב מהצפוי על אף המחסור בעובדים</w:t>
      </w:r>
      <w:r w:rsidR="00541CA6" w:rsidRPr="00323289">
        <w:rPr>
          <w:rFonts w:asciiTheme="majorHAnsi" w:hAnsiTheme="majorHAnsi" w:cstheme="majorHAnsi"/>
          <w:rtl/>
        </w:rPr>
        <w:t>. יחד עם זאת, ניכרת פגיעה בהשקעה אשר נובעת ברובה מההתמשכות הצפויה של הפעילות החלקית באתרי ה</w:t>
      </w:r>
      <w:r w:rsidR="00FC0F18" w:rsidRPr="00323289">
        <w:rPr>
          <w:rFonts w:asciiTheme="majorHAnsi" w:hAnsiTheme="majorHAnsi" w:cstheme="majorHAnsi"/>
          <w:rtl/>
        </w:rPr>
        <w:t>בניה</w:t>
      </w:r>
      <w:r w:rsidR="00541CA6" w:rsidRPr="00323289">
        <w:rPr>
          <w:rFonts w:asciiTheme="majorHAnsi" w:hAnsiTheme="majorHAnsi" w:cstheme="majorHAnsi"/>
          <w:rtl/>
        </w:rPr>
        <w:t xml:space="preserve">, ונראה </w:t>
      </w:r>
      <w:r w:rsidR="00A945B1" w:rsidRPr="00323289">
        <w:rPr>
          <w:rFonts w:asciiTheme="majorHAnsi" w:hAnsiTheme="majorHAnsi" w:cstheme="majorHAnsi"/>
          <w:rtl/>
        </w:rPr>
        <w:t>ש</w:t>
      </w:r>
      <w:r w:rsidR="00613C19" w:rsidRPr="00323289">
        <w:rPr>
          <w:rFonts w:asciiTheme="majorHAnsi" w:hAnsiTheme="majorHAnsi" w:cstheme="majorHAnsi"/>
          <w:rtl/>
        </w:rPr>
        <w:t xml:space="preserve">משך הזמן שייקח לפתור </w:t>
      </w:r>
      <w:r w:rsidR="00541CA6" w:rsidRPr="00323289">
        <w:rPr>
          <w:rFonts w:asciiTheme="majorHAnsi" w:hAnsiTheme="majorHAnsi" w:cstheme="majorHAnsi"/>
          <w:rtl/>
        </w:rPr>
        <w:t xml:space="preserve">את </w:t>
      </w:r>
      <w:r w:rsidR="00CF6763" w:rsidRPr="00323289">
        <w:rPr>
          <w:rFonts w:asciiTheme="majorHAnsi" w:hAnsiTheme="majorHAnsi" w:cstheme="majorHAnsi"/>
          <w:rtl/>
        </w:rPr>
        <w:t>המחסור ב</w:t>
      </w:r>
      <w:r w:rsidR="00541CA6" w:rsidRPr="00323289">
        <w:rPr>
          <w:rFonts w:asciiTheme="majorHAnsi" w:hAnsiTheme="majorHAnsi" w:cstheme="majorHAnsi"/>
          <w:rtl/>
        </w:rPr>
        <w:t>עובדים</w:t>
      </w:r>
      <w:r w:rsidR="00A76B70" w:rsidRPr="00323289">
        <w:rPr>
          <w:rFonts w:asciiTheme="majorHAnsi" w:hAnsiTheme="majorHAnsi" w:cstheme="majorHAnsi"/>
          <w:rtl/>
        </w:rPr>
        <w:t xml:space="preserve"> יתארך</w:t>
      </w:r>
      <w:r w:rsidR="00613C19" w:rsidRPr="00323289">
        <w:rPr>
          <w:rFonts w:asciiTheme="majorHAnsi" w:hAnsiTheme="majorHAnsi" w:cstheme="majorHAnsi"/>
          <w:rtl/>
        </w:rPr>
        <w:t xml:space="preserve">. </w:t>
      </w:r>
      <w:r w:rsidRPr="00323289">
        <w:rPr>
          <w:rFonts w:asciiTheme="majorHAnsi" w:hAnsiTheme="majorHAnsi" w:cstheme="majorHAnsi"/>
          <w:rtl/>
        </w:rPr>
        <w:t>נוסף על הירידה בהיצע העבודה, באזורי הלחימה ובאזורים מאוימים נפגע כושר הייצור בשל פגיעה בהון הפיזי וביכולת לעבוד</w:t>
      </w:r>
      <w:r w:rsidR="00054A7E" w:rsidRPr="00323289">
        <w:rPr>
          <w:rFonts w:asciiTheme="majorHAnsi" w:hAnsiTheme="majorHAnsi" w:cstheme="majorHAnsi"/>
          <w:rtl/>
        </w:rPr>
        <w:t>, כאשר כעת הפגיעה באזורי הדרום מצטמצמת לאור חזרת התושבים, בעוד פינוי התושבים בצפון צפוי להימשך זמן רב יותר</w:t>
      </w:r>
      <w:r w:rsidR="00A945B1" w:rsidRPr="00323289">
        <w:rPr>
          <w:rFonts w:asciiTheme="majorHAnsi" w:hAnsiTheme="majorHAnsi" w:cstheme="majorHAnsi"/>
          <w:rtl/>
        </w:rPr>
        <w:t xml:space="preserve"> מכפי שהערכנו בתחזית ינואר</w:t>
      </w:r>
      <w:r w:rsidRPr="00323289">
        <w:rPr>
          <w:rFonts w:asciiTheme="majorHAnsi" w:hAnsiTheme="majorHAnsi" w:cstheme="majorHAnsi"/>
          <w:rtl/>
        </w:rPr>
        <w:t>.</w:t>
      </w:r>
    </w:p>
    <w:p w14:paraId="134A2D23" w14:textId="10F98649" w:rsidR="00C86273" w:rsidRPr="00323289" w:rsidRDefault="00C86273" w:rsidP="00CF6763">
      <w:pPr>
        <w:ind w:left="8"/>
        <w:jc w:val="both"/>
        <w:rPr>
          <w:rFonts w:asciiTheme="majorHAnsi" w:hAnsiTheme="majorHAnsi" w:cstheme="majorHAnsi"/>
          <w:rtl/>
        </w:rPr>
      </w:pPr>
      <w:r w:rsidRPr="00323289">
        <w:rPr>
          <w:rFonts w:asciiTheme="majorHAnsi" w:hAnsiTheme="majorHAnsi" w:cstheme="majorHAnsi"/>
          <w:rtl/>
        </w:rPr>
        <w:t xml:space="preserve">בצד הביקוש, </w:t>
      </w:r>
      <w:r w:rsidR="003C33E7" w:rsidRPr="00323289">
        <w:rPr>
          <w:rFonts w:asciiTheme="majorHAnsi" w:hAnsiTheme="majorHAnsi" w:cstheme="majorHAnsi"/>
          <w:rtl/>
        </w:rPr>
        <w:t>אנו מעריכים ש</w:t>
      </w:r>
      <w:r w:rsidRPr="00323289">
        <w:rPr>
          <w:rFonts w:asciiTheme="majorHAnsi" w:hAnsiTheme="majorHAnsi" w:cstheme="majorHAnsi"/>
          <w:rtl/>
        </w:rPr>
        <w:t xml:space="preserve">סנטימנט צרכני שלילי צפוי </w:t>
      </w:r>
      <w:r w:rsidR="00815F31" w:rsidRPr="00323289">
        <w:rPr>
          <w:rFonts w:asciiTheme="majorHAnsi" w:hAnsiTheme="majorHAnsi" w:cstheme="majorHAnsi"/>
          <w:rtl/>
        </w:rPr>
        <w:t xml:space="preserve">להמשיך </w:t>
      </w:r>
      <w:r w:rsidRPr="00323289">
        <w:rPr>
          <w:rFonts w:asciiTheme="majorHAnsi" w:hAnsiTheme="majorHAnsi" w:cstheme="majorHAnsi"/>
          <w:rtl/>
        </w:rPr>
        <w:t xml:space="preserve">לפגוע בביקוש לצריכה. הביקוש ליצוא שירותי התיירות </w:t>
      </w:r>
      <w:r w:rsidR="00A76B70" w:rsidRPr="00323289">
        <w:rPr>
          <w:rFonts w:asciiTheme="majorHAnsi" w:hAnsiTheme="majorHAnsi" w:cstheme="majorHAnsi"/>
          <w:rtl/>
        </w:rPr>
        <w:t xml:space="preserve">(תיירות נכנסת) </w:t>
      </w:r>
      <w:r w:rsidR="00BA730D" w:rsidRPr="00323289">
        <w:rPr>
          <w:rFonts w:asciiTheme="majorHAnsi" w:hAnsiTheme="majorHAnsi" w:cstheme="majorHAnsi"/>
          <w:rtl/>
        </w:rPr>
        <w:t>נפגע</w:t>
      </w:r>
      <w:r w:rsidR="00E87C51" w:rsidRPr="00323289">
        <w:rPr>
          <w:rFonts w:asciiTheme="majorHAnsi" w:hAnsiTheme="majorHAnsi" w:cstheme="majorHAnsi"/>
          <w:rtl/>
        </w:rPr>
        <w:t xml:space="preserve"> באופן משמעותי</w:t>
      </w:r>
      <w:r w:rsidR="00CF6763" w:rsidRPr="00323289">
        <w:rPr>
          <w:rFonts w:asciiTheme="majorHAnsi" w:hAnsiTheme="majorHAnsi" w:cstheme="majorHAnsi"/>
          <w:rtl/>
        </w:rPr>
        <w:t xml:space="preserve"> ו</w:t>
      </w:r>
      <w:r w:rsidRPr="00323289">
        <w:rPr>
          <w:rFonts w:asciiTheme="majorHAnsi" w:hAnsiTheme="majorHAnsi" w:cstheme="majorHAnsi"/>
          <w:rtl/>
        </w:rPr>
        <w:t>הניסיון מאירועים ביטחוניים קודמים מלמד שפגיעה זו צפויה להיות ממושכת. מנגד, בענף ה</w:t>
      </w:r>
      <w:r w:rsidR="00FC0F18" w:rsidRPr="00323289">
        <w:rPr>
          <w:rFonts w:asciiTheme="majorHAnsi" w:hAnsiTheme="majorHAnsi" w:cstheme="majorHAnsi"/>
          <w:rtl/>
        </w:rPr>
        <w:t>בניה</w:t>
      </w:r>
      <w:r w:rsidRPr="00323289">
        <w:rPr>
          <w:rFonts w:asciiTheme="majorHAnsi" w:hAnsiTheme="majorHAnsi" w:cstheme="majorHAnsi"/>
          <w:rtl/>
        </w:rPr>
        <w:t xml:space="preserve"> צפויה בטווח התחזית עלייה בביקוש</w:t>
      </w:r>
      <w:r w:rsidR="00815F31" w:rsidRPr="00323289">
        <w:rPr>
          <w:rFonts w:asciiTheme="majorHAnsi" w:hAnsiTheme="majorHAnsi" w:cstheme="majorHAnsi"/>
          <w:rtl/>
        </w:rPr>
        <w:t>, בין היתר</w:t>
      </w:r>
      <w:r w:rsidRPr="00323289">
        <w:rPr>
          <w:rFonts w:asciiTheme="majorHAnsi" w:hAnsiTheme="majorHAnsi" w:cstheme="majorHAnsi"/>
          <w:rtl/>
        </w:rPr>
        <w:t xml:space="preserve"> בעקבות הצורך בשיקום מבנים. לאור התפתחויות אלו, אנו מעריכים כי שיעור האבטלה הרחב בגילי העבודה העיקריים</w:t>
      </w:r>
      <w:r w:rsidR="003A7E80" w:rsidRPr="00323289">
        <w:rPr>
          <w:rFonts w:asciiTheme="majorHAnsi" w:hAnsiTheme="majorHAnsi" w:cstheme="majorHAnsi"/>
          <w:rtl/>
        </w:rPr>
        <w:t>,</w:t>
      </w:r>
      <w:r w:rsidRPr="00323289">
        <w:rPr>
          <w:rFonts w:asciiTheme="majorHAnsi" w:hAnsiTheme="majorHAnsi" w:cstheme="majorHAnsi"/>
          <w:rtl/>
        </w:rPr>
        <w:t xml:space="preserve"> </w:t>
      </w:r>
      <w:r w:rsidR="00735776" w:rsidRPr="00323289">
        <w:rPr>
          <w:rFonts w:asciiTheme="majorHAnsi" w:hAnsiTheme="majorHAnsi" w:cstheme="majorHAnsi"/>
          <w:rtl/>
        </w:rPr>
        <w:t>ש</w:t>
      </w:r>
      <w:r w:rsidR="00E2305E" w:rsidRPr="00323289">
        <w:rPr>
          <w:rFonts w:asciiTheme="majorHAnsi" w:hAnsiTheme="majorHAnsi" w:cstheme="majorHAnsi"/>
          <w:rtl/>
        </w:rPr>
        <w:t>ירד</w:t>
      </w:r>
      <w:r w:rsidRPr="00323289">
        <w:rPr>
          <w:rFonts w:asciiTheme="majorHAnsi" w:hAnsiTheme="majorHAnsi" w:cstheme="majorHAnsi"/>
          <w:rtl/>
        </w:rPr>
        <w:t xml:space="preserve"> ברבעון </w:t>
      </w:r>
      <w:r w:rsidR="00E2305E" w:rsidRPr="00323289">
        <w:rPr>
          <w:rFonts w:asciiTheme="majorHAnsi" w:hAnsiTheme="majorHAnsi" w:cstheme="majorHAnsi"/>
          <w:rtl/>
        </w:rPr>
        <w:t>הראשון</w:t>
      </w:r>
      <w:r w:rsidRPr="00323289">
        <w:rPr>
          <w:rFonts w:asciiTheme="majorHAnsi" w:hAnsiTheme="majorHAnsi" w:cstheme="majorHAnsi"/>
          <w:rtl/>
        </w:rPr>
        <w:t xml:space="preserve"> של 202</w:t>
      </w:r>
      <w:r w:rsidR="00E2305E" w:rsidRPr="00323289">
        <w:rPr>
          <w:rFonts w:asciiTheme="majorHAnsi" w:hAnsiTheme="majorHAnsi" w:cstheme="majorHAnsi"/>
          <w:rtl/>
        </w:rPr>
        <w:t>4</w:t>
      </w:r>
      <w:r w:rsidR="00815F31" w:rsidRPr="00323289">
        <w:rPr>
          <w:rFonts w:asciiTheme="majorHAnsi" w:hAnsiTheme="majorHAnsi" w:cstheme="majorHAnsi"/>
          <w:rtl/>
        </w:rPr>
        <w:t xml:space="preserve">, </w:t>
      </w:r>
      <w:r w:rsidR="00E2305E" w:rsidRPr="00323289">
        <w:rPr>
          <w:rFonts w:asciiTheme="majorHAnsi" w:hAnsiTheme="majorHAnsi" w:cstheme="majorHAnsi"/>
          <w:rtl/>
        </w:rPr>
        <w:t>ימשיך במגמת הירידה</w:t>
      </w:r>
      <w:r w:rsidR="00735776" w:rsidRPr="00323289">
        <w:rPr>
          <w:rFonts w:asciiTheme="majorHAnsi" w:hAnsiTheme="majorHAnsi" w:cstheme="majorHAnsi"/>
          <w:rtl/>
        </w:rPr>
        <w:t xml:space="preserve"> בהדרגה</w:t>
      </w:r>
      <w:r w:rsidRPr="00323289">
        <w:rPr>
          <w:rFonts w:asciiTheme="majorHAnsi" w:hAnsiTheme="majorHAnsi" w:cstheme="majorHAnsi"/>
          <w:rtl/>
        </w:rPr>
        <w:t xml:space="preserve"> </w:t>
      </w:r>
      <w:r w:rsidR="00E56812" w:rsidRPr="00323289">
        <w:rPr>
          <w:rFonts w:asciiTheme="majorHAnsi" w:hAnsiTheme="majorHAnsi" w:cstheme="majorHAnsi"/>
          <w:rtl/>
        </w:rPr>
        <w:t>במהלך</w:t>
      </w:r>
      <w:r w:rsidRPr="00323289">
        <w:rPr>
          <w:rFonts w:asciiTheme="majorHAnsi" w:hAnsiTheme="majorHAnsi" w:cstheme="majorHAnsi"/>
          <w:rtl/>
        </w:rPr>
        <w:t xml:space="preserve"> 2024</w:t>
      </w:r>
      <w:r w:rsidR="00FC70E3" w:rsidRPr="00323289">
        <w:rPr>
          <w:rFonts w:asciiTheme="majorHAnsi" w:hAnsiTheme="majorHAnsi" w:cstheme="majorHAnsi"/>
          <w:rtl/>
        </w:rPr>
        <w:t>,</w:t>
      </w:r>
      <w:r w:rsidR="00E56812" w:rsidRPr="00323289">
        <w:rPr>
          <w:rFonts w:asciiTheme="majorHAnsi" w:hAnsiTheme="majorHAnsi" w:cstheme="majorHAnsi"/>
          <w:rtl/>
        </w:rPr>
        <w:t xml:space="preserve"> ו</w:t>
      </w:r>
      <w:r w:rsidR="00735776" w:rsidRPr="00323289">
        <w:rPr>
          <w:rFonts w:asciiTheme="majorHAnsi" w:hAnsiTheme="majorHAnsi" w:cstheme="majorHAnsi"/>
          <w:rtl/>
        </w:rPr>
        <w:t xml:space="preserve">יתכנס לרמתו לפני המלחמה </w:t>
      </w:r>
      <w:r w:rsidR="00E56812" w:rsidRPr="00323289">
        <w:rPr>
          <w:rFonts w:asciiTheme="majorHAnsi" w:hAnsiTheme="majorHAnsi" w:cstheme="majorHAnsi"/>
          <w:rtl/>
        </w:rPr>
        <w:t>במהלך 2025.</w:t>
      </w:r>
      <w:r w:rsidR="00815F31" w:rsidRPr="00323289">
        <w:rPr>
          <w:rStyle w:val="a6"/>
          <w:rFonts w:asciiTheme="majorHAnsi" w:eastAsia="Calibri" w:hAnsiTheme="majorHAnsi" w:cstheme="majorHAnsi"/>
          <w:rtl/>
        </w:rPr>
        <w:footnoteReference w:id="3"/>
      </w:r>
    </w:p>
    <w:p w14:paraId="5E10120B" w14:textId="2D2239F3" w:rsidR="00054A7E" w:rsidRPr="00323289" w:rsidRDefault="00054A7E" w:rsidP="00054A7E">
      <w:pPr>
        <w:ind w:left="8"/>
        <w:rPr>
          <w:rFonts w:asciiTheme="majorHAnsi" w:hAnsiTheme="majorHAnsi" w:cstheme="majorHAnsi"/>
          <w:rtl/>
        </w:rPr>
      </w:pPr>
    </w:p>
    <w:p w14:paraId="5BB29756" w14:textId="5A12D5E6" w:rsidR="00942E2E" w:rsidRPr="00323289" w:rsidRDefault="00942E2E" w:rsidP="00E720F3">
      <w:pPr>
        <w:ind w:left="8"/>
        <w:jc w:val="both"/>
        <w:rPr>
          <w:rFonts w:asciiTheme="majorHAnsi" w:hAnsiTheme="majorHAnsi" w:cstheme="majorHAnsi"/>
          <w:b/>
          <w:bCs/>
          <w:rtl/>
        </w:rPr>
      </w:pPr>
      <w:r w:rsidRPr="00323289">
        <w:rPr>
          <w:rFonts w:asciiTheme="majorHAnsi" w:hAnsiTheme="majorHAnsi" w:cstheme="majorHAnsi"/>
          <w:b/>
          <w:bCs/>
          <w:rtl/>
        </w:rPr>
        <w:t>הגירעונות בתקציב הממשלה בשנים 2024 ו-2025 צפויים להסתכם ב-6.6% וב-4.6% תוצר. החוב צפוי לעלות לרמה של 67% תוצר ב-2024 ולהישאר ברמה דומה גם במהלך 2025.</w:t>
      </w:r>
      <w:r w:rsidR="00BC56B1" w:rsidRPr="00323289">
        <w:rPr>
          <w:rFonts w:asciiTheme="majorHAnsi" w:hAnsiTheme="majorHAnsi" w:cstheme="majorHAnsi"/>
          <w:b/>
          <w:bCs/>
          <w:rtl/>
        </w:rPr>
        <w:t xml:space="preserve"> </w:t>
      </w:r>
      <w:r w:rsidRPr="00323289">
        <w:rPr>
          <w:rFonts w:asciiTheme="majorHAnsi" w:hAnsiTheme="majorHAnsi" w:cstheme="majorHAnsi"/>
          <w:rtl/>
        </w:rPr>
        <w:t xml:space="preserve">תקציב המדינה המעודכן לשנת 2024 עבר בקריאה שנייה ושלישית בכנסת במרץ 2024. ביחס לתקציב המקורי, הוא כולל הגדלה של מסגרת ההוצאה ב-70 מיליארדי ש"ח: 55 מיליארדי </w:t>
      </w:r>
      <w:r w:rsidR="00E61DD3" w:rsidRPr="00323289">
        <w:rPr>
          <w:rFonts w:asciiTheme="majorHAnsi" w:hAnsiTheme="majorHAnsi" w:cstheme="majorHAnsi"/>
          <w:rtl/>
        </w:rPr>
        <w:t>ש"ח</w:t>
      </w:r>
      <w:r w:rsidRPr="00323289">
        <w:rPr>
          <w:rFonts w:asciiTheme="majorHAnsi" w:hAnsiTheme="majorHAnsi" w:cstheme="majorHAnsi"/>
          <w:rtl/>
        </w:rPr>
        <w:t xml:space="preserve"> עבור הוצאות ביטחוניות</w:t>
      </w:r>
      <w:r w:rsidRPr="00323289">
        <w:rPr>
          <w:rStyle w:val="a6"/>
          <w:rFonts w:asciiTheme="majorHAnsi" w:hAnsiTheme="majorHAnsi" w:cstheme="majorHAnsi"/>
          <w:rtl/>
        </w:rPr>
        <w:footnoteReference w:id="4"/>
      </w:r>
      <w:r w:rsidRPr="00323289">
        <w:rPr>
          <w:rFonts w:asciiTheme="majorHAnsi" w:hAnsiTheme="majorHAnsi" w:cstheme="majorHAnsi"/>
          <w:rtl/>
        </w:rPr>
        <w:t xml:space="preserve"> ו-15 מיליארדי </w:t>
      </w:r>
      <w:r w:rsidR="00E61DD3" w:rsidRPr="00323289">
        <w:rPr>
          <w:rFonts w:asciiTheme="majorHAnsi" w:hAnsiTheme="majorHAnsi" w:cstheme="majorHAnsi"/>
          <w:rtl/>
        </w:rPr>
        <w:t>ש"ח</w:t>
      </w:r>
      <w:r w:rsidRPr="00323289">
        <w:rPr>
          <w:rFonts w:asciiTheme="majorHAnsi" w:hAnsiTheme="majorHAnsi" w:cstheme="majorHAnsi"/>
          <w:rtl/>
        </w:rPr>
        <w:t xml:space="preserve"> עבור הוצאות אזרחיות הקשורות במלחמה. מעבר לכך צפויה הממשלה לשלם פיצויים על חשבון קרן הפיצויים בסכום של כ-18 מיליארדי </w:t>
      </w:r>
      <w:r w:rsidR="00721525" w:rsidRPr="00323289">
        <w:rPr>
          <w:rFonts w:asciiTheme="majorHAnsi" w:hAnsiTheme="majorHAnsi" w:cstheme="majorHAnsi"/>
          <w:rtl/>
        </w:rPr>
        <w:t xml:space="preserve">ש"ח </w:t>
      </w:r>
      <w:r w:rsidR="00383148" w:rsidRPr="00323289">
        <w:rPr>
          <w:rFonts w:asciiTheme="majorHAnsi" w:hAnsiTheme="majorHAnsi" w:cstheme="majorHAnsi"/>
          <w:rtl/>
        </w:rPr>
        <w:t>(</w:t>
      </w:r>
      <w:r w:rsidR="00E720F3" w:rsidRPr="00323289">
        <w:rPr>
          <w:rFonts w:asciiTheme="majorHAnsi" w:hAnsiTheme="majorHAnsi" w:cstheme="majorHAnsi"/>
          <w:rtl/>
        </w:rPr>
        <w:t>0.9</w:t>
      </w:r>
      <w:r w:rsidR="00383148" w:rsidRPr="00323289">
        <w:rPr>
          <w:rFonts w:asciiTheme="majorHAnsi" w:hAnsiTheme="majorHAnsi" w:cstheme="majorHAnsi"/>
          <w:rtl/>
        </w:rPr>
        <w:t>% תוצר)</w:t>
      </w:r>
      <w:r w:rsidR="00B406D5" w:rsidRPr="00323289">
        <w:rPr>
          <w:rFonts w:asciiTheme="majorHAnsi" w:hAnsiTheme="majorHAnsi" w:cstheme="majorHAnsi"/>
          <w:rtl/>
        </w:rPr>
        <w:t>,</w:t>
      </w:r>
      <w:r w:rsidR="00383148" w:rsidRPr="00323289">
        <w:rPr>
          <w:rFonts w:asciiTheme="majorHAnsi" w:hAnsiTheme="majorHAnsi" w:cstheme="majorHAnsi"/>
          <w:rtl/>
        </w:rPr>
        <w:t xml:space="preserve"> שאינם נרשמים </w:t>
      </w:r>
      <w:r w:rsidR="00E720F3" w:rsidRPr="00323289">
        <w:rPr>
          <w:rFonts w:asciiTheme="majorHAnsi" w:hAnsiTheme="majorHAnsi" w:cstheme="majorHAnsi"/>
          <w:rtl/>
        </w:rPr>
        <w:t>כהוצאה ב</w:t>
      </w:r>
      <w:r w:rsidR="00383148" w:rsidRPr="00323289">
        <w:rPr>
          <w:rFonts w:asciiTheme="majorHAnsi" w:hAnsiTheme="majorHAnsi" w:cstheme="majorHAnsi"/>
          <w:rtl/>
        </w:rPr>
        <w:t>תקציב אך דורשים מימון</w:t>
      </w:r>
      <w:r w:rsidR="00B406D5" w:rsidRPr="00323289">
        <w:rPr>
          <w:rFonts w:asciiTheme="majorHAnsi" w:hAnsiTheme="majorHAnsi" w:cstheme="majorHAnsi"/>
          <w:rtl/>
        </w:rPr>
        <w:t xml:space="preserve"> ממשלתי</w:t>
      </w:r>
      <w:r w:rsidRPr="00323289">
        <w:rPr>
          <w:rFonts w:asciiTheme="majorHAnsi" w:hAnsiTheme="majorHAnsi" w:cstheme="majorHAnsi"/>
          <w:rtl/>
        </w:rPr>
        <w:t>.</w:t>
      </w:r>
      <w:r w:rsidR="00B406D5" w:rsidRPr="00323289">
        <w:rPr>
          <w:rStyle w:val="a6"/>
          <w:rFonts w:asciiTheme="majorHAnsi" w:hAnsiTheme="majorHAnsi" w:cstheme="majorHAnsi"/>
          <w:rtl/>
        </w:rPr>
        <w:footnoteReference w:id="5"/>
      </w:r>
      <w:r w:rsidRPr="00323289">
        <w:rPr>
          <w:rFonts w:asciiTheme="majorHAnsi" w:hAnsiTheme="majorHAnsi" w:cstheme="majorHAnsi"/>
          <w:rtl/>
        </w:rPr>
        <w:t xml:space="preserve"> עדכון התקציב כלל גם שינוי של הרכב ההוצאות האחרות בשל התייקרויות בלתי צפויות שהתרחשו טרם המלחמה והגדלת הכנסות זמנית בסכום של כ-5 מיליארדי ש"ח.</w:t>
      </w:r>
      <w:r w:rsidRPr="00323289">
        <w:rPr>
          <w:rStyle w:val="a6"/>
          <w:rFonts w:asciiTheme="majorHAnsi" w:hAnsiTheme="majorHAnsi" w:cstheme="majorHAnsi"/>
          <w:rtl/>
        </w:rPr>
        <w:footnoteReference w:id="6"/>
      </w:r>
      <w:r w:rsidRPr="00323289">
        <w:rPr>
          <w:rFonts w:asciiTheme="majorHAnsi" w:hAnsiTheme="majorHAnsi" w:cstheme="majorHAnsi"/>
          <w:rtl/>
        </w:rPr>
        <w:t xml:space="preserve"> </w:t>
      </w:r>
    </w:p>
    <w:p w14:paraId="6D64996D" w14:textId="242BFF40" w:rsidR="00A83A47" w:rsidRPr="00323289" w:rsidRDefault="00942E2E" w:rsidP="00FC0F18">
      <w:pPr>
        <w:ind w:left="8"/>
        <w:jc w:val="both"/>
        <w:rPr>
          <w:rFonts w:asciiTheme="majorHAnsi" w:hAnsiTheme="majorHAnsi" w:cstheme="majorHAnsi"/>
          <w:rtl/>
        </w:rPr>
      </w:pPr>
      <w:r w:rsidRPr="00323289">
        <w:rPr>
          <w:rFonts w:asciiTheme="majorHAnsi" w:hAnsiTheme="majorHAnsi" w:cstheme="majorHAnsi"/>
          <w:rtl/>
        </w:rPr>
        <w:lastRenderedPageBreak/>
        <w:t xml:space="preserve">הצעדים </w:t>
      </w:r>
      <w:r w:rsidR="00CF6763" w:rsidRPr="00323289">
        <w:rPr>
          <w:rFonts w:asciiTheme="majorHAnsi" w:hAnsiTheme="majorHAnsi" w:cstheme="majorHAnsi"/>
          <w:rtl/>
        </w:rPr>
        <w:t xml:space="preserve">הפיסקליים </w:t>
      </w:r>
      <w:r w:rsidRPr="00323289">
        <w:rPr>
          <w:rFonts w:asciiTheme="majorHAnsi" w:hAnsiTheme="majorHAnsi" w:cstheme="majorHAnsi"/>
          <w:rtl/>
        </w:rPr>
        <w:t xml:space="preserve">שחוקקו בכנסת עד כה לגבי שנת 2025 כוללים הגדלת הכנסות פרמננטית בסכום של כ-8 מיליארדי </w:t>
      </w:r>
      <w:r w:rsidR="00D03947" w:rsidRPr="00323289">
        <w:rPr>
          <w:rFonts w:asciiTheme="majorHAnsi" w:hAnsiTheme="majorHAnsi" w:cstheme="majorHAnsi"/>
          <w:rtl/>
        </w:rPr>
        <w:t>ש"ח</w:t>
      </w:r>
      <w:r w:rsidRPr="00323289">
        <w:rPr>
          <w:rFonts w:asciiTheme="majorHAnsi" w:hAnsiTheme="majorHAnsi" w:cstheme="majorHAnsi"/>
          <w:rtl/>
        </w:rPr>
        <w:t xml:space="preserve"> בעיקר בשל העלאת שיעור המע"מ מ-17% ל-18%. </w:t>
      </w:r>
      <w:r w:rsidR="00383148" w:rsidRPr="00323289">
        <w:rPr>
          <w:rFonts w:asciiTheme="majorHAnsi" w:hAnsiTheme="majorHAnsi" w:cstheme="majorHAnsi"/>
          <w:rtl/>
        </w:rPr>
        <w:t>תחזית הג</w:t>
      </w:r>
      <w:r w:rsidR="00B406D5" w:rsidRPr="00323289">
        <w:rPr>
          <w:rFonts w:asciiTheme="majorHAnsi" w:hAnsiTheme="majorHAnsi" w:cstheme="majorHAnsi"/>
          <w:rtl/>
        </w:rPr>
        <w:t>י</w:t>
      </w:r>
      <w:r w:rsidR="00383148" w:rsidRPr="00323289">
        <w:rPr>
          <w:rFonts w:asciiTheme="majorHAnsi" w:hAnsiTheme="majorHAnsi" w:cstheme="majorHAnsi"/>
          <w:rtl/>
        </w:rPr>
        <w:t xml:space="preserve">רעון לא מביאה בחשבון </w:t>
      </w:r>
      <w:r w:rsidRPr="00323289">
        <w:rPr>
          <w:rFonts w:asciiTheme="majorHAnsi" w:hAnsiTheme="majorHAnsi" w:cstheme="majorHAnsi"/>
          <w:rtl/>
        </w:rPr>
        <w:t xml:space="preserve">צעדי הכנסות נוספים עליהם החליטה הממשלה בסכום שנתי של כ-3 מיליארדי </w:t>
      </w:r>
      <w:r w:rsidR="00293F9A" w:rsidRPr="00323289">
        <w:rPr>
          <w:rFonts w:asciiTheme="majorHAnsi" w:hAnsiTheme="majorHAnsi" w:cstheme="majorHAnsi"/>
          <w:rtl/>
        </w:rPr>
        <w:t>ש"ח</w:t>
      </w:r>
      <w:r w:rsidR="00383148" w:rsidRPr="00323289">
        <w:rPr>
          <w:rFonts w:asciiTheme="majorHAnsi" w:hAnsiTheme="majorHAnsi" w:cstheme="majorHAnsi"/>
          <w:rtl/>
        </w:rPr>
        <w:t xml:space="preserve"> שטרם חוקקו בכנסת</w:t>
      </w:r>
      <w:r w:rsidRPr="00323289">
        <w:rPr>
          <w:rFonts w:asciiTheme="majorHAnsi" w:hAnsiTheme="majorHAnsi" w:cstheme="majorHAnsi"/>
          <w:rtl/>
        </w:rPr>
        <w:t xml:space="preserve">. ההוצאות הציבוריות צפויות להיות גבוהות בשנת 2025 בכ-48 מיליארדי ש"ח (25 </w:t>
      </w:r>
      <w:r w:rsidR="00FC0F18" w:rsidRPr="00323289">
        <w:rPr>
          <w:rFonts w:asciiTheme="majorHAnsi" w:hAnsiTheme="majorHAnsi" w:cstheme="majorHAnsi"/>
          <w:rtl/>
        </w:rPr>
        <w:t>מיליארדי ש"ח מתוכם</w:t>
      </w:r>
      <w:r w:rsidRPr="00323289">
        <w:rPr>
          <w:rFonts w:asciiTheme="majorHAnsi" w:hAnsiTheme="majorHAnsi" w:cstheme="majorHAnsi"/>
          <w:rtl/>
        </w:rPr>
        <w:t xml:space="preserve"> פרמננטיים) לעומת התחזית ערב המלחמה וזאת לאור </w:t>
      </w:r>
      <w:r w:rsidR="00383148" w:rsidRPr="00323289">
        <w:rPr>
          <w:rFonts w:asciiTheme="majorHAnsi" w:hAnsiTheme="majorHAnsi" w:cstheme="majorHAnsi"/>
          <w:rtl/>
        </w:rPr>
        <w:t xml:space="preserve">הנחות העבודה </w:t>
      </w:r>
      <w:r w:rsidRPr="00323289">
        <w:rPr>
          <w:rFonts w:asciiTheme="majorHAnsi" w:hAnsiTheme="majorHAnsi" w:cstheme="majorHAnsi"/>
          <w:rtl/>
        </w:rPr>
        <w:t>לגבי פריסת עלויות הלחימה הזמניות גם לתקציב 2025, בשל שיקום המלאים הצבאיים, הסיכום התקציבי הקיים לגבי הגדלת בסיס תקציב הביטחון בכ-10 מיליארדי ש"ח החל מ-2025 לעומת המתווה הרב-שנתי שהיה קיים ערב המלחמה, וכן גידול צפוי של תשלומי הריבית, הוצאות השיקום של אזורי העימות והגידול בהוצאות השירותים החברתיים לנפגעי המלחמה. תוספות נוספות לתקציב הביטחון עתידות להיות נדונות בהמשך, במסגרת ועדה שתעסוק במתווה רב-שנתי חדש לתקציב הביטחון</w:t>
      </w:r>
      <w:r w:rsidR="00B406D5" w:rsidRPr="00323289">
        <w:rPr>
          <w:rFonts w:asciiTheme="majorHAnsi" w:hAnsiTheme="majorHAnsi" w:cstheme="majorHAnsi"/>
          <w:rtl/>
        </w:rPr>
        <w:t>. ככל שהממשלה תחליט על תוספות כאלה</w:t>
      </w:r>
      <w:r w:rsidRPr="00323289">
        <w:rPr>
          <w:rFonts w:asciiTheme="majorHAnsi" w:hAnsiTheme="majorHAnsi" w:cstheme="majorHAnsi"/>
          <w:rtl/>
        </w:rPr>
        <w:t xml:space="preserve"> </w:t>
      </w:r>
      <w:r w:rsidR="00B406D5" w:rsidRPr="00323289">
        <w:rPr>
          <w:rFonts w:asciiTheme="majorHAnsi" w:hAnsiTheme="majorHAnsi" w:cstheme="majorHAnsi"/>
          <w:rtl/>
        </w:rPr>
        <w:t xml:space="preserve">הן </w:t>
      </w:r>
      <w:r w:rsidRPr="00323289">
        <w:rPr>
          <w:rFonts w:asciiTheme="majorHAnsi" w:hAnsiTheme="majorHAnsi" w:cstheme="majorHAnsi"/>
          <w:rtl/>
        </w:rPr>
        <w:t>יצריכו התאמות תקציביות נוספות כנגדן כדי לרסן את גידול הגרעון בתקציב המדינה.</w:t>
      </w:r>
    </w:p>
    <w:p w14:paraId="3D5BC5B4" w14:textId="77777777" w:rsidR="00A83A47" w:rsidRPr="00323289" w:rsidRDefault="00A83A47">
      <w:pPr>
        <w:bidi w:val="0"/>
        <w:spacing w:before="0" w:after="160" w:line="259" w:lineRule="auto"/>
        <w:contextualSpacing w:val="0"/>
        <w:rPr>
          <w:rFonts w:asciiTheme="majorHAnsi" w:hAnsiTheme="majorHAnsi" w:cstheme="majorHAnsi"/>
          <w:rtl/>
        </w:rPr>
      </w:pPr>
      <w:r w:rsidRPr="00323289">
        <w:rPr>
          <w:rFonts w:asciiTheme="majorHAnsi" w:hAnsiTheme="majorHAnsi" w:cstheme="majorHAnsi"/>
          <w:rtl/>
        </w:rPr>
        <w:br w:type="page"/>
      </w:r>
    </w:p>
    <w:p w14:paraId="12FD5E2F" w14:textId="16648D82" w:rsidR="00C93A33" w:rsidRPr="00323289" w:rsidRDefault="00C93A33" w:rsidP="00C93A33">
      <w:pPr>
        <w:keepNext/>
        <w:keepLines/>
        <w:spacing w:line="240" w:lineRule="auto"/>
        <w:ind w:firstLine="40"/>
        <w:jc w:val="center"/>
        <w:outlineLvl w:val="1"/>
        <w:rPr>
          <w:rFonts w:asciiTheme="majorHAnsi" w:eastAsia="Calibri" w:hAnsiTheme="majorHAnsi" w:cstheme="majorHAnsi"/>
          <w:b/>
          <w:bCs/>
          <w:color w:val="4F81BD"/>
          <w:rtl/>
        </w:rPr>
      </w:pPr>
      <w:r w:rsidRPr="00323289">
        <w:rPr>
          <w:rFonts w:asciiTheme="majorHAnsi" w:eastAsia="Calibri" w:hAnsiTheme="majorHAnsi" w:cstheme="majorHAnsi"/>
          <w:b/>
          <w:bCs/>
          <w:color w:val="4F81BD"/>
          <w:rtl/>
        </w:rPr>
        <w:lastRenderedPageBreak/>
        <w:t>לוח 1</w:t>
      </w:r>
      <w:r w:rsidRPr="00323289">
        <w:rPr>
          <w:rFonts w:asciiTheme="majorHAnsi" w:eastAsia="Calibri" w:hAnsiTheme="majorHAnsi" w:cstheme="majorHAnsi"/>
          <w:b/>
          <w:bCs/>
          <w:color w:val="4F81BD"/>
          <w:rtl/>
        </w:rPr>
        <w:br/>
        <w:t xml:space="preserve"> תחזית חטיבת המחקר ל-202</w:t>
      </w:r>
      <w:r w:rsidR="007F620D" w:rsidRPr="00323289">
        <w:rPr>
          <w:rFonts w:asciiTheme="majorHAnsi" w:eastAsia="Calibri" w:hAnsiTheme="majorHAnsi" w:cstheme="majorHAnsi"/>
          <w:b/>
          <w:bCs/>
          <w:color w:val="4F81BD"/>
          <w:rtl/>
        </w:rPr>
        <w:t>4</w:t>
      </w:r>
      <w:r w:rsidRPr="00323289">
        <w:rPr>
          <w:rFonts w:asciiTheme="majorHAnsi" w:eastAsia="Calibri" w:hAnsiTheme="majorHAnsi" w:cstheme="majorHAnsi"/>
          <w:b/>
          <w:bCs/>
          <w:color w:val="4F81BD"/>
          <w:rtl/>
        </w:rPr>
        <w:t>—202</w:t>
      </w:r>
      <w:r w:rsidR="00E036EF" w:rsidRPr="00323289">
        <w:rPr>
          <w:rFonts w:asciiTheme="majorHAnsi" w:eastAsia="Calibri" w:hAnsiTheme="majorHAnsi" w:cstheme="majorHAnsi"/>
          <w:b/>
          <w:bCs/>
          <w:color w:val="4F81BD"/>
          <w:rtl/>
        </w:rPr>
        <w:t>5</w:t>
      </w:r>
    </w:p>
    <w:p w14:paraId="1D12DC29" w14:textId="77777777" w:rsidR="00C93A33" w:rsidRPr="00323289" w:rsidRDefault="00C93A33" w:rsidP="00C93A33">
      <w:pPr>
        <w:keepNext/>
        <w:keepLines/>
        <w:spacing w:line="240" w:lineRule="auto"/>
        <w:ind w:firstLine="40"/>
        <w:jc w:val="center"/>
        <w:rPr>
          <w:rFonts w:asciiTheme="majorHAnsi" w:eastAsia="Calibri" w:hAnsiTheme="majorHAnsi" w:cstheme="majorHAnsi"/>
          <w:color w:val="4F81BD"/>
          <w:rtl/>
        </w:rPr>
      </w:pPr>
      <w:r w:rsidRPr="00323289">
        <w:rPr>
          <w:rFonts w:asciiTheme="majorHAnsi" w:eastAsia="Calibri" w:hAnsiTheme="majorHAnsi" w:cstheme="majorHAnsi"/>
          <w:color w:val="4F81BD"/>
          <w:rtl/>
        </w:rPr>
        <w:t xml:space="preserve"> (שיעורי השינוי באחוזים</w:t>
      </w:r>
      <w:r w:rsidRPr="00323289">
        <w:rPr>
          <w:rFonts w:asciiTheme="majorHAnsi" w:eastAsia="Calibri" w:hAnsiTheme="majorHAnsi" w:cstheme="majorHAnsi"/>
          <w:b/>
          <w:bCs/>
          <w:color w:val="4F81BD"/>
          <w:sz w:val="20"/>
          <w:szCs w:val="20"/>
          <w:vertAlign w:val="superscript"/>
          <w:rtl/>
        </w:rPr>
        <w:t>1</w:t>
      </w:r>
      <w:r w:rsidRPr="00323289">
        <w:rPr>
          <w:rFonts w:asciiTheme="majorHAnsi" w:eastAsia="Calibri" w:hAnsiTheme="majorHAnsi" w:cstheme="majorHAnsi"/>
          <w:color w:val="4F81BD"/>
          <w:rtl/>
        </w:rPr>
        <w:t>, אלא אם צוין אחרת)</w:t>
      </w:r>
    </w:p>
    <w:tbl>
      <w:tblPr>
        <w:bidiVisual/>
        <w:tblW w:w="4791" w:type="pct"/>
        <w:tblInd w:w="385" w:type="dxa"/>
        <w:tblCellMar>
          <w:left w:w="0" w:type="dxa"/>
          <w:right w:w="0" w:type="dxa"/>
        </w:tblCellMar>
        <w:tblLook w:val="04A0" w:firstRow="1" w:lastRow="0" w:firstColumn="1" w:lastColumn="0" w:noHBand="0" w:noVBand="1"/>
      </w:tblPr>
      <w:tblGrid>
        <w:gridCol w:w="4554"/>
        <w:gridCol w:w="630"/>
        <w:gridCol w:w="119"/>
        <w:gridCol w:w="759"/>
        <w:gridCol w:w="889"/>
        <w:gridCol w:w="112"/>
        <w:gridCol w:w="733"/>
        <w:gridCol w:w="853"/>
      </w:tblGrid>
      <w:tr w:rsidR="007F620D" w:rsidRPr="00323289" w14:paraId="1C499FF5" w14:textId="48FD2E6F"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bottom"/>
            <w:hideMark/>
          </w:tcPr>
          <w:p w14:paraId="7794D560" w14:textId="77777777" w:rsidR="007F620D" w:rsidRPr="00323289" w:rsidRDefault="007F620D" w:rsidP="00712048">
            <w:pPr>
              <w:bidi w:val="0"/>
              <w:spacing w:beforeLines="20" w:before="48" w:afterLines="20" w:after="48" w:line="240" w:lineRule="auto"/>
              <w:contextualSpacing w:val="0"/>
              <w:rPr>
                <w:rFonts w:asciiTheme="majorHAnsi" w:eastAsia="Times New Roman" w:hAnsiTheme="majorHAnsi" w:cstheme="majorHAnsi"/>
              </w:rPr>
            </w:pPr>
          </w:p>
        </w:tc>
        <w:tc>
          <w:tcPr>
            <w:tcW w:w="36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3CAC4D4" w14:textId="71129AA0" w:rsidR="007F620D" w:rsidRPr="00323289" w:rsidRDefault="007F620D" w:rsidP="00712048">
            <w:pPr>
              <w:spacing w:beforeLines="20" w:before="48" w:afterLines="20" w:after="48" w:line="240" w:lineRule="auto"/>
              <w:contextualSpacing w:val="0"/>
              <w:jc w:val="center"/>
              <w:rPr>
                <w:rFonts w:asciiTheme="majorHAnsi" w:eastAsia="Times New Roman" w:hAnsiTheme="majorHAnsi" w:cstheme="majorHAnsi"/>
              </w:rPr>
            </w:pPr>
            <w:r w:rsidRPr="00323289">
              <w:rPr>
                <w:rFonts w:asciiTheme="majorHAnsi" w:eastAsia="Calibri" w:hAnsiTheme="majorHAnsi" w:cstheme="majorHAnsi"/>
                <w:b/>
                <w:bCs/>
                <w:color w:val="000000"/>
                <w:kern w:val="24"/>
                <w:sz w:val="22"/>
                <w:szCs w:val="22"/>
                <w:rtl/>
              </w:rPr>
              <w:t>2023</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34EDC3B8" w14:textId="77777777" w:rsidR="007F620D" w:rsidRPr="00323289" w:rsidRDefault="007F620D" w:rsidP="00712048">
            <w:pPr>
              <w:bidi w:val="0"/>
              <w:spacing w:beforeLines="20" w:before="48" w:afterLines="20" w:after="48" w:line="240" w:lineRule="auto"/>
              <w:contextualSpacing w:val="0"/>
              <w:jc w:val="center"/>
              <w:rPr>
                <w:rFonts w:asciiTheme="majorHAnsi" w:eastAsia="Times New Roman" w:hAnsiTheme="majorHAnsi" w:cstheme="majorHAnsi"/>
                <w:rtl/>
              </w:rPr>
            </w:pPr>
          </w:p>
        </w:tc>
        <w:tc>
          <w:tcPr>
            <w:tcW w:w="953" w:type="pct"/>
            <w:gridSpan w:val="2"/>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07A475B" w14:textId="2659D9E6" w:rsidR="007F620D" w:rsidRPr="00323289" w:rsidRDefault="007F620D" w:rsidP="00712048">
            <w:pPr>
              <w:bidi w:val="0"/>
              <w:spacing w:beforeLines="20" w:before="48" w:afterLines="20" w:after="48" w:line="240" w:lineRule="auto"/>
              <w:contextualSpacing w:val="0"/>
              <w:jc w:val="center"/>
              <w:rPr>
                <w:rFonts w:asciiTheme="majorHAnsi" w:eastAsia="Times New Roman" w:hAnsiTheme="majorHAnsi" w:cstheme="majorHAnsi"/>
              </w:rPr>
            </w:pPr>
            <w:r w:rsidRPr="00323289">
              <w:rPr>
                <w:rFonts w:asciiTheme="majorHAnsi" w:eastAsia="Calibri" w:hAnsiTheme="majorHAnsi" w:cstheme="majorHAnsi"/>
                <w:b/>
                <w:bCs/>
                <w:color w:val="000000"/>
                <w:kern w:val="24"/>
                <w:sz w:val="22"/>
                <w:szCs w:val="22"/>
              </w:rPr>
              <w:t>2024</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0E103BEA" w14:textId="77777777" w:rsidR="007F620D" w:rsidRPr="00323289" w:rsidRDefault="007F620D" w:rsidP="00712048">
            <w:pPr>
              <w:bidi w:val="0"/>
              <w:spacing w:beforeLines="20" w:before="48" w:afterLines="20" w:after="48" w:line="240" w:lineRule="auto"/>
              <w:contextualSpacing w:val="0"/>
              <w:jc w:val="center"/>
              <w:rPr>
                <w:rFonts w:asciiTheme="majorHAnsi" w:eastAsia="Times New Roman" w:hAnsiTheme="majorHAnsi" w:cstheme="majorHAnsi"/>
                <w:rtl/>
              </w:rPr>
            </w:pPr>
          </w:p>
        </w:tc>
        <w:tc>
          <w:tcPr>
            <w:tcW w:w="918" w:type="pct"/>
            <w:gridSpan w:val="2"/>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FD728EC" w14:textId="78AAAE70" w:rsidR="007F620D" w:rsidRPr="00323289" w:rsidRDefault="007F620D" w:rsidP="00712048">
            <w:pPr>
              <w:spacing w:beforeLines="20" w:before="48" w:afterLines="20" w:after="48" w:line="240" w:lineRule="auto"/>
              <w:contextualSpacing w:val="0"/>
              <w:jc w:val="center"/>
              <w:rPr>
                <w:rFonts w:asciiTheme="majorHAnsi" w:eastAsia="Times New Roman" w:hAnsiTheme="majorHAnsi" w:cstheme="majorHAnsi"/>
              </w:rPr>
            </w:pPr>
            <w:r w:rsidRPr="00323289">
              <w:rPr>
                <w:rFonts w:asciiTheme="majorHAnsi" w:eastAsia="Calibri" w:hAnsiTheme="majorHAnsi" w:cstheme="majorHAnsi"/>
                <w:b/>
                <w:bCs/>
                <w:color w:val="000000"/>
                <w:kern w:val="24"/>
                <w:sz w:val="22"/>
                <w:szCs w:val="22"/>
                <w:rtl/>
              </w:rPr>
              <w:t>2025</w:t>
            </w:r>
          </w:p>
        </w:tc>
      </w:tr>
      <w:tr w:rsidR="007F620D" w:rsidRPr="00323289" w14:paraId="501E16D4" w14:textId="61B69E01" w:rsidTr="0057071C">
        <w:trPr>
          <w:trHeight w:val="20"/>
        </w:trPr>
        <w:tc>
          <w:tcPr>
            <w:tcW w:w="2632"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F8A32A6" w14:textId="77777777" w:rsidR="007F620D" w:rsidRPr="00323289" w:rsidRDefault="007F620D" w:rsidP="007F620D">
            <w:pPr>
              <w:bidi w:val="0"/>
              <w:spacing w:beforeLines="20" w:before="48" w:afterLines="20" w:after="48" w:line="240" w:lineRule="auto"/>
              <w:contextualSpacing w:val="0"/>
              <w:jc w:val="both"/>
              <w:rPr>
                <w:rFonts w:asciiTheme="majorHAnsi" w:eastAsia="Times New Roman" w:hAnsiTheme="majorHAnsi" w:cstheme="majorHAnsi"/>
              </w:rPr>
            </w:pPr>
            <w:r w:rsidRPr="00323289">
              <w:rPr>
                <w:rFonts w:asciiTheme="majorHAnsi" w:eastAsia="Calibri" w:hAnsiTheme="majorHAnsi" w:cstheme="majorHAnsi"/>
                <w:color w:val="000000"/>
                <w:kern w:val="24"/>
                <w:sz w:val="22"/>
                <w:szCs w:val="22"/>
              </w:rPr>
              <w:t> </w:t>
            </w:r>
          </w:p>
        </w:tc>
        <w:tc>
          <w:tcPr>
            <w:tcW w:w="364" w:type="pct"/>
            <w:tcBorders>
              <w:top w:val="nil"/>
              <w:left w:val="nil"/>
              <w:bottom w:val="single" w:sz="8" w:space="0" w:color="000000"/>
              <w:right w:val="nil"/>
            </w:tcBorders>
            <w:shd w:val="clear" w:color="auto" w:fill="D9D9D9"/>
            <w:tcMar>
              <w:top w:w="15" w:type="dxa"/>
              <w:left w:w="15" w:type="dxa"/>
              <w:bottom w:w="0" w:type="dxa"/>
              <w:right w:w="15" w:type="dxa"/>
            </w:tcMar>
            <w:vAlign w:val="center"/>
            <w:hideMark/>
          </w:tcPr>
          <w:p w14:paraId="03C5F070"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בפועל</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5BA59BE7" w14:textId="77777777" w:rsidR="007F620D" w:rsidRPr="00323289" w:rsidRDefault="007F620D" w:rsidP="007F620D">
            <w:pPr>
              <w:bidi w:val="0"/>
              <w:spacing w:beforeLines="20" w:before="48" w:afterLines="20" w:after="48" w:line="240" w:lineRule="auto"/>
              <w:contextualSpacing w:val="0"/>
              <w:jc w:val="center"/>
              <w:rPr>
                <w:rFonts w:asciiTheme="majorHAnsi" w:eastAsia="Times New Roman" w:hAnsiTheme="majorHAnsi" w:cstheme="majorHAnsi"/>
                <w:rtl/>
              </w:rPr>
            </w:pPr>
          </w:p>
        </w:tc>
        <w:tc>
          <w:tcPr>
            <w:tcW w:w="439"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B5AD4FD" w14:textId="256B86F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rPr>
            </w:pPr>
            <w:r w:rsidRPr="00323289">
              <w:rPr>
                <w:rFonts w:asciiTheme="majorHAnsi" w:eastAsia="Calibri" w:hAnsiTheme="majorHAnsi" w:cstheme="majorHAnsi"/>
                <w:color w:val="000000"/>
                <w:kern w:val="24"/>
                <w:sz w:val="22"/>
                <w:szCs w:val="22"/>
                <w:rtl/>
              </w:rPr>
              <w:t xml:space="preserve">התחזית </w:t>
            </w:r>
            <w:r w:rsidRPr="00323289">
              <w:rPr>
                <w:rFonts w:asciiTheme="majorHAnsi" w:eastAsia="Calibri" w:hAnsiTheme="majorHAnsi" w:cstheme="majorHAnsi"/>
                <w:color w:val="000000"/>
                <w:kern w:val="24"/>
                <w:sz w:val="22"/>
                <w:szCs w:val="22"/>
              </w:rPr>
              <w:br/>
            </w:r>
            <w:r w:rsidRPr="00323289">
              <w:rPr>
                <w:rFonts w:asciiTheme="majorHAnsi" w:eastAsia="Calibri" w:hAnsiTheme="majorHAnsi" w:cstheme="majorHAnsi"/>
                <w:color w:val="000000"/>
                <w:kern w:val="24"/>
                <w:sz w:val="22"/>
                <w:szCs w:val="22"/>
                <w:rtl/>
              </w:rPr>
              <w:t>ל-2024</w:t>
            </w:r>
          </w:p>
        </w:tc>
        <w:tc>
          <w:tcPr>
            <w:tcW w:w="51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6A9F993" w14:textId="161B4839"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rtl/>
              </w:rPr>
            </w:pPr>
            <w:r w:rsidRPr="00323289">
              <w:rPr>
                <w:rFonts w:asciiTheme="majorHAnsi" w:eastAsia="Calibri" w:hAnsiTheme="majorHAnsi" w:cstheme="majorHAnsi"/>
                <w:color w:val="4F81BD"/>
                <w:kern w:val="24"/>
                <w:sz w:val="22"/>
                <w:szCs w:val="22"/>
                <w:rtl/>
              </w:rPr>
              <w:t>השינוי מתחזית ינואר</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21D86C6C" w14:textId="77777777" w:rsidR="007F620D" w:rsidRPr="00323289" w:rsidRDefault="007F620D" w:rsidP="007F620D">
            <w:pPr>
              <w:bidi w:val="0"/>
              <w:spacing w:beforeLines="20" w:before="48" w:afterLines="20" w:after="48" w:line="240" w:lineRule="auto"/>
              <w:contextualSpacing w:val="0"/>
              <w:jc w:val="center"/>
              <w:rPr>
                <w:rFonts w:asciiTheme="majorHAnsi" w:eastAsia="Times New Roman" w:hAnsiTheme="majorHAnsi" w:cstheme="majorHAnsi"/>
                <w:rtl/>
              </w:rPr>
            </w:pPr>
          </w:p>
        </w:tc>
        <w:tc>
          <w:tcPr>
            <w:tcW w:w="42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6C433EB" w14:textId="1CED19CE"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rPr>
            </w:pPr>
            <w:r w:rsidRPr="00323289">
              <w:rPr>
                <w:rFonts w:asciiTheme="majorHAnsi" w:eastAsia="Calibri" w:hAnsiTheme="majorHAnsi" w:cstheme="majorHAnsi"/>
                <w:color w:val="000000"/>
                <w:kern w:val="24"/>
                <w:sz w:val="22"/>
                <w:szCs w:val="22"/>
                <w:rtl/>
              </w:rPr>
              <w:t xml:space="preserve">התחזית </w:t>
            </w:r>
            <w:r w:rsidRPr="00323289">
              <w:rPr>
                <w:rFonts w:asciiTheme="majorHAnsi" w:eastAsia="Calibri" w:hAnsiTheme="majorHAnsi" w:cstheme="majorHAnsi"/>
                <w:color w:val="000000"/>
                <w:kern w:val="24"/>
                <w:sz w:val="22"/>
                <w:szCs w:val="22"/>
              </w:rPr>
              <w:br/>
            </w:r>
            <w:r w:rsidRPr="00323289">
              <w:rPr>
                <w:rFonts w:asciiTheme="majorHAnsi" w:eastAsia="Calibri" w:hAnsiTheme="majorHAnsi" w:cstheme="majorHAnsi"/>
                <w:color w:val="000000"/>
                <w:kern w:val="24"/>
                <w:sz w:val="22"/>
                <w:szCs w:val="22"/>
                <w:rtl/>
              </w:rPr>
              <w:t>ל-2025</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0087931" w14:textId="0C444CF5"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rtl/>
              </w:rPr>
            </w:pPr>
            <w:r w:rsidRPr="00323289">
              <w:rPr>
                <w:rFonts w:asciiTheme="majorHAnsi" w:eastAsia="Calibri" w:hAnsiTheme="majorHAnsi" w:cstheme="majorHAnsi"/>
                <w:color w:val="4F81BD"/>
                <w:kern w:val="24"/>
                <w:sz w:val="22"/>
                <w:szCs w:val="22"/>
                <w:rtl/>
              </w:rPr>
              <w:t>השינוי מתחזית ינואר</w:t>
            </w:r>
          </w:p>
        </w:tc>
      </w:tr>
      <w:tr w:rsidR="007F620D" w:rsidRPr="00323289" w14:paraId="4DAB0A71" w14:textId="4D25A469" w:rsidTr="0057071C">
        <w:trPr>
          <w:trHeight w:val="20"/>
        </w:trPr>
        <w:tc>
          <w:tcPr>
            <w:tcW w:w="2632"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D5EAE8A" w14:textId="77777777" w:rsidR="007F620D" w:rsidRPr="00323289" w:rsidRDefault="007F620D" w:rsidP="007F620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תוצר מקומי גולמי</w:t>
            </w:r>
          </w:p>
        </w:tc>
        <w:tc>
          <w:tcPr>
            <w:tcW w:w="364" w:type="pct"/>
            <w:tcBorders>
              <w:top w:val="single" w:sz="8" w:space="0" w:color="000000"/>
              <w:left w:val="nil"/>
              <w:bottom w:val="nil"/>
              <w:right w:val="nil"/>
            </w:tcBorders>
            <w:shd w:val="clear" w:color="auto" w:fill="D9D9D9"/>
            <w:tcMar>
              <w:top w:w="15" w:type="dxa"/>
              <w:left w:w="15" w:type="dxa"/>
              <w:bottom w:w="0" w:type="dxa"/>
              <w:right w:w="15" w:type="dxa"/>
            </w:tcMar>
            <w:vAlign w:val="center"/>
            <w:hideMark/>
          </w:tcPr>
          <w:p w14:paraId="245AB0B6" w14:textId="70C9AB1C"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000000"/>
                <w:kern w:val="24"/>
                <w:sz w:val="22"/>
                <w:szCs w:val="22"/>
                <w:rtl/>
              </w:rPr>
              <w:t>2.0</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463A0205"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A6C53BB"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b/>
                <w:bCs/>
                <w:color w:val="000000"/>
                <w:kern w:val="24"/>
                <w:sz w:val="22"/>
                <w:szCs w:val="22"/>
                <w:rtl/>
              </w:rPr>
              <w:t>2.0</w:t>
            </w:r>
          </w:p>
        </w:tc>
        <w:tc>
          <w:tcPr>
            <w:tcW w:w="51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8D50592" w14:textId="68A07580"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tl/>
              </w:rPr>
              <w:t>-</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4F43ADAC"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26A6E15" w14:textId="2D2B050F"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b/>
                <w:bCs/>
                <w:color w:val="000000"/>
                <w:kern w:val="24"/>
                <w:sz w:val="22"/>
                <w:szCs w:val="22"/>
              </w:rPr>
              <w:t>5.</w:t>
            </w:r>
            <w:r w:rsidR="006D4195" w:rsidRPr="00323289">
              <w:rPr>
                <w:rFonts w:asciiTheme="majorHAnsi" w:eastAsia="Times New Roman" w:hAnsiTheme="majorHAnsi" w:cstheme="majorHAnsi"/>
                <w:b/>
                <w:bCs/>
                <w:color w:val="000000"/>
                <w:kern w:val="24"/>
                <w:sz w:val="22"/>
                <w:szCs w:val="22"/>
              </w:rPr>
              <w:t>0</w:t>
            </w:r>
          </w:p>
        </w:tc>
        <w:tc>
          <w:tcPr>
            <w:tcW w:w="49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80E0A38" w14:textId="1E3B532A" w:rsidR="007F620D" w:rsidRPr="00323289" w:rsidRDefault="006D4195"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w:t>
            </w:r>
          </w:p>
        </w:tc>
      </w:tr>
      <w:tr w:rsidR="007F620D" w:rsidRPr="00323289" w14:paraId="67DC2592" w14:textId="6D0C466E"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center"/>
            <w:hideMark/>
          </w:tcPr>
          <w:p w14:paraId="35BC73E2" w14:textId="77777777" w:rsidR="007F620D" w:rsidRPr="00323289" w:rsidRDefault="007F620D" w:rsidP="007F620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צריכה פרטית</w:t>
            </w:r>
          </w:p>
        </w:tc>
        <w:tc>
          <w:tcPr>
            <w:tcW w:w="364" w:type="pct"/>
            <w:tcBorders>
              <w:top w:val="nil"/>
              <w:left w:val="nil"/>
              <w:bottom w:val="nil"/>
              <w:right w:val="nil"/>
            </w:tcBorders>
            <w:shd w:val="clear" w:color="auto" w:fill="D9D9D9"/>
            <w:tcMar>
              <w:top w:w="15" w:type="dxa"/>
              <w:left w:w="15" w:type="dxa"/>
              <w:bottom w:w="0" w:type="dxa"/>
              <w:right w:w="15" w:type="dxa"/>
            </w:tcMar>
            <w:vAlign w:val="center"/>
            <w:hideMark/>
          </w:tcPr>
          <w:p w14:paraId="19B66EFC" w14:textId="2D2DA202"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Pr>
            </w:pPr>
            <w:r w:rsidRPr="00323289">
              <w:rPr>
                <w:rFonts w:asciiTheme="majorHAnsi" w:eastAsia="Times New Roman" w:hAnsiTheme="majorHAnsi" w:cstheme="majorHAnsi"/>
                <w:sz w:val="22"/>
                <w:szCs w:val="22"/>
              </w:rPr>
              <w:t>-0.8</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06CC70C6"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nil"/>
              <w:left w:val="nil"/>
              <w:bottom w:val="nil"/>
              <w:right w:val="nil"/>
            </w:tcBorders>
            <w:shd w:val="clear" w:color="auto" w:fill="auto"/>
            <w:tcMar>
              <w:top w:w="15" w:type="dxa"/>
              <w:left w:w="15" w:type="dxa"/>
              <w:bottom w:w="0" w:type="dxa"/>
              <w:right w:w="15" w:type="dxa"/>
            </w:tcMar>
            <w:vAlign w:val="center"/>
            <w:hideMark/>
          </w:tcPr>
          <w:p w14:paraId="6C0F0A62" w14:textId="0EBCC2D1"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b/>
                <w:bCs/>
                <w:color w:val="000000"/>
                <w:kern w:val="24"/>
                <w:sz w:val="22"/>
                <w:szCs w:val="22"/>
              </w:rPr>
              <w:t>4.5</w:t>
            </w:r>
          </w:p>
        </w:tc>
        <w:tc>
          <w:tcPr>
            <w:tcW w:w="514" w:type="pct"/>
            <w:tcBorders>
              <w:top w:val="nil"/>
              <w:left w:val="nil"/>
              <w:bottom w:val="nil"/>
              <w:right w:val="nil"/>
            </w:tcBorders>
            <w:shd w:val="clear" w:color="auto" w:fill="auto"/>
            <w:tcMar>
              <w:top w:w="15" w:type="dxa"/>
              <w:left w:w="15" w:type="dxa"/>
              <w:bottom w:w="0" w:type="dxa"/>
              <w:right w:w="15" w:type="dxa"/>
            </w:tcMar>
            <w:vAlign w:val="center"/>
            <w:hideMark/>
          </w:tcPr>
          <w:p w14:paraId="180E431F" w14:textId="1B6C6EB9"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1.5</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7631B6ED" w14:textId="77777777" w:rsidR="007F620D" w:rsidRPr="00323289" w:rsidRDefault="007F620D" w:rsidP="007F620D">
            <w:pPr>
              <w:bidi w:val="0"/>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nil"/>
              <w:left w:val="nil"/>
              <w:bottom w:val="nil"/>
              <w:right w:val="nil"/>
            </w:tcBorders>
            <w:shd w:val="clear" w:color="auto" w:fill="auto"/>
            <w:tcMar>
              <w:top w:w="15" w:type="dxa"/>
              <w:left w:w="15" w:type="dxa"/>
              <w:bottom w:w="0" w:type="dxa"/>
              <w:right w:w="15" w:type="dxa"/>
            </w:tcMar>
            <w:vAlign w:val="center"/>
            <w:hideMark/>
          </w:tcPr>
          <w:p w14:paraId="6C43AAEA" w14:textId="5CDC9DFD" w:rsidR="007F620D" w:rsidRPr="00323289" w:rsidRDefault="00E571A3" w:rsidP="007F620D">
            <w:pPr>
              <w:spacing w:beforeLines="20" w:before="48" w:afterLines="20" w:after="48" w:line="240" w:lineRule="auto"/>
              <w:contextualSpacing w:val="0"/>
              <w:jc w:val="center"/>
              <w:rPr>
                <w:rFonts w:asciiTheme="majorHAnsi" w:eastAsia="Times New Roman" w:hAnsiTheme="majorHAnsi" w:cstheme="majorHAnsi"/>
                <w:sz w:val="22"/>
                <w:szCs w:val="22"/>
              </w:rPr>
            </w:pPr>
            <w:r w:rsidRPr="00323289">
              <w:rPr>
                <w:rFonts w:asciiTheme="majorHAnsi" w:eastAsia="Times New Roman" w:hAnsiTheme="majorHAnsi" w:cstheme="majorHAnsi"/>
                <w:b/>
                <w:bCs/>
                <w:color w:val="000000"/>
                <w:kern w:val="24"/>
                <w:sz w:val="22"/>
                <w:szCs w:val="22"/>
              </w:rPr>
              <w:t>5.5</w:t>
            </w:r>
          </w:p>
        </w:tc>
        <w:tc>
          <w:tcPr>
            <w:tcW w:w="494" w:type="pct"/>
            <w:tcBorders>
              <w:top w:val="nil"/>
              <w:left w:val="nil"/>
              <w:bottom w:val="nil"/>
              <w:right w:val="nil"/>
            </w:tcBorders>
            <w:shd w:val="clear" w:color="auto" w:fill="auto"/>
            <w:tcMar>
              <w:top w:w="15" w:type="dxa"/>
              <w:left w:w="15" w:type="dxa"/>
              <w:bottom w:w="0" w:type="dxa"/>
              <w:right w:w="15" w:type="dxa"/>
            </w:tcMar>
            <w:vAlign w:val="center"/>
            <w:hideMark/>
          </w:tcPr>
          <w:p w14:paraId="7B00C6EB" w14:textId="7603B166"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w:t>
            </w:r>
            <w:r w:rsidR="00E571A3" w:rsidRPr="00323289">
              <w:rPr>
                <w:rFonts w:asciiTheme="majorHAnsi" w:eastAsia="Times New Roman" w:hAnsiTheme="majorHAnsi" w:cstheme="majorHAnsi"/>
                <w:color w:val="4F81BD"/>
                <w:kern w:val="24"/>
                <w:sz w:val="22"/>
                <w:szCs w:val="22"/>
              </w:rPr>
              <w:t>0</w:t>
            </w:r>
            <w:r w:rsidRPr="00323289">
              <w:rPr>
                <w:rFonts w:asciiTheme="majorHAnsi" w:eastAsia="Times New Roman" w:hAnsiTheme="majorHAnsi" w:cstheme="majorHAnsi"/>
                <w:color w:val="4F81BD"/>
                <w:kern w:val="24"/>
                <w:sz w:val="22"/>
                <w:szCs w:val="22"/>
              </w:rPr>
              <w:t>.5</w:t>
            </w:r>
          </w:p>
        </w:tc>
      </w:tr>
      <w:tr w:rsidR="007F620D" w:rsidRPr="00323289" w14:paraId="39D9DB40" w14:textId="3AEFDCB2"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center"/>
            <w:hideMark/>
          </w:tcPr>
          <w:p w14:paraId="039A4A27" w14:textId="77777777" w:rsidR="007F620D" w:rsidRPr="00323289" w:rsidRDefault="007F620D" w:rsidP="007F620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השקעה בנכסים קבועים (ללא אוניות ומטוסים)</w:t>
            </w:r>
          </w:p>
        </w:tc>
        <w:tc>
          <w:tcPr>
            <w:tcW w:w="364" w:type="pct"/>
            <w:tcBorders>
              <w:top w:val="nil"/>
              <w:left w:val="nil"/>
              <w:bottom w:val="nil"/>
              <w:right w:val="nil"/>
            </w:tcBorders>
            <w:shd w:val="clear" w:color="auto" w:fill="D9D9D9"/>
            <w:tcMar>
              <w:top w:w="15" w:type="dxa"/>
              <w:left w:w="15" w:type="dxa"/>
              <w:bottom w:w="0" w:type="dxa"/>
              <w:right w:w="15" w:type="dxa"/>
            </w:tcMar>
            <w:vAlign w:val="center"/>
            <w:hideMark/>
          </w:tcPr>
          <w:p w14:paraId="511B7429" w14:textId="7BE3E26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000000"/>
                <w:kern w:val="24"/>
                <w:sz w:val="22"/>
                <w:szCs w:val="22"/>
              </w:rPr>
              <w:t>-3.1</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2544395D"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nil"/>
              <w:left w:val="nil"/>
              <w:bottom w:val="nil"/>
              <w:right w:val="nil"/>
            </w:tcBorders>
            <w:shd w:val="clear" w:color="auto" w:fill="auto"/>
            <w:tcMar>
              <w:top w:w="15" w:type="dxa"/>
              <w:left w:w="15" w:type="dxa"/>
              <w:bottom w:w="0" w:type="dxa"/>
              <w:right w:w="15" w:type="dxa"/>
            </w:tcMar>
            <w:vAlign w:val="center"/>
            <w:hideMark/>
          </w:tcPr>
          <w:p w14:paraId="455970EA" w14:textId="6D140C7C"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Pr>
            </w:pPr>
            <w:r w:rsidRPr="00323289">
              <w:rPr>
                <w:rFonts w:asciiTheme="majorHAnsi" w:eastAsia="Times New Roman" w:hAnsiTheme="majorHAnsi" w:cstheme="majorHAnsi"/>
                <w:b/>
                <w:bCs/>
                <w:color w:val="000000"/>
                <w:kern w:val="24"/>
                <w:sz w:val="22"/>
                <w:szCs w:val="22"/>
              </w:rPr>
              <w:t>-3.5</w:t>
            </w:r>
          </w:p>
        </w:tc>
        <w:tc>
          <w:tcPr>
            <w:tcW w:w="514" w:type="pct"/>
            <w:tcBorders>
              <w:top w:val="nil"/>
              <w:left w:val="nil"/>
              <w:bottom w:val="nil"/>
              <w:right w:val="nil"/>
            </w:tcBorders>
            <w:shd w:val="clear" w:color="auto" w:fill="auto"/>
            <w:tcMar>
              <w:top w:w="15" w:type="dxa"/>
              <w:left w:w="15" w:type="dxa"/>
              <w:bottom w:w="0" w:type="dxa"/>
              <w:right w:w="15" w:type="dxa"/>
            </w:tcMar>
            <w:vAlign w:val="center"/>
            <w:hideMark/>
          </w:tcPr>
          <w:p w14:paraId="134D8977" w14:textId="2BA6BDBE"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-0.5</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209F6682" w14:textId="77777777" w:rsidR="007F620D" w:rsidRPr="00323289" w:rsidRDefault="007F620D" w:rsidP="007F620D">
            <w:pPr>
              <w:bidi w:val="0"/>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nil"/>
              <w:left w:val="nil"/>
              <w:bottom w:val="nil"/>
              <w:right w:val="nil"/>
            </w:tcBorders>
            <w:shd w:val="clear" w:color="auto" w:fill="auto"/>
            <w:tcMar>
              <w:top w:w="15" w:type="dxa"/>
              <w:left w:w="15" w:type="dxa"/>
              <w:bottom w:w="0" w:type="dxa"/>
              <w:right w:w="15" w:type="dxa"/>
            </w:tcMar>
            <w:vAlign w:val="center"/>
            <w:hideMark/>
          </w:tcPr>
          <w:p w14:paraId="1E2C5F9F" w14:textId="2A0D5172" w:rsidR="007F620D" w:rsidRPr="00323289" w:rsidRDefault="00E571A3" w:rsidP="007F620D">
            <w:pPr>
              <w:spacing w:beforeLines="20" w:before="48" w:afterLines="20" w:after="48" w:line="240" w:lineRule="auto"/>
              <w:contextualSpacing w:val="0"/>
              <w:jc w:val="center"/>
              <w:rPr>
                <w:rFonts w:asciiTheme="majorHAnsi" w:eastAsia="Times New Roman" w:hAnsiTheme="majorHAnsi" w:cstheme="majorHAnsi"/>
                <w:sz w:val="22"/>
                <w:szCs w:val="22"/>
              </w:rPr>
            </w:pPr>
            <w:r w:rsidRPr="00323289">
              <w:rPr>
                <w:rFonts w:asciiTheme="majorHAnsi" w:eastAsia="Times New Roman" w:hAnsiTheme="majorHAnsi" w:cstheme="majorHAnsi"/>
                <w:b/>
                <w:bCs/>
                <w:color w:val="000000"/>
                <w:kern w:val="24"/>
                <w:sz w:val="22"/>
                <w:szCs w:val="22"/>
              </w:rPr>
              <w:t>10.5</w:t>
            </w:r>
          </w:p>
        </w:tc>
        <w:tc>
          <w:tcPr>
            <w:tcW w:w="494" w:type="pct"/>
            <w:tcBorders>
              <w:top w:val="nil"/>
              <w:left w:val="nil"/>
              <w:bottom w:val="nil"/>
              <w:right w:val="nil"/>
            </w:tcBorders>
            <w:shd w:val="clear" w:color="auto" w:fill="auto"/>
            <w:tcMar>
              <w:top w:w="15" w:type="dxa"/>
              <w:left w:w="15" w:type="dxa"/>
              <w:bottom w:w="0" w:type="dxa"/>
              <w:right w:w="15" w:type="dxa"/>
            </w:tcMar>
            <w:vAlign w:val="center"/>
            <w:hideMark/>
          </w:tcPr>
          <w:p w14:paraId="275D1ACC" w14:textId="36ED3E02" w:rsidR="007F620D" w:rsidRPr="00323289" w:rsidRDefault="0041677C"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4</w:t>
            </w:r>
            <w:r w:rsidR="00E571A3" w:rsidRPr="00323289">
              <w:rPr>
                <w:rFonts w:asciiTheme="majorHAnsi" w:eastAsia="Times New Roman" w:hAnsiTheme="majorHAnsi" w:cstheme="majorHAnsi"/>
                <w:color w:val="4F81BD"/>
                <w:kern w:val="24"/>
                <w:sz w:val="22"/>
                <w:szCs w:val="22"/>
              </w:rPr>
              <w:t>.0</w:t>
            </w:r>
          </w:p>
        </w:tc>
      </w:tr>
      <w:tr w:rsidR="007F620D" w:rsidRPr="00323289" w14:paraId="1C90FE05" w14:textId="55D7B3C4"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center"/>
            <w:hideMark/>
          </w:tcPr>
          <w:p w14:paraId="75BD099A" w14:textId="77777777" w:rsidR="007F620D" w:rsidRPr="00323289" w:rsidRDefault="007F620D" w:rsidP="007F620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צריכה ציבורית (ללא יבוא ביטחוני)</w:t>
            </w:r>
          </w:p>
        </w:tc>
        <w:tc>
          <w:tcPr>
            <w:tcW w:w="364" w:type="pct"/>
            <w:tcBorders>
              <w:top w:val="nil"/>
              <w:left w:val="nil"/>
              <w:bottom w:val="nil"/>
              <w:right w:val="nil"/>
            </w:tcBorders>
            <w:shd w:val="clear" w:color="auto" w:fill="D9D9D9"/>
            <w:tcMar>
              <w:top w:w="15" w:type="dxa"/>
              <w:left w:w="15" w:type="dxa"/>
              <w:bottom w:w="0" w:type="dxa"/>
              <w:right w:w="15" w:type="dxa"/>
            </w:tcMar>
            <w:vAlign w:val="center"/>
            <w:hideMark/>
          </w:tcPr>
          <w:p w14:paraId="7026539A" w14:textId="622F361F"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000000"/>
                <w:kern w:val="24"/>
                <w:sz w:val="22"/>
                <w:szCs w:val="22"/>
              </w:rPr>
              <w:t>7.2</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09622220"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nil"/>
              <w:left w:val="nil"/>
              <w:bottom w:val="nil"/>
              <w:right w:val="nil"/>
            </w:tcBorders>
            <w:shd w:val="clear" w:color="auto" w:fill="auto"/>
            <w:tcMar>
              <w:top w:w="15" w:type="dxa"/>
              <w:left w:w="15" w:type="dxa"/>
              <w:bottom w:w="0" w:type="dxa"/>
              <w:right w:w="15" w:type="dxa"/>
            </w:tcMar>
            <w:vAlign w:val="center"/>
            <w:hideMark/>
          </w:tcPr>
          <w:p w14:paraId="14C3DDC0" w14:textId="4338C143"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b/>
                <w:bCs/>
                <w:color w:val="000000"/>
                <w:kern w:val="24"/>
                <w:sz w:val="22"/>
                <w:szCs w:val="22"/>
              </w:rPr>
              <w:t>4.5</w:t>
            </w:r>
          </w:p>
        </w:tc>
        <w:tc>
          <w:tcPr>
            <w:tcW w:w="514" w:type="pct"/>
            <w:tcBorders>
              <w:top w:val="nil"/>
              <w:left w:val="nil"/>
              <w:bottom w:val="nil"/>
              <w:right w:val="nil"/>
            </w:tcBorders>
            <w:shd w:val="clear" w:color="auto" w:fill="auto"/>
            <w:tcMar>
              <w:top w:w="15" w:type="dxa"/>
              <w:left w:w="15" w:type="dxa"/>
              <w:bottom w:w="0" w:type="dxa"/>
              <w:right w:w="15" w:type="dxa"/>
            </w:tcMar>
            <w:vAlign w:val="center"/>
            <w:hideMark/>
          </w:tcPr>
          <w:p w14:paraId="391EC41A" w14:textId="2424B4EA"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Pr>
            </w:pPr>
            <w:r w:rsidRPr="00323289">
              <w:rPr>
                <w:rFonts w:asciiTheme="majorHAnsi" w:eastAsia="Times New Roman" w:hAnsiTheme="majorHAnsi" w:cstheme="majorHAnsi"/>
                <w:color w:val="4F81BD"/>
                <w:kern w:val="24"/>
                <w:sz w:val="22"/>
                <w:szCs w:val="22"/>
              </w:rPr>
              <w:t>-2.0</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6C55D982" w14:textId="77777777" w:rsidR="007F620D" w:rsidRPr="00323289" w:rsidRDefault="007F620D" w:rsidP="007F620D">
            <w:pPr>
              <w:bidi w:val="0"/>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nil"/>
              <w:left w:val="nil"/>
              <w:bottom w:val="nil"/>
              <w:right w:val="nil"/>
            </w:tcBorders>
            <w:shd w:val="clear" w:color="auto" w:fill="auto"/>
            <w:tcMar>
              <w:top w:w="15" w:type="dxa"/>
              <w:left w:w="15" w:type="dxa"/>
              <w:bottom w:w="0" w:type="dxa"/>
              <w:right w:w="15" w:type="dxa"/>
            </w:tcMar>
            <w:vAlign w:val="center"/>
            <w:hideMark/>
          </w:tcPr>
          <w:p w14:paraId="348635AE" w14:textId="675409E0" w:rsidR="007F620D" w:rsidRPr="00323289" w:rsidRDefault="0041677C" w:rsidP="007F620D">
            <w:pPr>
              <w:spacing w:beforeLines="20" w:before="48" w:afterLines="20" w:after="48" w:line="240" w:lineRule="auto"/>
              <w:contextualSpacing w:val="0"/>
              <w:jc w:val="center"/>
              <w:rPr>
                <w:rFonts w:asciiTheme="majorHAnsi" w:eastAsia="Times New Roman" w:hAnsiTheme="majorHAnsi" w:cstheme="majorHAnsi"/>
                <w:sz w:val="22"/>
                <w:szCs w:val="22"/>
              </w:rPr>
            </w:pPr>
            <w:r w:rsidRPr="00323289">
              <w:rPr>
                <w:rFonts w:asciiTheme="majorHAnsi" w:eastAsia="Times New Roman" w:hAnsiTheme="majorHAnsi" w:cstheme="majorHAnsi"/>
                <w:b/>
                <w:bCs/>
                <w:color w:val="000000"/>
                <w:kern w:val="24"/>
                <w:sz w:val="22"/>
                <w:szCs w:val="22"/>
              </w:rPr>
              <w:t>-2.0</w:t>
            </w:r>
          </w:p>
        </w:tc>
        <w:tc>
          <w:tcPr>
            <w:tcW w:w="494" w:type="pct"/>
            <w:tcBorders>
              <w:top w:val="nil"/>
              <w:left w:val="nil"/>
              <w:bottom w:val="nil"/>
              <w:right w:val="nil"/>
            </w:tcBorders>
            <w:shd w:val="clear" w:color="auto" w:fill="auto"/>
            <w:tcMar>
              <w:top w:w="15" w:type="dxa"/>
              <w:left w:w="15" w:type="dxa"/>
              <w:bottom w:w="0" w:type="dxa"/>
              <w:right w:w="15" w:type="dxa"/>
            </w:tcMar>
            <w:vAlign w:val="center"/>
            <w:hideMark/>
          </w:tcPr>
          <w:p w14:paraId="1BC62BF4" w14:textId="6E50EBDF" w:rsidR="007F620D" w:rsidRPr="00323289" w:rsidRDefault="0041677C"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-2.5</w:t>
            </w:r>
          </w:p>
        </w:tc>
      </w:tr>
      <w:tr w:rsidR="007F620D" w:rsidRPr="00323289" w14:paraId="7CDAC5AE" w14:textId="743D6B0C"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center"/>
            <w:hideMark/>
          </w:tcPr>
          <w:p w14:paraId="016DB925" w14:textId="77777777" w:rsidR="007F620D" w:rsidRPr="00323289" w:rsidRDefault="007F620D" w:rsidP="007F620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יצוא (ללא יהלומים והזנק)</w:t>
            </w:r>
          </w:p>
        </w:tc>
        <w:tc>
          <w:tcPr>
            <w:tcW w:w="364" w:type="pct"/>
            <w:tcBorders>
              <w:top w:val="nil"/>
              <w:left w:val="nil"/>
              <w:bottom w:val="nil"/>
              <w:right w:val="nil"/>
            </w:tcBorders>
            <w:shd w:val="clear" w:color="auto" w:fill="D9D9D9"/>
            <w:tcMar>
              <w:top w:w="15" w:type="dxa"/>
              <w:left w:w="15" w:type="dxa"/>
              <w:bottom w:w="0" w:type="dxa"/>
              <w:right w:w="15" w:type="dxa"/>
            </w:tcMar>
            <w:vAlign w:val="center"/>
            <w:hideMark/>
          </w:tcPr>
          <w:p w14:paraId="6964842D" w14:textId="1B28836D"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sz w:val="22"/>
                <w:szCs w:val="22"/>
              </w:rPr>
              <w:t>0.3</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502F93FB"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nil"/>
              <w:left w:val="nil"/>
              <w:bottom w:val="nil"/>
              <w:right w:val="nil"/>
            </w:tcBorders>
            <w:shd w:val="clear" w:color="auto" w:fill="auto"/>
            <w:tcMar>
              <w:top w:w="15" w:type="dxa"/>
              <w:left w:w="15" w:type="dxa"/>
              <w:bottom w:w="0" w:type="dxa"/>
              <w:right w:w="15" w:type="dxa"/>
            </w:tcMar>
            <w:vAlign w:val="center"/>
            <w:hideMark/>
          </w:tcPr>
          <w:p w14:paraId="4C4CDD20" w14:textId="155CC389"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b/>
                <w:bCs/>
                <w:color w:val="000000"/>
                <w:kern w:val="24"/>
                <w:sz w:val="22"/>
                <w:szCs w:val="22"/>
              </w:rPr>
              <w:t>-1.0</w:t>
            </w:r>
          </w:p>
        </w:tc>
        <w:tc>
          <w:tcPr>
            <w:tcW w:w="514" w:type="pct"/>
            <w:tcBorders>
              <w:top w:val="nil"/>
              <w:left w:val="nil"/>
              <w:bottom w:val="nil"/>
              <w:right w:val="nil"/>
            </w:tcBorders>
            <w:shd w:val="clear" w:color="auto" w:fill="auto"/>
            <w:tcMar>
              <w:top w:w="15" w:type="dxa"/>
              <w:left w:w="15" w:type="dxa"/>
              <w:bottom w:w="0" w:type="dxa"/>
              <w:right w:w="15" w:type="dxa"/>
            </w:tcMar>
            <w:vAlign w:val="center"/>
            <w:hideMark/>
          </w:tcPr>
          <w:p w14:paraId="3BCBDF67" w14:textId="3FAA7DAB"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-1.5</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174656E6" w14:textId="77777777" w:rsidR="007F620D" w:rsidRPr="00323289" w:rsidRDefault="007F620D" w:rsidP="007F620D">
            <w:pPr>
              <w:bidi w:val="0"/>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nil"/>
              <w:left w:val="nil"/>
              <w:bottom w:val="nil"/>
              <w:right w:val="nil"/>
            </w:tcBorders>
            <w:shd w:val="clear" w:color="auto" w:fill="auto"/>
            <w:tcMar>
              <w:top w:w="15" w:type="dxa"/>
              <w:left w:w="15" w:type="dxa"/>
              <w:bottom w:w="0" w:type="dxa"/>
              <w:right w:w="15" w:type="dxa"/>
            </w:tcMar>
            <w:vAlign w:val="center"/>
            <w:hideMark/>
          </w:tcPr>
          <w:p w14:paraId="00807F4A" w14:textId="4760FACD" w:rsidR="007F620D" w:rsidRPr="00323289" w:rsidRDefault="00E571A3" w:rsidP="007F620D">
            <w:pPr>
              <w:spacing w:beforeLines="20" w:before="48" w:afterLines="20" w:after="48" w:line="240" w:lineRule="auto"/>
              <w:contextualSpacing w:val="0"/>
              <w:jc w:val="center"/>
              <w:rPr>
                <w:rFonts w:asciiTheme="majorHAnsi" w:eastAsia="Times New Roman" w:hAnsiTheme="majorHAnsi" w:cstheme="majorHAnsi"/>
                <w:sz w:val="22"/>
                <w:szCs w:val="22"/>
              </w:rPr>
            </w:pPr>
            <w:r w:rsidRPr="00323289">
              <w:rPr>
                <w:rFonts w:asciiTheme="majorHAnsi" w:eastAsia="Times New Roman" w:hAnsiTheme="majorHAnsi" w:cstheme="majorHAnsi"/>
                <w:b/>
                <w:bCs/>
                <w:color w:val="000000"/>
                <w:kern w:val="24"/>
                <w:sz w:val="22"/>
                <w:szCs w:val="22"/>
              </w:rPr>
              <w:t>4.0</w:t>
            </w:r>
          </w:p>
        </w:tc>
        <w:tc>
          <w:tcPr>
            <w:tcW w:w="494" w:type="pct"/>
            <w:tcBorders>
              <w:top w:val="nil"/>
              <w:left w:val="nil"/>
              <w:bottom w:val="nil"/>
              <w:right w:val="nil"/>
            </w:tcBorders>
            <w:shd w:val="clear" w:color="auto" w:fill="auto"/>
            <w:tcMar>
              <w:top w:w="15" w:type="dxa"/>
              <w:left w:w="15" w:type="dxa"/>
              <w:bottom w:w="0" w:type="dxa"/>
              <w:right w:w="15" w:type="dxa"/>
            </w:tcMar>
            <w:vAlign w:val="center"/>
            <w:hideMark/>
          </w:tcPr>
          <w:p w14:paraId="5C9FE32B" w14:textId="4A3F2076" w:rsidR="007F620D" w:rsidRPr="00323289" w:rsidRDefault="0041677C"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w:t>
            </w:r>
            <w:r w:rsidR="00E571A3" w:rsidRPr="00323289">
              <w:rPr>
                <w:rFonts w:asciiTheme="majorHAnsi" w:eastAsia="Times New Roman" w:hAnsiTheme="majorHAnsi" w:cstheme="majorHAnsi"/>
                <w:color w:val="4F81BD"/>
                <w:kern w:val="24"/>
                <w:sz w:val="22"/>
                <w:szCs w:val="22"/>
              </w:rPr>
              <w:t>1.0</w:t>
            </w:r>
          </w:p>
        </w:tc>
      </w:tr>
      <w:tr w:rsidR="007F620D" w:rsidRPr="00323289" w14:paraId="35DDD08B" w14:textId="129829EC" w:rsidTr="0057071C">
        <w:trPr>
          <w:trHeight w:val="20"/>
        </w:trPr>
        <w:tc>
          <w:tcPr>
            <w:tcW w:w="2632"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FDEA071" w14:textId="77777777" w:rsidR="007F620D" w:rsidRPr="00323289" w:rsidRDefault="007F620D" w:rsidP="007F620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יבוא אזרחי (ללא יהלומים, אוניות ומטוסים)</w:t>
            </w:r>
          </w:p>
        </w:tc>
        <w:tc>
          <w:tcPr>
            <w:tcW w:w="364" w:type="pct"/>
            <w:tcBorders>
              <w:top w:val="nil"/>
              <w:left w:val="nil"/>
              <w:bottom w:val="single" w:sz="8" w:space="0" w:color="000000"/>
              <w:right w:val="nil"/>
            </w:tcBorders>
            <w:shd w:val="clear" w:color="auto" w:fill="D9D9D9"/>
            <w:tcMar>
              <w:top w:w="15" w:type="dxa"/>
              <w:left w:w="15" w:type="dxa"/>
              <w:bottom w:w="0" w:type="dxa"/>
              <w:right w:w="15" w:type="dxa"/>
            </w:tcMar>
            <w:vAlign w:val="center"/>
            <w:hideMark/>
          </w:tcPr>
          <w:p w14:paraId="4ABDEF2F" w14:textId="089B9F61"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000000"/>
                <w:kern w:val="24"/>
                <w:sz w:val="22"/>
                <w:szCs w:val="22"/>
              </w:rPr>
              <w:t>-7.2</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738DB9B5"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F1A5A94" w14:textId="0E0EFD79"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b/>
                <w:bCs/>
                <w:color w:val="000000"/>
                <w:kern w:val="24"/>
                <w:sz w:val="22"/>
                <w:szCs w:val="22"/>
              </w:rPr>
              <w:t>-4.0</w:t>
            </w:r>
          </w:p>
        </w:tc>
        <w:tc>
          <w:tcPr>
            <w:tcW w:w="51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111A320" w14:textId="68F4DD8B"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2CABE7C8" w14:textId="77777777" w:rsidR="007F620D" w:rsidRPr="00323289" w:rsidRDefault="007F620D" w:rsidP="007F620D">
            <w:pPr>
              <w:bidi w:val="0"/>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9E79F5F" w14:textId="5A80CDB2" w:rsidR="007F620D" w:rsidRPr="00323289" w:rsidRDefault="00E571A3" w:rsidP="007F620D">
            <w:pPr>
              <w:spacing w:beforeLines="20" w:before="48" w:afterLines="20" w:after="48" w:line="240" w:lineRule="auto"/>
              <w:contextualSpacing w:val="0"/>
              <w:jc w:val="center"/>
              <w:rPr>
                <w:rFonts w:asciiTheme="majorHAnsi" w:eastAsia="Times New Roman" w:hAnsiTheme="majorHAnsi" w:cstheme="majorHAnsi"/>
                <w:sz w:val="22"/>
                <w:szCs w:val="22"/>
              </w:rPr>
            </w:pPr>
            <w:r w:rsidRPr="00323289">
              <w:rPr>
                <w:rFonts w:asciiTheme="majorHAnsi" w:eastAsia="Times New Roman" w:hAnsiTheme="majorHAnsi" w:cstheme="majorHAnsi"/>
                <w:b/>
                <w:bCs/>
                <w:color w:val="000000"/>
                <w:kern w:val="24"/>
                <w:sz w:val="22"/>
                <w:szCs w:val="22"/>
              </w:rPr>
              <w:t>8.0</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5D9F6CD" w14:textId="7285EAC1" w:rsidR="007F620D" w:rsidRPr="00323289" w:rsidRDefault="0041677C"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w:t>
            </w:r>
            <w:r w:rsidR="00E571A3" w:rsidRPr="00323289">
              <w:rPr>
                <w:rFonts w:asciiTheme="majorHAnsi" w:eastAsia="Times New Roman" w:hAnsiTheme="majorHAnsi" w:cstheme="majorHAnsi"/>
                <w:color w:val="4F81BD"/>
                <w:kern w:val="24"/>
                <w:sz w:val="22"/>
                <w:szCs w:val="22"/>
              </w:rPr>
              <w:t>1</w:t>
            </w:r>
            <w:r w:rsidRPr="00323289">
              <w:rPr>
                <w:rFonts w:asciiTheme="majorHAnsi" w:eastAsia="Times New Roman" w:hAnsiTheme="majorHAnsi" w:cstheme="majorHAnsi"/>
                <w:color w:val="4F81BD"/>
                <w:kern w:val="24"/>
                <w:sz w:val="22"/>
                <w:szCs w:val="22"/>
              </w:rPr>
              <w:t>.5</w:t>
            </w:r>
          </w:p>
        </w:tc>
      </w:tr>
      <w:tr w:rsidR="007F620D" w:rsidRPr="00323289" w14:paraId="2BD7F785" w14:textId="26B13190" w:rsidTr="0057071C">
        <w:trPr>
          <w:trHeight w:val="20"/>
        </w:trPr>
        <w:tc>
          <w:tcPr>
            <w:tcW w:w="2632" w:type="pct"/>
            <w:tcBorders>
              <w:left w:val="nil"/>
              <w:bottom w:val="nil"/>
              <w:right w:val="nil"/>
            </w:tcBorders>
            <w:shd w:val="clear" w:color="auto" w:fill="auto"/>
            <w:tcMar>
              <w:top w:w="15" w:type="dxa"/>
              <w:left w:w="15" w:type="dxa"/>
              <w:bottom w:w="0" w:type="dxa"/>
              <w:right w:w="15" w:type="dxa"/>
            </w:tcMar>
            <w:vAlign w:val="center"/>
          </w:tcPr>
          <w:p w14:paraId="19963592" w14:textId="2FE7BC59" w:rsidR="007F620D" w:rsidRPr="00323289" w:rsidRDefault="007F620D" w:rsidP="0060236D">
            <w:pPr>
              <w:spacing w:beforeLines="20" w:before="48" w:afterLines="20" w:after="48" w:line="240" w:lineRule="auto"/>
              <w:contextualSpacing w:val="0"/>
              <w:rPr>
                <w:rFonts w:asciiTheme="majorHAnsi" w:eastAsia="Times New Roman" w:hAnsiTheme="majorHAnsi" w:cstheme="majorHAnsi"/>
                <w:color w:val="000000"/>
                <w:kern w:val="24"/>
                <w:rtl/>
              </w:rPr>
            </w:pPr>
            <w:r w:rsidRPr="00323289">
              <w:rPr>
                <w:rFonts w:asciiTheme="majorHAnsi" w:eastAsia="Times New Roman" w:hAnsiTheme="majorHAnsi" w:cstheme="majorHAnsi"/>
                <w:color w:val="000000"/>
                <w:kern w:val="24"/>
                <w:sz w:val="22"/>
                <w:szCs w:val="22"/>
                <w:rtl/>
              </w:rPr>
              <w:t>שיעור האבטלה הרחב – ממוצע שנתי (גילאי 25</w:t>
            </w:r>
            <w:r w:rsidR="0060236D" w:rsidRPr="00323289">
              <w:rPr>
                <w:rFonts w:asciiTheme="majorHAnsi" w:eastAsia="Times New Roman" w:hAnsiTheme="majorHAnsi" w:cstheme="majorHAnsi"/>
                <w:color w:val="000000"/>
                <w:kern w:val="24"/>
                <w:sz w:val="22"/>
                <w:szCs w:val="22"/>
                <w:rtl/>
              </w:rPr>
              <w:t>–</w:t>
            </w:r>
            <w:r w:rsidRPr="00323289">
              <w:rPr>
                <w:rFonts w:asciiTheme="majorHAnsi" w:eastAsia="Times New Roman" w:hAnsiTheme="majorHAnsi" w:cstheme="majorHAnsi"/>
                <w:color w:val="000000"/>
                <w:kern w:val="24"/>
                <w:sz w:val="22"/>
                <w:szCs w:val="22"/>
                <w:rtl/>
              </w:rPr>
              <w:t>64)</w:t>
            </w:r>
            <w:r w:rsidRPr="00323289">
              <w:rPr>
                <w:rFonts w:asciiTheme="majorHAnsi" w:eastAsia="Calibri" w:hAnsiTheme="majorHAnsi" w:cstheme="majorHAnsi"/>
                <w:color w:val="000000"/>
                <w:kern w:val="24"/>
                <w:position w:val="8"/>
                <w:sz w:val="22"/>
                <w:szCs w:val="22"/>
                <w:vertAlign w:val="superscript"/>
                <w:rtl/>
              </w:rPr>
              <w:t xml:space="preserve"> 2</w:t>
            </w:r>
          </w:p>
        </w:tc>
        <w:tc>
          <w:tcPr>
            <w:tcW w:w="364" w:type="pct"/>
            <w:tcBorders>
              <w:left w:val="nil"/>
              <w:bottom w:val="nil"/>
              <w:right w:val="nil"/>
            </w:tcBorders>
            <w:shd w:val="clear" w:color="auto" w:fill="D9D9D9"/>
            <w:tcMar>
              <w:top w:w="15" w:type="dxa"/>
              <w:left w:w="15" w:type="dxa"/>
              <w:bottom w:w="0" w:type="dxa"/>
              <w:right w:w="15" w:type="dxa"/>
            </w:tcMar>
            <w:vAlign w:val="center"/>
          </w:tcPr>
          <w:p w14:paraId="3291EA0C" w14:textId="035CD5D4"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color w:val="000000"/>
                <w:kern w:val="24"/>
                <w:sz w:val="22"/>
                <w:szCs w:val="22"/>
                <w:rtl/>
              </w:rPr>
            </w:pPr>
            <w:r w:rsidRPr="00323289">
              <w:rPr>
                <w:rFonts w:asciiTheme="majorHAnsi" w:eastAsia="Times New Roman" w:hAnsiTheme="majorHAnsi" w:cstheme="majorHAnsi"/>
                <w:color w:val="000000"/>
                <w:kern w:val="24"/>
                <w:sz w:val="22"/>
                <w:szCs w:val="22"/>
              </w:rPr>
              <w:t>4.4</w:t>
            </w:r>
          </w:p>
        </w:tc>
        <w:tc>
          <w:tcPr>
            <w:tcW w:w="69" w:type="pct"/>
            <w:tcBorders>
              <w:left w:val="nil"/>
              <w:bottom w:val="nil"/>
              <w:right w:val="nil"/>
            </w:tcBorders>
            <w:shd w:val="clear" w:color="auto" w:fill="auto"/>
            <w:tcMar>
              <w:top w:w="15" w:type="dxa"/>
              <w:left w:w="15" w:type="dxa"/>
              <w:bottom w:w="0" w:type="dxa"/>
              <w:right w:w="15" w:type="dxa"/>
            </w:tcMar>
            <w:vAlign w:val="center"/>
          </w:tcPr>
          <w:p w14:paraId="22CC9731"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left w:val="nil"/>
              <w:bottom w:val="nil"/>
              <w:right w:val="nil"/>
            </w:tcBorders>
            <w:shd w:val="clear" w:color="auto" w:fill="auto"/>
            <w:tcMar>
              <w:top w:w="15" w:type="dxa"/>
              <w:left w:w="15" w:type="dxa"/>
              <w:bottom w:w="0" w:type="dxa"/>
              <w:right w:w="15" w:type="dxa"/>
            </w:tcMar>
            <w:vAlign w:val="center"/>
          </w:tcPr>
          <w:p w14:paraId="1DD0FB8F" w14:textId="1A97E597"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b/>
                <w:bCs/>
                <w:color w:val="000000"/>
                <w:kern w:val="24"/>
                <w:sz w:val="22"/>
                <w:szCs w:val="22"/>
                <w:rtl/>
              </w:rPr>
            </w:pPr>
            <w:r w:rsidRPr="00323289">
              <w:rPr>
                <w:rFonts w:asciiTheme="majorHAnsi" w:eastAsia="Times New Roman" w:hAnsiTheme="majorHAnsi" w:cstheme="majorHAnsi"/>
                <w:b/>
                <w:bCs/>
                <w:color w:val="000000"/>
                <w:kern w:val="24"/>
                <w:sz w:val="22"/>
                <w:szCs w:val="22"/>
              </w:rPr>
              <w:t>3.7</w:t>
            </w:r>
          </w:p>
        </w:tc>
        <w:tc>
          <w:tcPr>
            <w:tcW w:w="514" w:type="pct"/>
            <w:tcBorders>
              <w:left w:val="nil"/>
              <w:bottom w:val="nil"/>
              <w:right w:val="nil"/>
            </w:tcBorders>
            <w:shd w:val="clear" w:color="auto" w:fill="auto"/>
            <w:tcMar>
              <w:top w:w="15" w:type="dxa"/>
              <w:left w:w="15" w:type="dxa"/>
              <w:bottom w:w="0" w:type="dxa"/>
              <w:right w:w="15" w:type="dxa"/>
            </w:tcMar>
            <w:vAlign w:val="center"/>
          </w:tcPr>
          <w:p w14:paraId="754F5EBC" w14:textId="53C50C4F"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color w:val="4F81BD"/>
                <w:kern w:val="24"/>
                <w:sz w:val="22"/>
                <w:szCs w:val="22"/>
                <w:rtl/>
              </w:rPr>
            </w:pPr>
            <w:r w:rsidRPr="00323289">
              <w:rPr>
                <w:rFonts w:asciiTheme="majorHAnsi" w:eastAsia="Times New Roman" w:hAnsiTheme="majorHAnsi" w:cstheme="majorHAnsi"/>
                <w:color w:val="4F81BD"/>
                <w:kern w:val="24"/>
                <w:sz w:val="22"/>
                <w:szCs w:val="22"/>
              </w:rPr>
              <w:t>-1.6</w:t>
            </w:r>
          </w:p>
        </w:tc>
        <w:tc>
          <w:tcPr>
            <w:tcW w:w="65" w:type="pct"/>
            <w:tcBorders>
              <w:left w:val="nil"/>
              <w:bottom w:val="nil"/>
              <w:right w:val="nil"/>
            </w:tcBorders>
            <w:shd w:val="clear" w:color="auto" w:fill="auto"/>
            <w:tcMar>
              <w:top w:w="15" w:type="dxa"/>
              <w:left w:w="15" w:type="dxa"/>
              <w:bottom w:w="0" w:type="dxa"/>
              <w:right w:w="15" w:type="dxa"/>
            </w:tcMar>
            <w:vAlign w:val="center"/>
          </w:tcPr>
          <w:p w14:paraId="00F23E93"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left w:val="nil"/>
              <w:bottom w:val="nil"/>
              <w:right w:val="nil"/>
            </w:tcBorders>
            <w:shd w:val="clear" w:color="auto" w:fill="auto"/>
            <w:tcMar>
              <w:top w:w="15" w:type="dxa"/>
              <w:left w:w="15" w:type="dxa"/>
              <w:bottom w:w="0" w:type="dxa"/>
              <w:right w:w="15" w:type="dxa"/>
            </w:tcMar>
            <w:vAlign w:val="center"/>
          </w:tcPr>
          <w:p w14:paraId="68572CA5" w14:textId="0DEF9175" w:rsidR="007F620D" w:rsidRPr="00323289" w:rsidRDefault="0041677C" w:rsidP="007F620D">
            <w:pPr>
              <w:spacing w:beforeLines="20" w:before="48" w:afterLines="20" w:after="48" w:line="240" w:lineRule="auto"/>
              <w:contextualSpacing w:val="0"/>
              <w:jc w:val="center"/>
              <w:rPr>
                <w:rFonts w:asciiTheme="majorHAnsi" w:eastAsia="Times New Roman" w:hAnsiTheme="majorHAnsi" w:cstheme="majorHAnsi"/>
                <w:b/>
                <w:bCs/>
                <w:color w:val="000000"/>
                <w:kern w:val="24"/>
                <w:sz w:val="22"/>
                <w:szCs w:val="22"/>
                <w:rtl/>
              </w:rPr>
            </w:pPr>
            <w:r w:rsidRPr="00323289">
              <w:rPr>
                <w:rFonts w:asciiTheme="majorHAnsi" w:eastAsia="Times New Roman" w:hAnsiTheme="majorHAnsi" w:cstheme="majorHAnsi"/>
                <w:b/>
                <w:bCs/>
                <w:color w:val="000000"/>
                <w:kern w:val="24"/>
                <w:sz w:val="22"/>
                <w:szCs w:val="22"/>
              </w:rPr>
              <w:t>3.</w:t>
            </w:r>
            <w:r w:rsidR="00E571A3" w:rsidRPr="00323289">
              <w:rPr>
                <w:rFonts w:asciiTheme="majorHAnsi" w:eastAsia="Times New Roman" w:hAnsiTheme="majorHAnsi" w:cstheme="majorHAnsi"/>
                <w:b/>
                <w:bCs/>
                <w:color w:val="000000"/>
                <w:kern w:val="24"/>
                <w:sz w:val="22"/>
                <w:szCs w:val="22"/>
              </w:rPr>
              <w:t>3</w:t>
            </w:r>
          </w:p>
        </w:tc>
        <w:tc>
          <w:tcPr>
            <w:tcW w:w="494" w:type="pct"/>
            <w:tcBorders>
              <w:left w:val="nil"/>
              <w:bottom w:val="nil"/>
              <w:right w:val="nil"/>
            </w:tcBorders>
            <w:shd w:val="clear" w:color="auto" w:fill="auto"/>
            <w:tcMar>
              <w:top w:w="15" w:type="dxa"/>
              <w:left w:w="15" w:type="dxa"/>
              <w:bottom w:w="0" w:type="dxa"/>
              <w:right w:w="15" w:type="dxa"/>
            </w:tcMar>
            <w:vAlign w:val="center"/>
          </w:tcPr>
          <w:p w14:paraId="7358AC54" w14:textId="22D68F72" w:rsidR="007F620D" w:rsidRPr="00323289" w:rsidRDefault="0057071C" w:rsidP="007F620D">
            <w:pPr>
              <w:spacing w:beforeLines="20" w:before="48" w:afterLines="20" w:after="48" w:line="240" w:lineRule="auto"/>
              <w:contextualSpacing w:val="0"/>
              <w:jc w:val="center"/>
              <w:rPr>
                <w:rFonts w:asciiTheme="majorHAnsi" w:eastAsia="Times New Roman" w:hAnsiTheme="majorHAnsi" w:cstheme="majorHAnsi"/>
                <w:color w:val="4F81BD"/>
                <w:kern w:val="24"/>
                <w:sz w:val="22"/>
                <w:szCs w:val="22"/>
                <w:rtl/>
              </w:rPr>
            </w:pPr>
            <w:r w:rsidRPr="00323289">
              <w:rPr>
                <w:rFonts w:asciiTheme="majorHAnsi" w:eastAsia="Times New Roman" w:hAnsiTheme="majorHAnsi" w:cstheme="majorHAnsi"/>
                <w:color w:val="4F81BD"/>
                <w:kern w:val="24"/>
                <w:sz w:val="22"/>
                <w:szCs w:val="22"/>
              </w:rPr>
              <w:t>0.1</w:t>
            </w:r>
          </w:p>
        </w:tc>
      </w:tr>
      <w:tr w:rsidR="007F620D" w:rsidRPr="00323289" w14:paraId="21600ADB" w14:textId="53E49C76" w:rsidTr="0057071C">
        <w:trPr>
          <w:trHeight w:val="20"/>
        </w:trPr>
        <w:tc>
          <w:tcPr>
            <w:tcW w:w="2632" w:type="pct"/>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14:paraId="173F7D77" w14:textId="1A7742F1" w:rsidR="007F620D" w:rsidRPr="00323289" w:rsidRDefault="007F620D" w:rsidP="0060236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שיעור התעסוקה המותאם – ממוצע שנתי</w:t>
            </w:r>
            <w:r w:rsidRPr="00323289">
              <w:rPr>
                <w:rFonts w:asciiTheme="majorHAnsi" w:eastAsia="Times New Roman" w:hAnsiTheme="majorHAnsi" w:cstheme="majorHAnsi"/>
                <w:b/>
                <w:bCs/>
                <w:color w:val="000000"/>
                <w:kern w:val="24"/>
                <w:sz w:val="22"/>
                <w:szCs w:val="22"/>
                <w:rtl/>
              </w:rPr>
              <w:t xml:space="preserve"> </w:t>
            </w:r>
            <w:r w:rsidRPr="00323289">
              <w:rPr>
                <w:rFonts w:asciiTheme="majorHAnsi" w:eastAsia="Times New Roman" w:hAnsiTheme="majorHAnsi" w:cstheme="majorHAnsi"/>
                <w:color w:val="000000"/>
                <w:kern w:val="24"/>
                <w:sz w:val="22"/>
                <w:szCs w:val="22"/>
                <w:rtl/>
              </w:rPr>
              <w:t>(גילאי 25</w:t>
            </w:r>
            <w:r w:rsidR="0060236D" w:rsidRPr="00323289">
              <w:rPr>
                <w:rFonts w:asciiTheme="majorHAnsi" w:eastAsia="Times New Roman" w:hAnsiTheme="majorHAnsi" w:cstheme="majorHAnsi"/>
                <w:color w:val="000000"/>
                <w:kern w:val="24"/>
                <w:sz w:val="22"/>
                <w:szCs w:val="22"/>
                <w:rtl/>
              </w:rPr>
              <w:t>–</w:t>
            </w:r>
            <w:r w:rsidRPr="00323289">
              <w:rPr>
                <w:rFonts w:asciiTheme="majorHAnsi" w:eastAsia="Times New Roman" w:hAnsiTheme="majorHAnsi" w:cstheme="majorHAnsi"/>
                <w:color w:val="000000"/>
                <w:kern w:val="24"/>
                <w:sz w:val="22"/>
                <w:szCs w:val="22"/>
                <w:rtl/>
              </w:rPr>
              <w:t>64</w:t>
            </w:r>
            <w:r w:rsidRPr="00323289">
              <w:rPr>
                <w:rFonts w:asciiTheme="majorHAnsi" w:eastAsia="Times New Roman" w:hAnsiTheme="majorHAnsi" w:cstheme="majorHAnsi"/>
                <w:b/>
                <w:bCs/>
                <w:color w:val="000000"/>
                <w:kern w:val="24"/>
                <w:sz w:val="22"/>
                <w:szCs w:val="22"/>
                <w:rtl/>
              </w:rPr>
              <w:t>)</w:t>
            </w:r>
            <w:r w:rsidRPr="00323289">
              <w:rPr>
                <w:rFonts w:asciiTheme="majorHAnsi" w:eastAsia="Calibri" w:hAnsiTheme="majorHAnsi" w:cstheme="majorHAnsi"/>
                <w:color w:val="000000"/>
                <w:kern w:val="24"/>
                <w:position w:val="8"/>
                <w:sz w:val="22"/>
                <w:szCs w:val="22"/>
                <w:vertAlign w:val="superscript"/>
                <w:rtl/>
              </w:rPr>
              <w:t xml:space="preserve"> 2</w:t>
            </w:r>
          </w:p>
        </w:tc>
        <w:tc>
          <w:tcPr>
            <w:tcW w:w="364" w:type="pct"/>
            <w:tcBorders>
              <w:top w:val="nil"/>
              <w:left w:val="nil"/>
              <w:bottom w:val="double" w:sz="4" w:space="0" w:color="auto"/>
              <w:right w:val="nil"/>
            </w:tcBorders>
            <w:shd w:val="clear" w:color="auto" w:fill="D9D9D9"/>
            <w:tcMar>
              <w:top w:w="15" w:type="dxa"/>
              <w:left w:w="15" w:type="dxa"/>
              <w:bottom w:w="0" w:type="dxa"/>
              <w:right w:w="15" w:type="dxa"/>
            </w:tcMar>
            <w:vAlign w:val="center"/>
            <w:hideMark/>
          </w:tcPr>
          <w:p w14:paraId="79BCF107" w14:textId="1FF226E1"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000000"/>
                <w:kern w:val="24"/>
                <w:sz w:val="22"/>
                <w:szCs w:val="22"/>
              </w:rPr>
              <w:t>77.8</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60779F97"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68323C0B" w14:textId="7DC76BD5"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b/>
                <w:bCs/>
                <w:color w:val="000000"/>
                <w:kern w:val="24"/>
                <w:sz w:val="22"/>
                <w:szCs w:val="22"/>
                <w:rtl/>
              </w:rPr>
            </w:pPr>
            <w:r w:rsidRPr="00323289">
              <w:rPr>
                <w:rFonts w:asciiTheme="majorHAnsi" w:eastAsia="Times New Roman" w:hAnsiTheme="majorHAnsi" w:cstheme="majorHAnsi"/>
                <w:b/>
                <w:bCs/>
                <w:color w:val="000000"/>
                <w:kern w:val="24"/>
                <w:sz w:val="22"/>
                <w:szCs w:val="22"/>
              </w:rPr>
              <w:t>77.3</w:t>
            </w:r>
          </w:p>
        </w:tc>
        <w:tc>
          <w:tcPr>
            <w:tcW w:w="514"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6A366A2E" w14:textId="2B848F66"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color w:val="4F81BD"/>
                <w:kern w:val="24"/>
                <w:sz w:val="22"/>
                <w:szCs w:val="22"/>
              </w:rPr>
            </w:pPr>
            <w:r w:rsidRPr="00323289">
              <w:rPr>
                <w:rFonts w:asciiTheme="majorHAnsi" w:eastAsia="Times New Roman" w:hAnsiTheme="majorHAnsi" w:cstheme="majorHAnsi"/>
                <w:color w:val="4F81BD"/>
                <w:kern w:val="24"/>
                <w:sz w:val="22"/>
                <w:szCs w:val="22"/>
              </w:rPr>
              <w:t>0.6</w:t>
            </w:r>
          </w:p>
        </w:tc>
        <w:tc>
          <w:tcPr>
            <w:tcW w:w="65" w:type="pct"/>
            <w:tcBorders>
              <w:top w:val="nil"/>
              <w:left w:val="nil"/>
              <w:bottom w:val="nil"/>
              <w:right w:val="nil"/>
            </w:tcBorders>
            <w:shd w:val="clear" w:color="auto" w:fill="auto"/>
            <w:tcMar>
              <w:top w:w="15" w:type="dxa"/>
              <w:left w:w="15" w:type="dxa"/>
              <w:bottom w:w="0" w:type="dxa"/>
              <w:right w:w="15" w:type="dxa"/>
            </w:tcMar>
            <w:vAlign w:val="center"/>
          </w:tcPr>
          <w:p w14:paraId="44944E09"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08829B9F" w14:textId="1FDD207B" w:rsidR="007F620D" w:rsidRPr="00323289" w:rsidRDefault="0041677C" w:rsidP="007F620D">
            <w:pPr>
              <w:spacing w:beforeLines="20" w:before="48" w:afterLines="20" w:after="48" w:line="240" w:lineRule="auto"/>
              <w:contextualSpacing w:val="0"/>
              <w:jc w:val="center"/>
              <w:rPr>
                <w:rFonts w:asciiTheme="majorHAnsi" w:eastAsia="Times New Roman" w:hAnsiTheme="majorHAnsi" w:cstheme="majorHAnsi"/>
                <w:b/>
                <w:bCs/>
                <w:color w:val="000000"/>
                <w:kern w:val="24"/>
                <w:sz w:val="22"/>
                <w:szCs w:val="22"/>
                <w:rtl/>
              </w:rPr>
            </w:pPr>
            <w:r w:rsidRPr="00323289">
              <w:rPr>
                <w:rFonts w:asciiTheme="majorHAnsi" w:eastAsia="Times New Roman" w:hAnsiTheme="majorHAnsi" w:cstheme="majorHAnsi"/>
                <w:b/>
                <w:bCs/>
                <w:color w:val="000000"/>
                <w:kern w:val="24"/>
                <w:sz w:val="22"/>
                <w:szCs w:val="22"/>
              </w:rPr>
              <w:t>78.2</w:t>
            </w:r>
          </w:p>
        </w:tc>
        <w:tc>
          <w:tcPr>
            <w:tcW w:w="494"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1598C8E7" w14:textId="3B15E14D" w:rsidR="007F620D" w:rsidRPr="00323289" w:rsidRDefault="0041677C" w:rsidP="007F620D">
            <w:pPr>
              <w:spacing w:beforeLines="20" w:before="48" w:afterLines="20" w:after="48" w:line="240" w:lineRule="auto"/>
              <w:contextualSpacing w:val="0"/>
              <w:jc w:val="center"/>
              <w:rPr>
                <w:rFonts w:asciiTheme="majorHAnsi" w:eastAsia="Times New Roman" w:hAnsiTheme="majorHAnsi" w:cstheme="majorHAnsi"/>
                <w:color w:val="4F81BD"/>
                <w:kern w:val="24"/>
                <w:sz w:val="22"/>
                <w:szCs w:val="22"/>
                <w:rtl/>
              </w:rPr>
            </w:pPr>
            <w:r w:rsidRPr="00323289">
              <w:rPr>
                <w:rFonts w:asciiTheme="majorHAnsi" w:eastAsia="Times New Roman" w:hAnsiTheme="majorHAnsi" w:cstheme="majorHAnsi"/>
                <w:color w:val="4F81BD"/>
                <w:kern w:val="24"/>
                <w:sz w:val="22"/>
                <w:szCs w:val="22"/>
              </w:rPr>
              <w:t>-0.5</w:t>
            </w:r>
          </w:p>
        </w:tc>
      </w:tr>
      <w:tr w:rsidR="007F620D" w:rsidRPr="00323289" w14:paraId="4F5CC526" w14:textId="0719D56E" w:rsidTr="0057071C">
        <w:trPr>
          <w:trHeight w:val="20"/>
        </w:trPr>
        <w:tc>
          <w:tcPr>
            <w:tcW w:w="2632" w:type="pct"/>
            <w:tcBorders>
              <w:top w:val="double" w:sz="6" w:space="0" w:color="000000"/>
              <w:left w:val="nil"/>
              <w:bottom w:val="nil"/>
              <w:right w:val="nil"/>
            </w:tcBorders>
            <w:shd w:val="clear" w:color="auto" w:fill="auto"/>
            <w:tcMar>
              <w:top w:w="15" w:type="dxa"/>
              <w:left w:w="15" w:type="dxa"/>
              <w:bottom w:w="0" w:type="dxa"/>
              <w:right w:w="15" w:type="dxa"/>
            </w:tcMar>
            <w:vAlign w:val="center"/>
            <w:hideMark/>
          </w:tcPr>
          <w:p w14:paraId="7C8D2B3A" w14:textId="77777777" w:rsidR="007F620D" w:rsidRPr="00323289" w:rsidRDefault="007F620D" w:rsidP="007F620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גירעון הממשלה (אחוזי תוצר)</w:t>
            </w:r>
          </w:p>
        </w:tc>
        <w:tc>
          <w:tcPr>
            <w:tcW w:w="364" w:type="pct"/>
            <w:tcBorders>
              <w:top w:val="double" w:sz="4" w:space="0" w:color="auto"/>
              <w:left w:val="nil"/>
              <w:bottom w:val="nil"/>
              <w:right w:val="nil"/>
            </w:tcBorders>
            <w:shd w:val="clear" w:color="auto" w:fill="D9D9D9"/>
            <w:tcMar>
              <w:top w:w="15" w:type="dxa"/>
              <w:left w:w="15" w:type="dxa"/>
              <w:bottom w:w="0" w:type="dxa"/>
              <w:right w:w="15" w:type="dxa"/>
            </w:tcMar>
            <w:vAlign w:val="center"/>
          </w:tcPr>
          <w:p w14:paraId="4EC04EB3" w14:textId="32BAB4CC" w:rsidR="00A35354" w:rsidRPr="00323289" w:rsidRDefault="00A45B8F" w:rsidP="00A35354">
            <w:pPr>
              <w:spacing w:beforeLines="20" w:before="48" w:afterLines="20" w:after="48" w:line="240" w:lineRule="auto"/>
              <w:contextualSpacing w:val="0"/>
              <w:jc w:val="center"/>
              <w:rPr>
                <w:rFonts w:asciiTheme="majorHAnsi" w:eastAsia="Times New Roman" w:hAnsiTheme="majorHAnsi" w:cstheme="majorHAnsi"/>
                <w:color w:val="000000"/>
                <w:kern w:val="24"/>
                <w:sz w:val="22"/>
                <w:szCs w:val="22"/>
                <w:rtl/>
              </w:rPr>
            </w:pPr>
            <w:r w:rsidRPr="00323289">
              <w:rPr>
                <w:rFonts w:asciiTheme="majorHAnsi" w:eastAsia="Times New Roman" w:hAnsiTheme="majorHAnsi" w:cstheme="majorHAnsi"/>
                <w:color w:val="000000"/>
                <w:kern w:val="24"/>
                <w:sz w:val="22"/>
                <w:szCs w:val="22"/>
              </w:rPr>
              <w:t>4.1</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429801F8"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double" w:sz="4" w:space="0" w:color="auto"/>
              <w:left w:val="nil"/>
              <w:bottom w:val="nil"/>
              <w:right w:val="nil"/>
            </w:tcBorders>
            <w:shd w:val="clear" w:color="auto" w:fill="auto"/>
            <w:tcMar>
              <w:top w:w="15" w:type="dxa"/>
              <w:left w:w="15" w:type="dxa"/>
              <w:bottom w:w="0" w:type="dxa"/>
              <w:right w:w="15" w:type="dxa"/>
            </w:tcMar>
            <w:vAlign w:val="center"/>
          </w:tcPr>
          <w:p w14:paraId="5C9051DF" w14:textId="5DD7E61A"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b/>
                <w:bCs/>
                <w:color w:val="000000" w:themeColor="text1"/>
                <w:kern w:val="24"/>
                <w:sz w:val="22"/>
                <w:szCs w:val="22"/>
              </w:rPr>
            </w:pPr>
            <w:r w:rsidRPr="00323289">
              <w:rPr>
                <w:rFonts w:asciiTheme="majorHAnsi" w:eastAsia="Times New Roman" w:hAnsiTheme="majorHAnsi" w:cstheme="majorHAnsi"/>
                <w:b/>
                <w:bCs/>
                <w:color w:val="000000" w:themeColor="text1"/>
                <w:kern w:val="24"/>
                <w:sz w:val="22"/>
                <w:szCs w:val="22"/>
              </w:rPr>
              <w:t>6.6</w:t>
            </w:r>
          </w:p>
        </w:tc>
        <w:tc>
          <w:tcPr>
            <w:tcW w:w="514" w:type="pct"/>
            <w:tcBorders>
              <w:top w:val="double" w:sz="4" w:space="0" w:color="auto"/>
              <w:left w:val="nil"/>
              <w:bottom w:val="nil"/>
              <w:right w:val="nil"/>
            </w:tcBorders>
            <w:shd w:val="clear" w:color="auto" w:fill="auto"/>
            <w:tcMar>
              <w:top w:w="15" w:type="dxa"/>
              <w:left w:w="15" w:type="dxa"/>
              <w:bottom w:w="0" w:type="dxa"/>
              <w:right w:w="15" w:type="dxa"/>
            </w:tcMar>
            <w:vAlign w:val="center"/>
          </w:tcPr>
          <w:p w14:paraId="27A1BC7E" w14:textId="5064CD6B"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color w:val="4F81BD"/>
                <w:kern w:val="24"/>
                <w:sz w:val="22"/>
                <w:szCs w:val="22"/>
                <w:rtl/>
              </w:rPr>
            </w:pPr>
            <w:r w:rsidRPr="00323289">
              <w:rPr>
                <w:rFonts w:asciiTheme="majorHAnsi" w:eastAsia="Times New Roman" w:hAnsiTheme="majorHAnsi" w:cstheme="majorHAnsi"/>
                <w:color w:val="4F81BD"/>
                <w:kern w:val="24"/>
                <w:sz w:val="22"/>
                <w:szCs w:val="22"/>
              </w:rPr>
              <w:t>0.9</w:t>
            </w:r>
          </w:p>
        </w:tc>
        <w:tc>
          <w:tcPr>
            <w:tcW w:w="65" w:type="pct"/>
            <w:tcBorders>
              <w:top w:val="nil"/>
              <w:left w:val="single" w:sz="8" w:space="0" w:color="FFFFFF"/>
              <w:bottom w:val="nil"/>
              <w:right w:val="nil"/>
            </w:tcBorders>
            <w:shd w:val="clear" w:color="auto" w:fill="auto"/>
            <w:tcMar>
              <w:top w:w="15" w:type="dxa"/>
              <w:left w:w="15" w:type="dxa"/>
              <w:bottom w:w="0" w:type="dxa"/>
              <w:right w:w="15" w:type="dxa"/>
            </w:tcMar>
            <w:vAlign w:val="center"/>
          </w:tcPr>
          <w:p w14:paraId="02C8F782"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double" w:sz="4" w:space="0" w:color="auto"/>
              <w:left w:val="nil"/>
              <w:bottom w:val="nil"/>
              <w:right w:val="single" w:sz="8" w:space="0" w:color="FFFFFF"/>
            </w:tcBorders>
            <w:shd w:val="clear" w:color="auto" w:fill="auto"/>
            <w:tcMar>
              <w:top w:w="15" w:type="dxa"/>
              <w:left w:w="15" w:type="dxa"/>
              <w:bottom w:w="0" w:type="dxa"/>
              <w:right w:w="15" w:type="dxa"/>
            </w:tcMar>
            <w:vAlign w:val="center"/>
          </w:tcPr>
          <w:p w14:paraId="72CBDF82" w14:textId="659C3357" w:rsidR="007F620D" w:rsidRPr="00323289" w:rsidRDefault="00CC24D4" w:rsidP="007F620D">
            <w:pPr>
              <w:spacing w:beforeLines="20" w:before="48" w:afterLines="20" w:after="48" w:line="240" w:lineRule="auto"/>
              <w:contextualSpacing w:val="0"/>
              <w:jc w:val="center"/>
              <w:rPr>
                <w:rFonts w:asciiTheme="majorHAnsi" w:eastAsia="Times New Roman" w:hAnsiTheme="majorHAnsi" w:cstheme="majorHAnsi"/>
                <w:b/>
                <w:bCs/>
                <w:color w:val="000000" w:themeColor="text1"/>
                <w:kern w:val="24"/>
                <w:sz w:val="22"/>
                <w:szCs w:val="22"/>
                <w:rtl/>
              </w:rPr>
            </w:pPr>
            <w:r w:rsidRPr="00323289">
              <w:rPr>
                <w:rFonts w:asciiTheme="majorHAnsi" w:eastAsia="Times New Roman" w:hAnsiTheme="majorHAnsi" w:cstheme="majorHAnsi"/>
                <w:b/>
                <w:bCs/>
                <w:color w:val="000000" w:themeColor="text1"/>
                <w:kern w:val="24"/>
                <w:sz w:val="22"/>
                <w:szCs w:val="22"/>
              </w:rPr>
              <w:t>4.</w:t>
            </w:r>
            <w:r w:rsidR="00E571A3" w:rsidRPr="00323289">
              <w:rPr>
                <w:rFonts w:asciiTheme="majorHAnsi" w:eastAsia="Times New Roman" w:hAnsiTheme="majorHAnsi" w:cstheme="majorHAnsi"/>
                <w:b/>
                <w:bCs/>
                <w:color w:val="000000" w:themeColor="text1"/>
                <w:kern w:val="24"/>
                <w:sz w:val="22"/>
                <w:szCs w:val="22"/>
              </w:rPr>
              <w:t>6</w:t>
            </w:r>
          </w:p>
        </w:tc>
        <w:tc>
          <w:tcPr>
            <w:tcW w:w="494" w:type="pct"/>
            <w:tcBorders>
              <w:top w:val="double" w:sz="4" w:space="0" w:color="auto"/>
              <w:left w:val="single" w:sz="8" w:space="0" w:color="FFFFFF"/>
              <w:bottom w:val="nil"/>
              <w:right w:val="nil"/>
            </w:tcBorders>
            <w:shd w:val="clear" w:color="auto" w:fill="auto"/>
            <w:tcMar>
              <w:top w:w="15" w:type="dxa"/>
              <w:left w:w="15" w:type="dxa"/>
              <w:bottom w:w="0" w:type="dxa"/>
              <w:right w:w="15" w:type="dxa"/>
            </w:tcMar>
            <w:vAlign w:val="center"/>
          </w:tcPr>
          <w:p w14:paraId="124A81A8" w14:textId="75EEF621" w:rsidR="007F620D" w:rsidRPr="00323289" w:rsidRDefault="00CC24D4" w:rsidP="007F620D">
            <w:pPr>
              <w:spacing w:beforeLines="20" w:before="48" w:afterLines="20" w:after="48" w:line="240" w:lineRule="auto"/>
              <w:contextualSpacing w:val="0"/>
              <w:jc w:val="center"/>
              <w:rPr>
                <w:rFonts w:asciiTheme="majorHAnsi" w:eastAsia="Times New Roman" w:hAnsiTheme="majorHAnsi" w:cstheme="majorHAnsi"/>
                <w:color w:val="4F81BD"/>
                <w:kern w:val="24"/>
                <w:sz w:val="22"/>
                <w:szCs w:val="22"/>
              </w:rPr>
            </w:pPr>
            <w:r w:rsidRPr="00323289">
              <w:rPr>
                <w:rFonts w:asciiTheme="majorHAnsi" w:eastAsia="Times New Roman" w:hAnsiTheme="majorHAnsi" w:cstheme="majorHAnsi"/>
                <w:color w:val="4F81BD"/>
                <w:kern w:val="24"/>
                <w:sz w:val="22"/>
                <w:szCs w:val="22"/>
              </w:rPr>
              <w:t>0.</w:t>
            </w:r>
            <w:r w:rsidR="00E571A3" w:rsidRPr="00323289">
              <w:rPr>
                <w:rFonts w:asciiTheme="majorHAnsi" w:eastAsia="Times New Roman" w:hAnsiTheme="majorHAnsi" w:cstheme="majorHAnsi"/>
                <w:color w:val="4F81BD"/>
                <w:kern w:val="24"/>
                <w:sz w:val="22"/>
                <w:szCs w:val="22"/>
              </w:rPr>
              <w:t>8</w:t>
            </w:r>
          </w:p>
        </w:tc>
      </w:tr>
      <w:tr w:rsidR="007F620D" w:rsidRPr="00323289" w14:paraId="373CD0FB" w14:textId="5A29AB22" w:rsidTr="0057071C">
        <w:trPr>
          <w:trHeight w:val="20"/>
        </w:trPr>
        <w:tc>
          <w:tcPr>
            <w:tcW w:w="2632" w:type="pct"/>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14:paraId="350428B5" w14:textId="0A0526C3" w:rsidR="007F620D" w:rsidRPr="00323289" w:rsidRDefault="007F620D" w:rsidP="007F620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 xml:space="preserve">יחס </w:t>
            </w:r>
            <w:r w:rsidR="0060236D" w:rsidRPr="00323289">
              <w:rPr>
                <w:rFonts w:asciiTheme="majorHAnsi" w:eastAsia="Calibri" w:hAnsiTheme="majorHAnsi" w:cstheme="majorHAnsi"/>
                <w:color w:val="000000"/>
                <w:kern w:val="24"/>
                <w:sz w:val="22"/>
                <w:szCs w:val="22"/>
                <w:rtl/>
              </w:rPr>
              <w:t>ה</w:t>
            </w:r>
            <w:r w:rsidRPr="00323289">
              <w:rPr>
                <w:rFonts w:asciiTheme="majorHAnsi" w:eastAsia="Calibri" w:hAnsiTheme="majorHAnsi" w:cstheme="majorHAnsi"/>
                <w:color w:val="000000"/>
                <w:kern w:val="24"/>
                <w:sz w:val="22"/>
                <w:szCs w:val="22"/>
                <w:rtl/>
              </w:rPr>
              <w:t>חוב לתוצר</w:t>
            </w:r>
          </w:p>
        </w:tc>
        <w:tc>
          <w:tcPr>
            <w:tcW w:w="364" w:type="pct"/>
            <w:tcBorders>
              <w:top w:val="nil"/>
              <w:left w:val="nil"/>
              <w:bottom w:val="double" w:sz="6" w:space="0" w:color="000000"/>
              <w:right w:val="nil"/>
            </w:tcBorders>
            <w:shd w:val="clear" w:color="auto" w:fill="D9D9D9"/>
            <w:tcMar>
              <w:top w:w="15" w:type="dxa"/>
              <w:left w:w="15" w:type="dxa"/>
              <w:bottom w:w="0" w:type="dxa"/>
              <w:right w:w="15" w:type="dxa"/>
            </w:tcMar>
            <w:vAlign w:val="center"/>
          </w:tcPr>
          <w:p w14:paraId="7B9A82CA" w14:textId="730DCD45"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color w:val="000000"/>
                <w:kern w:val="24"/>
                <w:sz w:val="22"/>
                <w:szCs w:val="22"/>
                <w:rtl/>
              </w:rPr>
            </w:pPr>
            <w:r w:rsidRPr="00323289">
              <w:rPr>
                <w:rFonts w:asciiTheme="majorHAnsi" w:eastAsia="Times New Roman" w:hAnsiTheme="majorHAnsi" w:cstheme="majorHAnsi"/>
                <w:color w:val="000000"/>
                <w:kern w:val="24"/>
                <w:sz w:val="22"/>
                <w:szCs w:val="22"/>
              </w:rPr>
              <w:t>62</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719873D2"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00A0239F" w14:textId="036D66F3"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b/>
                <w:bCs/>
                <w:color w:val="000000" w:themeColor="text1"/>
                <w:kern w:val="24"/>
                <w:sz w:val="22"/>
                <w:szCs w:val="22"/>
                <w:rtl/>
              </w:rPr>
            </w:pPr>
            <w:r w:rsidRPr="00323289">
              <w:rPr>
                <w:rFonts w:asciiTheme="majorHAnsi" w:eastAsia="Times New Roman" w:hAnsiTheme="majorHAnsi" w:cstheme="majorHAnsi"/>
                <w:b/>
                <w:bCs/>
                <w:color w:val="000000" w:themeColor="text1"/>
                <w:kern w:val="24"/>
                <w:sz w:val="22"/>
                <w:szCs w:val="22"/>
              </w:rPr>
              <w:t>67</w:t>
            </w:r>
          </w:p>
        </w:tc>
        <w:tc>
          <w:tcPr>
            <w:tcW w:w="514"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1A8346A2" w14:textId="55BBDA33"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color w:val="4F81BD"/>
                <w:kern w:val="24"/>
                <w:sz w:val="22"/>
                <w:szCs w:val="22"/>
                <w:rtl/>
              </w:rPr>
            </w:pPr>
            <w:r w:rsidRPr="00323289">
              <w:rPr>
                <w:rFonts w:asciiTheme="majorHAnsi" w:eastAsia="Times New Roman" w:hAnsiTheme="majorHAnsi" w:cstheme="majorHAnsi"/>
                <w:color w:val="4F81BD"/>
                <w:kern w:val="24"/>
                <w:sz w:val="22"/>
                <w:szCs w:val="22"/>
              </w:rPr>
              <w:t>1</w:t>
            </w:r>
          </w:p>
        </w:tc>
        <w:tc>
          <w:tcPr>
            <w:tcW w:w="65" w:type="pct"/>
            <w:tcBorders>
              <w:top w:val="nil"/>
              <w:left w:val="nil"/>
              <w:bottom w:val="nil"/>
              <w:right w:val="nil"/>
            </w:tcBorders>
            <w:shd w:val="clear" w:color="auto" w:fill="auto"/>
            <w:tcMar>
              <w:top w:w="15" w:type="dxa"/>
              <w:left w:w="15" w:type="dxa"/>
              <w:bottom w:w="0" w:type="dxa"/>
              <w:right w:w="15" w:type="dxa"/>
            </w:tcMar>
            <w:vAlign w:val="center"/>
          </w:tcPr>
          <w:p w14:paraId="39396D59"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6B24D306" w14:textId="59A0746B" w:rsidR="007F620D" w:rsidRPr="00323289" w:rsidRDefault="00CC24D4" w:rsidP="007F620D">
            <w:pPr>
              <w:spacing w:beforeLines="20" w:before="48" w:afterLines="20" w:after="48" w:line="240" w:lineRule="auto"/>
              <w:contextualSpacing w:val="0"/>
              <w:jc w:val="center"/>
              <w:rPr>
                <w:rFonts w:asciiTheme="majorHAnsi" w:eastAsia="Times New Roman" w:hAnsiTheme="majorHAnsi" w:cstheme="majorHAnsi"/>
                <w:b/>
                <w:bCs/>
                <w:color w:val="000000" w:themeColor="text1"/>
                <w:kern w:val="24"/>
                <w:sz w:val="22"/>
                <w:szCs w:val="22"/>
                <w:rtl/>
              </w:rPr>
            </w:pPr>
            <w:r w:rsidRPr="00323289">
              <w:rPr>
                <w:rFonts w:asciiTheme="majorHAnsi" w:eastAsia="Times New Roman" w:hAnsiTheme="majorHAnsi" w:cstheme="majorHAnsi"/>
                <w:b/>
                <w:bCs/>
                <w:color w:val="000000" w:themeColor="text1"/>
                <w:kern w:val="24"/>
                <w:sz w:val="22"/>
                <w:szCs w:val="22"/>
              </w:rPr>
              <w:t>67</w:t>
            </w:r>
          </w:p>
        </w:tc>
        <w:tc>
          <w:tcPr>
            <w:tcW w:w="494"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7EC06DAF" w14:textId="221B7FE6" w:rsidR="007F620D" w:rsidRPr="00323289" w:rsidRDefault="00CC24D4" w:rsidP="007F620D">
            <w:pPr>
              <w:spacing w:beforeLines="20" w:before="48" w:afterLines="20" w:after="48" w:line="240" w:lineRule="auto"/>
              <w:contextualSpacing w:val="0"/>
              <w:jc w:val="center"/>
              <w:rPr>
                <w:rFonts w:asciiTheme="majorHAnsi" w:eastAsia="Times New Roman" w:hAnsiTheme="majorHAnsi" w:cstheme="majorHAnsi"/>
                <w:color w:val="4F81BD"/>
                <w:kern w:val="24"/>
                <w:sz w:val="22"/>
                <w:szCs w:val="22"/>
                <w:rtl/>
              </w:rPr>
            </w:pPr>
            <w:r w:rsidRPr="00323289">
              <w:rPr>
                <w:rFonts w:asciiTheme="majorHAnsi" w:eastAsia="Times New Roman" w:hAnsiTheme="majorHAnsi" w:cstheme="majorHAnsi"/>
                <w:color w:val="4F81BD"/>
                <w:kern w:val="24"/>
                <w:sz w:val="22"/>
                <w:szCs w:val="22"/>
              </w:rPr>
              <w:t>1</w:t>
            </w:r>
          </w:p>
        </w:tc>
      </w:tr>
      <w:tr w:rsidR="007F620D" w:rsidRPr="00323289" w14:paraId="3AEC6524" w14:textId="411EAC92" w:rsidTr="0057071C">
        <w:trPr>
          <w:trHeight w:val="20"/>
        </w:trPr>
        <w:tc>
          <w:tcPr>
            <w:tcW w:w="2632"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329F125" w14:textId="77777777" w:rsidR="007F620D" w:rsidRPr="00323289" w:rsidRDefault="007F620D" w:rsidP="007F620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אינפלציה</w:t>
            </w:r>
            <w:r w:rsidRPr="00323289">
              <w:rPr>
                <w:rFonts w:asciiTheme="majorHAnsi" w:eastAsia="Calibri" w:hAnsiTheme="majorHAnsi" w:cstheme="majorHAnsi"/>
                <w:color w:val="000000"/>
                <w:kern w:val="24"/>
                <w:position w:val="8"/>
                <w:sz w:val="22"/>
                <w:szCs w:val="22"/>
                <w:vertAlign w:val="superscript"/>
                <w:rtl/>
              </w:rPr>
              <w:t>3</w:t>
            </w:r>
          </w:p>
        </w:tc>
        <w:tc>
          <w:tcPr>
            <w:tcW w:w="364" w:type="pct"/>
            <w:tcBorders>
              <w:top w:val="double" w:sz="6" w:space="0" w:color="000000"/>
              <w:left w:val="nil"/>
              <w:bottom w:val="single" w:sz="8" w:space="0" w:color="000000"/>
              <w:right w:val="nil"/>
            </w:tcBorders>
            <w:shd w:val="clear" w:color="auto" w:fill="D9D9D9" w:themeFill="background1" w:themeFillShade="D9"/>
            <w:tcMar>
              <w:top w:w="15" w:type="dxa"/>
              <w:left w:w="15" w:type="dxa"/>
              <w:bottom w:w="0" w:type="dxa"/>
              <w:right w:w="15" w:type="dxa"/>
            </w:tcMar>
            <w:vAlign w:val="center"/>
            <w:hideMark/>
          </w:tcPr>
          <w:p w14:paraId="6B14E89D" w14:textId="6F077132"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000000"/>
                <w:kern w:val="24"/>
                <w:sz w:val="22"/>
                <w:szCs w:val="22"/>
              </w:rPr>
              <w:t>3.</w:t>
            </w:r>
            <w:r w:rsidR="006D4195" w:rsidRPr="00323289">
              <w:rPr>
                <w:rFonts w:asciiTheme="majorHAnsi" w:eastAsia="Times New Roman" w:hAnsiTheme="majorHAnsi" w:cstheme="majorHAnsi"/>
                <w:color w:val="000000"/>
                <w:kern w:val="24"/>
                <w:sz w:val="22"/>
                <w:szCs w:val="22"/>
              </w:rPr>
              <w:t>3</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1C2CB683" w14:textId="77777777" w:rsidR="007F620D" w:rsidRPr="00323289" w:rsidRDefault="007F620D" w:rsidP="007F620D">
            <w:pPr>
              <w:bidi w:val="0"/>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A629395" w14:textId="34686CCF"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Pr>
            </w:pPr>
            <w:r w:rsidRPr="00323289">
              <w:rPr>
                <w:rFonts w:asciiTheme="majorHAnsi" w:eastAsia="Times New Roman" w:hAnsiTheme="majorHAnsi" w:cstheme="majorHAnsi"/>
                <w:b/>
                <w:bCs/>
                <w:color w:val="000000"/>
                <w:kern w:val="24"/>
                <w:sz w:val="22"/>
                <w:szCs w:val="22"/>
              </w:rPr>
              <w:t>2.7</w:t>
            </w:r>
          </w:p>
        </w:tc>
        <w:tc>
          <w:tcPr>
            <w:tcW w:w="514"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tcPr>
          <w:p w14:paraId="32C4ACB9" w14:textId="2DA21A00" w:rsidR="007F620D" w:rsidRPr="00323289" w:rsidRDefault="0057071C"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0.3</w:t>
            </w:r>
          </w:p>
        </w:tc>
        <w:tc>
          <w:tcPr>
            <w:tcW w:w="65" w:type="pct"/>
            <w:tcBorders>
              <w:top w:val="nil"/>
              <w:left w:val="single" w:sz="8" w:space="0" w:color="FFFFFF"/>
              <w:bottom w:val="nil"/>
              <w:right w:val="nil"/>
            </w:tcBorders>
            <w:shd w:val="clear" w:color="auto" w:fill="auto"/>
            <w:tcMar>
              <w:top w:w="15" w:type="dxa"/>
              <w:left w:w="15" w:type="dxa"/>
              <w:bottom w:w="0" w:type="dxa"/>
              <w:right w:w="15" w:type="dxa"/>
            </w:tcMar>
            <w:vAlign w:val="center"/>
            <w:hideMark/>
          </w:tcPr>
          <w:p w14:paraId="3E22F6C5"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double" w:sz="6" w:space="0" w:color="000000"/>
              <w:left w:val="nil"/>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E61BAEE" w14:textId="3E8DB74A" w:rsidR="007F620D" w:rsidRPr="00323289" w:rsidRDefault="00CC24D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b/>
                <w:bCs/>
                <w:color w:val="000000"/>
                <w:kern w:val="24"/>
                <w:sz w:val="22"/>
                <w:szCs w:val="22"/>
              </w:rPr>
              <w:t>2.3</w:t>
            </w:r>
          </w:p>
        </w:tc>
        <w:tc>
          <w:tcPr>
            <w:tcW w:w="494" w:type="pct"/>
            <w:tcBorders>
              <w:top w:val="double" w:sz="6" w:space="0" w:color="000000"/>
              <w:left w:val="single" w:sz="8" w:space="0" w:color="FFFFFF"/>
              <w:bottom w:val="single" w:sz="8" w:space="0" w:color="000000"/>
              <w:right w:val="nil"/>
            </w:tcBorders>
            <w:shd w:val="clear" w:color="auto" w:fill="auto"/>
            <w:tcMar>
              <w:top w:w="15" w:type="dxa"/>
              <w:left w:w="15" w:type="dxa"/>
              <w:bottom w:w="0" w:type="dxa"/>
              <w:right w:w="15" w:type="dxa"/>
            </w:tcMar>
            <w:vAlign w:val="center"/>
          </w:tcPr>
          <w:p w14:paraId="664D34B8" w14:textId="24B35FC3" w:rsidR="007F620D" w:rsidRPr="00323289" w:rsidRDefault="00CC24D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0.3</w:t>
            </w:r>
          </w:p>
        </w:tc>
      </w:tr>
    </w:tbl>
    <w:p w14:paraId="19F0D7F1" w14:textId="77777777" w:rsidR="00C93A33" w:rsidRPr="00323289" w:rsidRDefault="00C93A33" w:rsidP="003543AE">
      <w:pPr>
        <w:numPr>
          <w:ilvl w:val="0"/>
          <w:numId w:val="2"/>
        </w:numPr>
        <w:spacing w:before="0" w:after="60" w:line="240" w:lineRule="auto"/>
        <w:ind w:left="357" w:hanging="357"/>
        <w:contextualSpacing w:val="0"/>
        <w:jc w:val="both"/>
        <w:rPr>
          <w:rFonts w:asciiTheme="majorHAnsi" w:eastAsia="Calibri" w:hAnsiTheme="majorHAnsi" w:cstheme="majorHAnsi"/>
          <w:sz w:val="20"/>
          <w:szCs w:val="20"/>
        </w:rPr>
      </w:pPr>
      <w:r w:rsidRPr="00323289">
        <w:rPr>
          <w:rFonts w:asciiTheme="majorHAnsi" w:eastAsia="Calibri" w:hAnsiTheme="majorHAnsi" w:cstheme="majorHAnsi"/>
          <w:sz w:val="20"/>
          <w:szCs w:val="20"/>
          <w:rtl/>
        </w:rPr>
        <w:t>בתחזית לרכיבי החשבונאות הלאומית, שיעור השינוי מעוגל לחצי נקודת אחוז.</w:t>
      </w:r>
    </w:p>
    <w:p w14:paraId="4799056D" w14:textId="77777777" w:rsidR="00FC71EB" w:rsidRPr="00323289" w:rsidRDefault="00FC71EB" w:rsidP="003543AE">
      <w:pPr>
        <w:pStyle w:val="af2"/>
        <w:numPr>
          <w:ilvl w:val="0"/>
          <w:numId w:val="2"/>
        </w:numPr>
        <w:spacing w:before="0" w:after="60" w:line="240" w:lineRule="auto"/>
        <w:ind w:left="357" w:hanging="357"/>
        <w:contextualSpacing w:val="0"/>
        <w:jc w:val="both"/>
        <w:rPr>
          <w:rFonts w:asciiTheme="majorHAnsi" w:eastAsia="Calibri" w:hAnsiTheme="majorHAnsi" w:cstheme="majorHAnsi"/>
          <w:sz w:val="20"/>
          <w:szCs w:val="20"/>
          <w:rtl/>
        </w:rPr>
      </w:pPr>
      <w:r w:rsidRPr="00323289">
        <w:rPr>
          <w:rFonts w:asciiTheme="majorHAnsi" w:eastAsia="Calibri" w:hAnsiTheme="majorHAnsi" w:cstheme="majorHAnsi"/>
          <w:sz w:val="20"/>
          <w:szCs w:val="20"/>
          <w:rtl/>
        </w:rPr>
        <w:t>בהתאם להגדרה של הלמ"ס, שיעור האבטלה הרחב כולל את המובטלים בהגדרתם הרגילה (מי שלא עבדו, רצו לעבוד, ה</w:t>
      </w:r>
      <w:r w:rsidR="002B7B3A" w:rsidRPr="00323289">
        <w:rPr>
          <w:rFonts w:asciiTheme="majorHAnsi" w:eastAsia="Calibri" w:hAnsiTheme="majorHAnsi" w:cstheme="majorHAnsi"/>
          <w:sz w:val="20"/>
          <w:szCs w:val="20"/>
          <w:rtl/>
        </w:rPr>
        <w:t>יו פנויים לעבודה, וחיפשו עבודה) ואת</w:t>
      </w:r>
      <w:r w:rsidRPr="00323289">
        <w:rPr>
          <w:rFonts w:asciiTheme="majorHAnsi" w:eastAsia="Calibri" w:hAnsiTheme="majorHAnsi" w:cstheme="majorHAnsi"/>
          <w:sz w:val="20"/>
          <w:szCs w:val="20"/>
          <w:rtl/>
        </w:rPr>
        <w:t xml:space="preserve"> המועסקים שנעדרים זמנית </w:t>
      </w:r>
      <w:r w:rsidR="002B7B3A" w:rsidRPr="00323289">
        <w:rPr>
          <w:rFonts w:asciiTheme="majorHAnsi" w:eastAsia="Calibri" w:hAnsiTheme="majorHAnsi" w:cstheme="majorHAnsi"/>
          <w:sz w:val="20"/>
          <w:szCs w:val="20"/>
          <w:rtl/>
        </w:rPr>
        <w:t>מעבודתם מסיבות כלכליות (כולל עובדים בחל"ת)</w:t>
      </w:r>
      <w:r w:rsidRPr="00323289">
        <w:rPr>
          <w:rFonts w:asciiTheme="majorHAnsi" w:eastAsia="Calibri" w:hAnsiTheme="majorHAnsi" w:cstheme="majorHAnsi"/>
          <w:sz w:val="20"/>
          <w:szCs w:val="20"/>
          <w:rtl/>
        </w:rPr>
        <w:t>.</w:t>
      </w:r>
      <w:r w:rsidR="002B7B3A" w:rsidRPr="00323289">
        <w:rPr>
          <w:rFonts w:asciiTheme="majorHAnsi" w:eastAsia="Calibri" w:hAnsiTheme="majorHAnsi" w:cstheme="majorHAnsi"/>
          <w:sz w:val="20"/>
          <w:szCs w:val="20"/>
          <w:rtl/>
        </w:rPr>
        <w:t xml:space="preserve"> בהתאם, שיעור התעסוקה המותאם אינו כולל את הנעדרים זמנית מסיבות כלכליות.</w:t>
      </w:r>
    </w:p>
    <w:p w14:paraId="54720E5F" w14:textId="77777777" w:rsidR="00C93A33" w:rsidRPr="00323289" w:rsidRDefault="00C93A33" w:rsidP="003543AE">
      <w:pPr>
        <w:numPr>
          <w:ilvl w:val="0"/>
          <w:numId w:val="2"/>
        </w:numPr>
        <w:spacing w:before="0" w:after="60" w:line="240" w:lineRule="auto"/>
        <w:ind w:left="357" w:hanging="357"/>
        <w:contextualSpacing w:val="0"/>
        <w:jc w:val="both"/>
        <w:rPr>
          <w:rFonts w:asciiTheme="majorHAnsi" w:eastAsia="Calibri" w:hAnsiTheme="majorHAnsi" w:cstheme="majorHAnsi"/>
          <w:sz w:val="20"/>
          <w:szCs w:val="20"/>
          <w:rtl/>
        </w:rPr>
      </w:pPr>
      <w:r w:rsidRPr="00323289">
        <w:rPr>
          <w:rFonts w:asciiTheme="majorHAnsi" w:eastAsia="Calibri" w:hAnsiTheme="majorHAnsi" w:cstheme="majorHAnsi"/>
          <w:sz w:val="20"/>
          <w:szCs w:val="20"/>
          <w:rtl/>
        </w:rPr>
        <w:t>הממוצע של מדד המחירים לצרכן ברבעון האחרון בשנה לעומת הממוצע ברבעון האחרון בשנה הקודמת.</w:t>
      </w:r>
    </w:p>
    <w:p w14:paraId="66988BB6" w14:textId="77777777" w:rsidR="00A83A47" w:rsidRPr="00323289" w:rsidRDefault="00A83A47">
      <w:pPr>
        <w:bidi w:val="0"/>
        <w:spacing w:before="0" w:after="160" w:line="259" w:lineRule="auto"/>
        <w:contextualSpacing w:val="0"/>
        <w:rPr>
          <w:rFonts w:asciiTheme="majorHAnsi" w:eastAsia="Calibri" w:hAnsiTheme="majorHAnsi" w:cstheme="majorHAnsi"/>
          <w:rtl/>
        </w:rPr>
      </w:pPr>
    </w:p>
    <w:p w14:paraId="5228AD1C" w14:textId="77777777" w:rsidR="003B2D4B" w:rsidRPr="00323289" w:rsidRDefault="003B2D4B" w:rsidP="00910C95">
      <w:pPr>
        <w:pStyle w:val="a"/>
        <w:rPr>
          <w:rFonts w:asciiTheme="majorHAnsi" w:hAnsiTheme="majorHAnsi" w:cstheme="majorHAnsi"/>
          <w:rtl/>
        </w:rPr>
      </w:pPr>
      <w:r w:rsidRPr="00323289">
        <w:rPr>
          <w:rFonts w:asciiTheme="majorHAnsi" w:hAnsiTheme="majorHAnsi" w:cstheme="majorHAnsi"/>
          <w:rtl/>
        </w:rPr>
        <w:t>האינפלציה והריבית</w:t>
      </w:r>
    </w:p>
    <w:p w14:paraId="36833B7A" w14:textId="22147E34" w:rsidR="00396E2F" w:rsidRPr="00323289" w:rsidRDefault="004F1F25" w:rsidP="00D13F6F">
      <w:pPr>
        <w:jc w:val="both"/>
        <w:rPr>
          <w:rFonts w:asciiTheme="majorHAnsi" w:hAnsiTheme="majorHAnsi" w:cstheme="majorHAnsi"/>
          <w:b/>
        </w:rPr>
      </w:pPr>
      <w:r w:rsidRPr="00323289">
        <w:rPr>
          <w:rFonts w:asciiTheme="majorHAnsi" w:hAnsiTheme="majorHAnsi" w:cstheme="majorHAnsi"/>
          <w:bCs/>
          <w:rtl/>
        </w:rPr>
        <w:t xml:space="preserve">שיעור האינפלציה בארבעת הרבעונים הקרובים (המסתיימים ברבעון הראשון של שנת 2025) צפוי להיות 2.8%. </w:t>
      </w:r>
      <w:r w:rsidR="006A162E" w:rsidRPr="00323289">
        <w:rPr>
          <w:rFonts w:asciiTheme="majorHAnsi" w:hAnsiTheme="majorHAnsi" w:cstheme="majorHAnsi"/>
          <w:b/>
          <w:rtl/>
        </w:rPr>
        <w:t>שיעור האינפלציה ב</w:t>
      </w:r>
      <w:r w:rsidR="004376E3" w:rsidRPr="00323289">
        <w:rPr>
          <w:rFonts w:asciiTheme="majorHAnsi" w:hAnsiTheme="majorHAnsi" w:cstheme="majorHAnsi"/>
          <w:b/>
          <w:rtl/>
        </w:rPr>
        <w:t xml:space="preserve">מהלך </w:t>
      </w:r>
      <w:r w:rsidR="00C23353" w:rsidRPr="00323289">
        <w:rPr>
          <w:rFonts w:asciiTheme="majorHAnsi" w:hAnsiTheme="majorHAnsi" w:cstheme="majorHAnsi"/>
          <w:b/>
          <w:rtl/>
        </w:rPr>
        <w:t>שנת</w:t>
      </w:r>
      <w:r w:rsidR="006A162E" w:rsidRPr="00323289">
        <w:rPr>
          <w:rFonts w:asciiTheme="majorHAnsi" w:hAnsiTheme="majorHAnsi" w:cstheme="majorHAnsi"/>
          <w:b/>
          <w:rtl/>
        </w:rPr>
        <w:t xml:space="preserve"> 2024 צפוי לעמוד על 2.</w:t>
      </w:r>
      <w:r w:rsidR="00BB6DAA" w:rsidRPr="00323289">
        <w:rPr>
          <w:rFonts w:asciiTheme="majorHAnsi" w:hAnsiTheme="majorHAnsi" w:cstheme="majorHAnsi"/>
          <w:b/>
          <w:rtl/>
        </w:rPr>
        <w:t>7</w:t>
      </w:r>
      <w:r w:rsidR="006A162E" w:rsidRPr="00323289">
        <w:rPr>
          <w:rFonts w:asciiTheme="majorHAnsi" w:hAnsiTheme="majorHAnsi" w:cstheme="majorHAnsi"/>
          <w:b/>
          <w:rtl/>
        </w:rPr>
        <w:t>%</w:t>
      </w:r>
      <w:r w:rsidR="0062164F" w:rsidRPr="00323289">
        <w:rPr>
          <w:rFonts w:asciiTheme="majorHAnsi" w:hAnsiTheme="majorHAnsi" w:cstheme="majorHAnsi"/>
          <w:b/>
          <w:rtl/>
        </w:rPr>
        <w:t>, ל</w:t>
      </w:r>
      <w:r w:rsidR="00BB6DAA" w:rsidRPr="00323289">
        <w:rPr>
          <w:rFonts w:asciiTheme="majorHAnsi" w:hAnsiTheme="majorHAnsi" w:cstheme="majorHAnsi"/>
          <w:b/>
          <w:rtl/>
        </w:rPr>
        <w:t>עומת 2.4%</w:t>
      </w:r>
      <w:r w:rsidR="00FF0C2C" w:rsidRPr="00323289">
        <w:rPr>
          <w:rFonts w:asciiTheme="majorHAnsi" w:hAnsiTheme="majorHAnsi" w:cstheme="majorHAnsi"/>
          <w:b/>
          <w:rtl/>
        </w:rPr>
        <w:t xml:space="preserve"> בתחזית ינואר, ואילו בשנת 2025 האינפלציה צפויה לעמוד על 2.3%</w:t>
      </w:r>
      <w:r w:rsidR="003640D4" w:rsidRPr="00323289">
        <w:rPr>
          <w:rFonts w:asciiTheme="majorHAnsi" w:hAnsiTheme="majorHAnsi" w:cstheme="majorHAnsi"/>
          <w:b/>
          <w:rtl/>
        </w:rPr>
        <w:t>,</w:t>
      </w:r>
      <w:r w:rsidR="0062164F" w:rsidRPr="00323289">
        <w:rPr>
          <w:rFonts w:asciiTheme="majorHAnsi" w:hAnsiTheme="majorHAnsi" w:cstheme="majorHAnsi"/>
          <w:b/>
          <w:rtl/>
        </w:rPr>
        <w:t xml:space="preserve"> </w:t>
      </w:r>
      <w:r w:rsidR="00FF0C2C" w:rsidRPr="00323289">
        <w:rPr>
          <w:rFonts w:asciiTheme="majorHAnsi" w:hAnsiTheme="majorHAnsi" w:cstheme="majorHAnsi"/>
          <w:b/>
          <w:rtl/>
        </w:rPr>
        <w:t>לעומת 2.0% בתחזית ינואר</w:t>
      </w:r>
      <w:r w:rsidR="006A162E" w:rsidRPr="00323289">
        <w:rPr>
          <w:rFonts w:asciiTheme="majorHAnsi" w:hAnsiTheme="majorHAnsi" w:cstheme="majorHAnsi"/>
          <w:b/>
          <w:rtl/>
        </w:rPr>
        <w:t>.</w:t>
      </w:r>
      <w:r w:rsidR="00A72ACB" w:rsidRPr="00323289">
        <w:rPr>
          <w:rFonts w:asciiTheme="majorHAnsi" w:hAnsiTheme="majorHAnsi" w:cstheme="majorHAnsi"/>
          <w:bCs/>
          <w:rtl/>
        </w:rPr>
        <w:t xml:space="preserve"> </w:t>
      </w:r>
      <w:r w:rsidR="00A72ACB" w:rsidRPr="00323289">
        <w:rPr>
          <w:rFonts w:asciiTheme="majorHAnsi" w:hAnsiTheme="majorHAnsi" w:cstheme="majorHAnsi"/>
          <w:b/>
          <w:rtl/>
        </w:rPr>
        <w:t xml:space="preserve">התמתנות האינפלציה בטווח התחזית, בהשוואה לאינפלציה של 2023, משקפת מגמה שהחלה עוד טרם המלחמה, בהשפעת ההתפתחויות בעולם והמדיניות המוניטרית המקומית. נוסף על אלו, בעקבות המלחמה היא מושפעת גם מהפגיעה בסנטימנט הצרכני ובביקוש לצריכה. </w:t>
      </w:r>
      <w:r w:rsidR="00BB6DAA" w:rsidRPr="00323289">
        <w:rPr>
          <w:rFonts w:asciiTheme="majorHAnsi" w:hAnsiTheme="majorHAnsi" w:cstheme="majorHAnsi"/>
          <w:b/>
          <w:rtl/>
        </w:rPr>
        <w:t>ביחס לתחזית ינואר, העלייה</w:t>
      </w:r>
      <w:r w:rsidR="0077139F" w:rsidRPr="00323289">
        <w:rPr>
          <w:rFonts w:asciiTheme="majorHAnsi" w:hAnsiTheme="majorHAnsi" w:cstheme="majorHAnsi"/>
          <w:b/>
          <w:rtl/>
        </w:rPr>
        <w:t xml:space="preserve"> בתוואי האינפלציה בשנים 2024</w:t>
      </w:r>
      <w:r w:rsidR="00192453" w:rsidRPr="00323289">
        <w:rPr>
          <w:rFonts w:asciiTheme="majorHAnsi" w:hAnsiTheme="majorHAnsi" w:cstheme="majorHAnsi"/>
          <w:b/>
          <w:rtl/>
        </w:rPr>
        <w:t>–</w:t>
      </w:r>
      <w:r w:rsidR="0077139F" w:rsidRPr="00323289">
        <w:rPr>
          <w:rFonts w:asciiTheme="majorHAnsi" w:hAnsiTheme="majorHAnsi" w:cstheme="majorHAnsi"/>
          <w:b/>
          <w:rtl/>
        </w:rPr>
        <w:t>2025</w:t>
      </w:r>
      <w:r w:rsidR="00BB6DAA" w:rsidRPr="00323289">
        <w:rPr>
          <w:rFonts w:asciiTheme="majorHAnsi" w:hAnsiTheme="majorHAnsi" w:cstheme="majorHAnsi"/>
          <w:b/>
          <w:rtl/>
        </w:rPr>
        <w:t xml:space="preserve"> נובעת ב</w:t>
      </w:r>
      <w:r w:rsidR="0077139F" w:rsidRPr="00323289">
        <w:rPr>
          <w:rFonts w:asciiTheme="majorHAnsi" w:hAnsiTheme="majorHAnsi" w:cstheme="majorHAnsi"/>
          <w:b/>
          <w:rtl/>
        </w:rPr>
        <w:t xml:space="preserve">רובה </w:t>
      </w:r>
      <w:r w:rsidR="00BB6DAA" w:rsidRPr="00323289">
        <w:rPr>
          <w:rFonts w:asciiTheme="majorHAnsi" w:hAnsiTheme="majorHAnsi" w:cstheme="majorHAnsi"/>
          <w:b/>
          <w:rtl/>
        </w:rPr>
        <w:t>משינויי מיסוי</w:t>
      </w:r>
      <w:r w:rsidR="0077139F" w:rsidRPr="00323289">
        <w:rPr>
          <w:rFonts w:asciiTheme="majorHAnsi" w:hAnsiTheme="majorHAnsi" w:cstheme="majorHAnsi"/>
          <w:b/>
          <w:rtl/>
        </w:rPr>
        <w:t>. שינויי המיסוי ב-2024 כוללים את העלאת המיסוי על הסיגריות</w:t>
      </w:r>
      <w:r w:rsidR="009D7285" w:rsidRPr="00323289">
        <w:rPr>
          <w:rFonts w:asciiTheme="majorHAnsi" w:hAnsiTheme="majorHAnsi" w:cstheme="majorHAnsi"/>
          <w:b/>
          <w:rtl/>
        </w:rPr>
        <w:t xml:space="preserve"> ו</w:t>
      </w:r>
      <w:r w:rsidR="001D1A64" w:rsidRPr="00323289">
        <w:rPr>
          <w:rFonts w:asciiTheme="majorHAnsi" w:hAnsiTheme="majorHAnsi" w:cstheme="majorHAnsi"/>
          <w:b/>
          <w:rtl/>
        </w:rPr>
        <w:t xml:space="preserve">את </w:t>
      </w:r>
      <w:r w:rsidR="009D7285" w:rsidRPr="00323289">
        <w:rPr>
          <w:rFonts w:asciiTheme="majorHAnsi" w:hAnsiTheme="majorHAnsi" w:cstheme="majorHAnsi"/>
          <w:b/>
          <w:rtl/>
        </w:rPr>
        <w:t>ביטול ההנחה על מס</w:t>
      </w:r>
      <w:r w:rsidR="0077139F" w:rsidRPr="00323289">
        <w:rPr>
          <w:rFonts w:asciiTheme="majorHAnsi" w:hAnsiTheme="majorHAnsi" w:cstheme="majorHAnsi"/>
          <w:b/>
          <w:rtl/>
        </w:rPr>
        <w:t xml:space="preserve"> הבלו על הדלק, </w:t>
      </w:r>
      <w:r w:rsidR="008776D7" w:rsidRPr="00323289">
        <w:rPr>
          <w:rFonts w:asciiTheme="majorHAnsi" w:hAnsiTheme="majorHAnsi" w:cstheme="majorHAnsi"/>
          <w:b/>
          <w:rtl/>
        </w:rPr>
        <w:t xml:space="preserve">אשר </w:t>
      </w:r>
      <w:r w:rsidR="001D1A64" w:rsidRPr="00323289">
        <w:rPr>
          <w:rFonts w:asciiTheme="majorHAnsi" w:hAnsiTheme="majorHAnsi" w:cstheme="majorHAnsi"/>
          <w:b/>
          <w:rtl/>
        </w:rPr>
        <w:t xml:space="preserve">כבר </w:t>
      </w:r>
      <w:r w:rsidR="0077139F" w:rsidRPr="00323289">
        <w:rPr>
          <w:rFonts w:asciiTheme="majorHAnsi" w:hAnsiTheme="majorHAnsi" w:cstheme="majorHAnsi"/>
          <w:b/>
          <w:rtl/>
        </w:rPr>
        <w:t xml:space="preserve">התרחשו </w:t>
      </w:r>
      <w:r w:rsidR="001D1A64" w:rsidRPr="00323289">
        <w:rPr>
          <w:rFonts w:asciiTheme="majorHAnsi" w:hAnsiTheme="majorHAnsi" w:cstheme="majorHAnsi"/>
          <w:b/>
          <w:rtl/>
        </w:rPr>
        <w:t xml:space="preserve">בתחילת </w:t>
      </w:r>
      <w:r w:rsidR="0077139F" w:rsidRPr="00323289">
        <w:rPr>
          <w:rFonts w:asciiTheme="majorHAnsi" w:hAnsiTheme="majorHAnsi" w:cstheme="majorHAnsi"/>
          <w:b/>
          <w:rtl/>
        </w:rPr>
        <w:t>השנה. עליי</w:t>
      </w:r>
      <w:r w:rsidR="001D1A64" w:rsidRPr="00323289">
        <w:rPr>
          <w:rFonts w:asciiTheme="majorHAnsi" w:hAnsiTheme="majorHAnsi" w:cstheme="majorHAnsi"/>
          <w:b/>
          <w:rtl/>
        </w:rPr>
        <w:t>ת האינפלציה הצפויה</w:t>
      </w:r>
      <w:r w:rsidR="0077139F" w:rsidRPr="00323289">
        <w:rPr>
          <w:rFonts w:asciiTheme="majorHAnsi" w:hAnsiTheme="majorHAnsi" w:cstheme="majorHAnsi"/>
          <w:b/>
          <w:rtl/>
        </w:rPr>
        <w:t xml:space="preserve"> ב-2025 נובעת ברובה מ</w:t>
      </w:r>
      <w:r w:rsidR="009D7285" w:rsidRPr="00323289">
        <w:rPr>
          <w:rFonts w:asciiTheme="majorHAnsi" w:hAnsiTheme="majorHAnsi" w:cstheme="majorHAnsi"/>
          <w:b/>
          <w:rtl/>
        </w:rPr>
        <w:t>ה</w:t>
      </w:r>
      <w:r w:rsidR="0077139F" w:rsidRPr="00323289">
        <w:rPr>
          <w:rFonts w:asciiTheme="majorHAnsi" w:hAnsiTheme="majorHAnsi" w:cstheme="majorHAnsi"/>
          <w:b/>
          <w:rtl/>
        </w:rPr>
        <w:t>עליי</w:t>
      </w:r>
      <w:r w:rsidR="009D7285" w:rsidRPr="00323289">
        <w:rPr>
          <w:rFonts w:asciiTheme="majorHAnsi" w:hAnsiTheme="majorHAnsi" w:cstheme="majorHAnsi"/>
          <w:b/>
          <w:rtl/>
        </w:rPr>
        <w:t>ה</w:t>
      </w:r>
      <w:r w:rsidR="0077139F" w:rsidRPr="00323289">
        <w:rPr>
          <w:rFonts w:asciiTheme="majorHAnsi" w:hAnsiTheme="majorHAnsi" w:cstheme="majorHAnsi"/>
          <w:b/>
          <w:rtl/>
        </w:rPr>
        <w:t xml:space="preserve"> ה</w:t>
      </w:r>
      <w:r w:rsidR="009D7285" w:rsidRPr="00323289">
        <w:rPr>
          <w:rFonts w:asciiTheme="majorHAnsi" w:hAnsiTheme="majorHAnsi" w:cstheme="majorHAnsi"/>
          <w:b/>
          <w:rtl/>
        </w:rPr>
        <w:t>צפויה ב</w:t>
      </w:r>
      <w:r w:rsidR="0077139F" w:rsidRPr="00323289">
        <w:rPr>
          <w:rFonts w:asciiTheme="majorHAnsi" w:hAnsiTheme="majorHAnsi" w:cstheme="majorHAnsi"/>
          <w:b/>
          <w:rtl/>
        </w:rPr>
        <w:t>מע"מ</w:t>
      </w:r>
      <w:r w:rsidR="001D1A64" w:rsidRPr="00323289">
        <w:rPr>
          <w:rFonts w:asciiTheme="majorHAnsi" w:hAnsiTheme="majorHAnsi" w:cstheme="majorHAnsi"/>
          <w:b/>
          <w:rtl/>
        </w:rPr>
        <w:t>,</w:t>
      </w:r>
      <w:r w:rsidR="0077139F" w:rsidRPr="00323289">
        <w:rPr>
          <w:rFonts w:asciiTheme="majorHAnsi" w:hAnsiTheme="majorHAnsi" w:cstheme="majorHAnsi"/>
          <w:b/>
          <w:rtl/>
        </w:rPr>
        <w:t xml:space="preserve"> מרמה של 17% לרמה של 18%, </w:t>
      </w:r>
      <w:r w:rsidR="009D7285" w:rsidRPr="00323289">
        <w:rPr>
          <w:rFonts w:asciiTheme="majorHAnsi" w:hAnsiTheme="majorHAnsi" w:cstheme="majorHAnsi"/>
          <w:b/>
          <w:rtl/>
        </w:rPr>
        <w:t>בהתאם לחקיקה</w:t>
      </w:r>
      <w:r w:rsidR="0077139F" w:rsidRPr="00323289">
        <w:rPr>
          <w:rFonts w:asciiTheme="majorHAnsi" w:hAnsiTheme="majorHAnsi" w:cstheme="majorHAnsi"/>
          <w:b/>
          <w:rtl/>
        </w:rPr>
        <w:t xml:space="preserve"> בכנסת.</w:t>
      </w:r>
      <w:r w:rsidR="00BB6DAA" w:rsidRPr="00323289">
        <w:rPr>
          <w:rFonts w:asciiTheme="majorHAnsi" w:hAnsiTheme="majorHAnsi" w:cstheme="majorHAnsi"/>
          <w:b/>
          <w:rtl/>
        </w:rPr>
        <w:t xml:space="preserve"> </w:t>
      </w:r>
    </w:p>
    <w:p w14:paraId="7DBB0D38" w14:textId="2B7E0D81" w:rsidR="008B6C2F" w:rsidRPr="00323289" w:rsidRDefault="006A162E" w:rsidP="00C5592C">
      <w:pPr>
        <w:jc w:val="both"/>
        <w:rPr>
          <w:rFonts w:asciiTheme="majorHAnsi" w:hAnsiTheme="majorHAnsi" w:cstheme="majorHAnsi"/>
          <w:b/>
          <w:rtl/>
        </w:rPr>
      </w:pPr>
      <w:r w:rsidRPr="00323289">
        <w:rPr>
          <w:rFonts w:asciiTheme="majorHAnsi" w:hAnsiTheme="majorHAnsi" w:cstheme="majorHAnsi"/>
          <w:bCs/>
          <w:rtl/>
        </w:rPr>
        <w:lastRenderedPageBreak/>
        <w:t xml:space="preserve">הריבית צפויה לעמוד על </w:t>
      </w:r>
      <w:r w:rsidR="00350FB8" w:rsidRPr="00323289">
        <w:rPr>
          <w:rFonts w:asciiTheme="majorHAnsi" w:hAnsiTheme="majorHAnsi" w:cstheme="majorHAnsi"/>
          <w:bCs/>
          <w:rtl/>
        </w:rPr>
        <w:t>3.75</w:t>
      </w:r>
      <w:r w:rsidRPr="00323289">
        <w:rPr>
          <w:rFonts w:asciiTheme="majorHAnsi" w:hAnsiTheme="majorHAnsi" w:cstheme="majorHAnsi"/>
          <w:bCs/>
          <w:rtl/>
        </w:rPr>
        <w:t>%</w:t>
      </w:r>
      <w:r w:rsidR="006269B4" w:rsidRPr="00323289">
        <w:rPr>
          <w:rFonts w:asciiTheme="majorHAnsi" w:hAnsiTheme="majorHAnsi" w:cstheme="majorHAnsi"/>
          <w:bCs/>
          <w:rtl/>
        </w:rPr>
        <w:t xml:space="preserve"> </w:t>
      </w:r>
      <w:r w:rsidRPr="00323289">
        <w:rPr>
          <w:rFonts w:asciiTheme="majorHAnsi" w:hAnsiTheme="majorHAnsi" w:cstheme="majorHAnsi"/>
          <w:bCs/>
          <w:rtl/>
        </w:rPr>
        <w:t xml:space="preserve">ברבעון </w:t>
      </w:r>
      <w:r w:rsidR="006269B4" w:rsidRPr="00323289">
        <w:rPr>
          <w:rFonts w:asciiTheme="majorHAnsi" w:hAnsiTheme="majorHAnsi" w:cstheme="majorHAnsi"/>
          <w:bCs/>
          <w:rtl/>
        </w:rPr>
        <w:t>הראשון</w:t>
      </w:r>
      <w:r w:rsidRPr="00323289">
        <w:rPr>
          <w:rFonts w:asciiTheme="majorHAnsi" w:hAnsiTheme="majorHAnsi" w:cstheme="majorHAnsi"/>
          <w:bCs/>
          <w:rtl/>
        </w:rPr>
        <w:t xml:space="preserve"> של 202</w:t>
      </w:r>
      <w:r w:rsidR="006269B4" w:rsidRPr="00323289">
        <w:rPr>
          <w:rFonts w:asciiTheme="majorHAnsi" w:hAnsiTheme="majorHAnsi" w:cstheme="majorHAnsi"/>
          <w:bCs/>
          <w:rtl/>
        </w:rPr>
        <w:t>5</w:t>
      </w:r>
      <w:r w:rsidRPr="00323289">
        <w:rPr>
          <w:rFonts w:asciiTheme="majorHAnsi" w:hAnsiTheme="majorHAnsi" w:cstheme="majorHAnsi"/>
          <w:b/>
          <w:rtl/>
        </w:rPr>
        <w:t xml:space="preserve"> (לוח 2). </w:t>
      </w:r>
      <w:r w:rsidR="00E464E4" w:rsidRPr="00323289">
        <w:rPr>
          <w:rFonts w:asciiTheme="majorHAnsi" w:hAnsiTheme="majorHAnsi" w:cstheme="majorHAnsi"/>
          <w:b/>
          <w:rtl/>
        </w:rPr>
        <w:t xml:space="preserve">תוואי </w:t>
      </w:r>
      <w:r w:rsidRPr="00323289">
        <w:rPr>
          <w:rFonts w:asciiTheme="majorHAnsi" w:hAnsiTheme="majorHAnsi" w:cstheme="majorHAnsi"/>
          <w:b/>
          <w:rtl/>
        </w:rPr>
        <w:t xml:space="preserve">הריבית בתקופת התחזית </w:t>
      </w:r>
      <w:r w:rsidR="00E464E4" w:rsidRPr="00323289">
        <w:rPr>
          <w:rFonts w:asciiTheme="majorHAnsi" w:hAnsiTheme="majorHAnsi" w:cstheme="majorHAnsi"/>
          <w:b/>
          <w:rtl/>
        </w:rPr>
        <w:t>נועד ל</w:t>
      </w:r>
      <w:r w:rsidR="00C5592C" w:rsidRPr="00323289">
        <w:rPr>
          <w:rFonts w:asciiTheme="majorHAnsi" w:hAnsiTheme="majorHAnsi" w:cstheme="majorHAnsi"/>
          <w:b/>
          <w:rtl/>
        </w:rPr>
        <w:t>אפשר שמירה על יציבות מחירים תוך סיוע</w:t>
      </w:r>
      <w:r w:rsidR="00E464E4" w:rsidRPr="00323289">
        <w:rPr>
          <w:rFonts w:asciiTheme="majorHAnsi" w:hAnsiTheme="majorHAnsi" w:cstheme="majorHAnsi"/>
          <w:b/>
          <w:rtl/>
        </w:rPr>
        <w:t xml:space="preserve"> ב</w:t>
      </w:r>
      <w:r w:rsidRPr="00323289">
        <w:rPr>
          <w:rFonts w:asciiTheme="majorHAnsi" w:hAnsiTheme="majorHAnsi" w:cstheme="majorHAnsi"/>
          <w:b/>
          <w:rtl/>
        </w:rPr>
        <w:t xml:space="preserve">ייצוב השווקים הפיננסיים </w:t>
      </w:r>
      <w:r w:rsidR="00E464E4" w:rsidRPr="00323289">
        <w:rPr>
          <w:rFonts w:asciiTheme="majorHAnsi" w:hAnsiTheme="majorHAnsi" w:cstheme="majorHAnsi"/>
          <w:b/>
          <w:rtl/>
        </w:rPr>
        <w:t xml:space="preserve">ובתמיכה </w:t>
      </w:r>
      <w:r w:rsidRPr="00323289">
        <w:rPr>
          <w:rFonts w:asciiTheme="majorHAnsi" w:hAnsiTheme="majorHAnsi" w:cstheme="majorHAnsi"/>
          <w:b/>
          <w:rtl/>
        </w:rPr>
        <w:t>בביקושים המקומיים.</w:t>
      </w:r>
    </w:p>
    <w:p w14:paraId="7F17F7CA" w14:textId="5D7617F7" w:rsidR="003B2D4B" w:rsidRPr="00323289" w:rsidRDefault="003B2D4B" w:rsidP="0058279A">
      <w:pPr>
        <w:bidi w:val="0"/>
        <w:spacing w:before="0" w:after="160" w:line="259" w:lineRule="auto"/>
        <w:contextualSpacing w:val="0"/>
        <w:rPr>
          <w:rFonts w:asciiTheme="majorHAnsi" w:hAnsiTheme="majorHAnsi" w:cstheme="majorHAnsi"/>
          <w:b/>
          <w:rtl/>
        </w:rPr>
      </w:pPr>
    </w:p>
    <w:tbl>
      <w:tblPr>
        <w:tblStyle w:val="21"/>
        <w:tblpPr w:leftFromText="180" w:rightFromText="180" w:vertAnchor="text" w:horzAnchor="margin" w:tblpY="6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318"/>
        <w:gridCol w:w="2318"/>
        <w:gridCol w:w="2318"/>
      </w:tblGrid>
      <w:tr w:rsidR="006E15ED" w:rsidRPr="00323289" w14:paraId="3069D879" w14:textId="77777777" w:rsidTr="00716916">
        <w:trPr>
          <w:cantSplit/>
          <w:trHeight w:val="283"/>
          <w:tblHeader/>
        </w:trPr>
        <w:tc>
          <w:tcPr>
            <w:tcW w:w="8304" w:type="dxa"/>
            <w:gridSpan w:val="4"/>
            <w:shd w:val="clear" w:color="auto" w:fill="auto"/>
            <w:vAlign w:val="center"/>
          </w:tcPr>
          <w:p w14:paraId="52E7D334" w14:textId="685C3FB8" w:rsidR="006E15ED" w:rsidRPr="00323289" w:rsidRDefault="006E15ED" w:rsidP="00350FB8">
            <w:pPr>
              <w:keepNext/>
              <w:keepLines/>
              <w:spacing w:after="200"/>
              <w:ind w:left="113"/>
              <w:jc w:val="center"/>
              <w:rPr>
                <w:rFonts w:asciiTheme="majorHAnsi" w:eastAsia="Calibri" w:hAnsiTheme="majorHAnsi" w:cstheme="majorHAnsi"/>
                <w:b/>
                <w:bCs/>
                <w:color w:val="4F81BD"/>
                <w:rtl/>
              </w:rPr>
            </w:pPr>
            <w:r w:rsidRPr="00323289">
              <w:rPr>
                <w:rFonts w:asciiTheme="majorHAnsi" w:eastAsia="Calibri" w:hAnsiTheme="majorHAnsi" w:cstheme="majorHAnsi"/>
                <w:b/>
                <w:bCs/>
              </w:rPr>
              <w:br w:type="page"/>
            </w:r>
            <w:r w:rsidRPr="00323289">
              <w:rPr>
                <w:rFonts w:asciiTheme="majorHAnsi" w:eastAsia="Calibri" w:hAnsiTheme="majorHAnsi" w:cstheme="majorHAnsi"/>
                <w:b/>
                <w:bCs/>
                <w:color w:val="4F81BD"/>
                <w:rtl/>
              </w:rPr>
              <w:t xml:space="preserve">לוח </w:t>
            </w:r>
            <w:r w:rsidR="00350FB8" w:rsidRPr="00323289">
              <w:rPr>
                <w:rFonts w:asciiTheme="majorHAnsi" w:eastAsia="Calibri" w:hAnsiTheme="majorHAnsi" w:cstheme="majorHAnsi"/>
                <w:b/>
                <w:bCs/>
                <w:color w:val="4F81BD"/>
                <w:rtl/>
              </w:rPr>
              <w:t>2</w:t>
            </w:r>
          </w:p>
          <w:p w14:paraId="229E5D31" w14:textId="77777777" w:rsidR="006E15ED" w:rsidRPr="00323289" w:rsidRDefault="006E15ED" w:rsidP="00712048">
            <w:pPr>
              <w:keepNext/>
              <w:keepLines/>
              <w:spacing w:after="200"/>
              <w:ind w:left="113"/>
              <w:jc w:val="center"/>
              <w:rPr>
                <w:rFonts w:asciiTheme="majorHAnsi" w:eastAsia="Calibri" w:hAnsiTheme="majorHAnsi" w:cstheme="majorHAnsi"/>
                <w:color w:val="4F81BD"/>
                <w:rtl/>
              </w:rPr>
            </w:pPr>
            <w:r w:rsidRPr="00323289">
              <w:rPr>
                <w:rFonts w:asciiTheme="majorHAnsi" w:eastAsia="Calibri" w:hAnsiTheme="majorHAnsi" w:cstheme="majorHAnsi"/>
                <w:b/>
                <w:bCs/>
                <w:color w:val="4F81BD"/>
                <w:rtl/>
              </w:rPr>
              <w:t>התחזיות לגבי האינפלציה במהלך השנה הקרובה ולגבי הריבית בעוד שנה</w:t>
            </w:r>
            <w:r w:rsidRPr="00323289">
              <w:rPr>
                <w:rFonts w:asciiTheme="majorHAnsi" w:eastAsia="Calibri" w:hAnsiTheme="majorHAnsi" w:cstheme="majorHAnsi"/>
                <w:b/>
                <w:bCs/>
                <w:color w:val="4F81BD"/>
              </w:rPr>
              <w:t xml:space="preserve"> </w:t>
            </w:r>
            <w:r w:rsidRPr="00323289">
              <w:rPr>
                <w:rFonts w:asciiTheme="majorHAnsi" w:eastAsia="Calibri" w:hAnsiTheme="majorHAnsi" w:cstheme="majorHAnsi"/>
                <w:color w:val="4F81BD"/>
                <w:rtl/>
              </w:rPr>
              <w:t>(אחוזים)</w:t>
            </w:r>
          </w:p>
        </w:tc>
      </w:tr>
      <w:tr w:rsidR="006E15ED" w:rsidRPr="00323289" w14:paraId="2C125BB4" w14:textId="77777777" w:rsidTr="00716916">
        <w:trPr>
          <w:cantSplit/>
          <w:trHeight w:val="283"/>
          <w:tblHeader/>
        </w:trPr>
        <w:tc>
          <w:tcPr>
            <w:tcW w:w="0" w:type="auto"/>
            <w:tcBorders>
              <w:bottom w:val="single" w:sz="4" w:space="0" w:color="auto"/>
            </w:tcBorders>
            <w:shd w:val="clear" w:color="auto" w:fill="auto"/>
            <w:vAlign w:val="center"/>
          </w:tcPr>
          <w:p w14:paraId="67A27238" w14:textId="77777777" w:rsidR="006E15ED" w:rsidRPr="00323289" w:rsidRDefault="006E15ED" w:rsidP="00712048">
            <w:pPr>
              <w:keepNext/>
              <w:keepLines/>
              <w:spacing w:after="120"/>
              <w:ind w:left="113"/>
              <w:jc w:val="center"/>
              <w:rPr>
                <w:rFonts w:asciiTheme="majorHAnsi" w:eastAsia="Calibri" w:hAnsiTheme="majorHAnsi" w:cstheme="majorHAnsi"/>
                <w:highlight w:val="yellow"/>
                <w:rtl/>
              </w:rPr>
            </w:pPr>
          </w:p>
        </w:tc>
        <w:tc>
          <w:tcPr>
            <w:tcW w:w="2316" w:type="dxa"/>
            <w:tcBorders>
              <w:bottom w:val="single" w:sz="4" w:space="0" w:color="auto"/>
            </w:tcBorders>
            <w:shd w:val="clear" w:color="auto" w:fill="auto"/>
            <w:vAlign w:val="center"/>
          </w:tcPr>
          <w:p w14:paraId="5E04CD7F" w14:textId="77777777" w:rsidR="006E15ED" w:rsidRPr="00323289" w:rsidRDefault="006E15ED" w:rsidP="00712048">
            <w:pPr>
              <w:keepNext/>
              <w:keepLines/>
              <w:spacing w:after="120"/>
              <w:ind w:left="113"/>
              <w:jc w:val="center"/>
              <w:rPr>
                <w:rFonts w:asciiTheme="majorHAnsi" w:eastAsia="Calibri" w:hAnsiTheme="majorHAnsi" w:cstheme="majorHAnsi"/>
                <w:rtl/>
              </w:rPr>
            </w:pPr>
            <w:r w:rsidRPr="00323289">
              <w:rPr>
                <w:rFonts w:asciiTheme="majorHAnsi" w:eastAsia="Calibri" w:hAnsiTheme="majorHAnsi" w:cstheme="majorHAnsi"/>
                <w:rtl/>
              </w:rPr>
              <w:t>חטיבת המחקר של בנק ישראל</w:t>
            </w:r>
          </w:p>
        </w:tc>
        <w:tc>
          <w:tcPr>
            <w:tcW w:w="2316" w:type="dxa"/>
            <w:tcBorders>
              <w:bottom w:val="single" w:sz="4" w:space="0" w:color="auto"/>
            </w:tcBorders>
            <w:shd w:val="clear" w:color="auto" w:fill="auto"/>
            <w:vAlign w:val="center"/>
          </w:tcPr>
          <w:p w14:paraId="794C6457" w14:textId="77777777" w:rsidR="006E15ED" w:rsidRPr="00323289" w:rsidRDefault="006E15ED" w:rsidP="00712048">
            <w:pPr>
              <w:keepNext/>
              <w:keepLines/>
              <w:spacing w:after="120"/>
              <w:ind w:left="113"/>
              <w:jc w:val="center"/>
              <w:rPr>
                <w:rFonts w:asciiTheme="majorHAnsi" w:eastAsia="Calibri" w:hAnsiTheme="majorHAnsi" w:cstheme="majorHAnsi"/>
                <w:rtl/>
              </w:rPr>
            </w:pPr>
            <w:r w:rsidRPr="00323289">
              <w:rPr>
                <w:rFonts w:asciiTheme="majorHAnsi" w:eastAsia="Calibri" w:hAnsiTheme="majorHAnsi" w:cstheme="majorHAnsi"/>
                <w:rtl/>
              </w:rPr>
              <w:t>שוק ההון</w:t>
            </w:r>
            <w:r w:rsidRPr="00323289">
              <w:rPr>
                <w:rFonts w:asciiTheme="majorHAnsi" w:eastAsia="Calibri" w:hAnsiTheme="majorHAnsi" w:cstheme="majorHAnsi"/>
                <w:vertAlign w:val="superscript"/>
                <w:rtl/>
              </w:rPr>
              <w:t>1</w:t>
            </w:r>
          </w:p>
        </w:tc>
        <w:tc>
          <w:tcPr>
            <w:tcW w:w="2316" w:type="dxa"/>
            <w:tcBorders>
              <w:bottom w:val="single" w:sz="4" w:space="0" w:color="auto"/>
            </w:tcBorders>
            <w:shd w:val="clear" w:color="auto" w:fill="auto"/>
            <w:vAlign w:val="center"/>
          </w:tcPr>
          <w:p w14:paraId="02B24A55" w14:textId="77777777" w:rsidR="006E15ED" w:rsidRPr="00323289" w:rsidRDefault="006E15ED" w:rsidP="00712048">
            <w:pPr>
              <w:keepNext/>
              <w:keepLines/>
              <w:spacing w:after="120"/>
              <w:ind w:left="113"/>
              <w:jc w:val="center"/>
              <w:rPr>
                <w:rFonts w:asciiTheme="majorHAnsi" w:eastAsia="Calibri" w:hAnsiTheme="majorHAnsi" w:cstheme="majorHAnsi"/>
                <w:vertAlign w:val="superscript"/>
                <w:rtl/>
              </w:rPr>
            </w:pPr>
            <w:r w:rsidRPr="00323289">
              <w:rPr>
                <w:rFonts w:asciiTheme="majorHAnsi" w:eastAsia="Calibri" w:hAnsiTheme="majorHAnsi" w:cstheme="majorHAnsi"/>
                <w:rtl/>
              </w:rPr>
              <w:t>החזאים הפרטיים</w:t>
            </w:r>
            <w:r w:rsidRPr="00323289">
              <w:rPr>
                <w:rFonts w:asciiTheme="majorHAnsi" w:eastAsia="Calibri" w:hAnsiTheme="majorHAnsi" w:cstheme="majorHAnsi"/>
                <w:vertAlign w:val="superscript"/>
                <w:rtl/>
              </w:rPr>
              <w:t>2</w:t>
            </w:r>
          </w:p>
          <w:p w14:paraId="0CDA4193" w14:textId="77777777" w:rsidR="006E15ED" w:rsidRPr="00323289" w:rsidRDefault="006E15ED" w:rsidP="00712048">
            <w:pPr>
              <w:keepNext/>
              <w:keepLines/>
              <w:spacing w:after="120"/>
              <w:ind w:left="113"/>
              <w:jc w:val="center"/>
              <w:rPr>
                <w:rFonts w:asciiTheme="majorHAnsi" w:eastAsia="Calibri" w:hAnsiTheme="majorHAnsi" w:cstheme="majorHAnsi"/>
                <w:rtl/>
              </w:rPr>
            </w:pPr>
            <w:r w:rsidRPr="00323289">
              <w:rPr>
                <w:rFonts w:asciiTheme="majorHAnsi" w:eastAsia="Calibri" w:hAnsiTheme="majorHAnsi" w:cstheme="majorHAnsi"/>
                <w:rtl/>
              </w:rPr>
              <w:t>(טווח התחזיות)</w:t>
            </w:r>
            <w:r w:rsidRPr="00323289">
              <w:rPr>
                <w:rFonts w:asciiTheme="majorHAnsi" w:eastAsia="Calibri" w:hAnsiTheme="majorHAnsi" w:cstheme="majorHAnsi"/>
                <w:vertAlign w:val="superscript"/>
                <w:rtl/>
              </w:rPr>
              <w:t xml:space="preserve"> </w:t>
            </w:r>
          </w:p>
        </w:tc>
      </w:tr>
      <w:tr w:rsidR="006E15ED" w:rsidRPr="00323289" w14:paraId="168260FA" w14:textId="77777777" w:rsidTr="00716916">
        <w:trPr>
          <w:cantSplit/>
          <w:trHeight w:val="283"/>
        </w:trPr>
        <w:tc>
          <w:tcPr>
            <w:tcW w:w="0" w:type="auto"/>
            <w:tcBorders>
              <w:top w:val="single" w:sz="4" w:space="0" w:color="auto"/>
              <w:bottom w:val="single" w:sz="4" w:space="0" w:color="auto"/>
            </w:tcBorders>
            <w:shd w:val="clear" w:color="auto" w:fill="auto"/>
            <w:vAlign w:val="center"/>
          </w:tcPr>
          <w:p w14:paraId="5754D4CF" w14:textId="77777777" w:rsidR="006E15ED" w:rsidRPr="00323289" w:rsidRDefault="006E15ED" w:rsidP="00712048">
            <w:pPr>
              <w:keepNext/>
              <w:keepLines/>
              <w:spacing w:after="120"/>
              <w:ind w:left="113"/>
              <w:jc w:val="both"/>
              <w:rPr>
                <w:rFonts w:asciiTheme="majorHAnsi" w:eastAsia="Calibri" w:hAnsiTheme="majorHAnsi" w:cstheme="majorHAnsi"/>
                <w:rtl/>
              </w:rPr>
            </w:pPr>
            <w:r w:rsidRPr="00323289">
              <w:rPr>
                <w:rFonts w:asciiTheme="majorHAnsi" w:eastAsia="Calibri" w:hAnsiTheme="majorHAnsi" w:cstheme="majorHAnsi"/>
                <w:rtl/>
              </w:rPr>
              <w:t>האינפלציה</w:t>
            </w:r>
            <w:r w:rsidRPr="00323289">
              <w:rPr>
                <w:rFonts w:asciiTheme="majorHAnsi" w:eastAsia="Calibri" w:hAnsiTheme="majorHAnsi" w:cstheme="majorHAnsi"/>
                <w:vertAlign w:val="superscript"/>
                <w:rtl/>
              </w:rPr>
              <w:t>3</w:t>
            </w:r>
            <w:r w:rsidRPr="00323289">
              <w:rPr>
                <w:rFonts w:asciiTheme="majorHAnsi" w:eastAsia="Calibri" w:hAnsiTheme="majorHAnsi" w:cstheme="majorHAnsi"/>
                <w:rtl/>
              </w:rPr>
              <w:t xml:space="preserve"> </w:t>
            </w:r>
          </w:p>
        </w:tc>
        <w:tc>
          <w:tcPr>
            <w:tcW w:w="2316" w:type="dxa"/>
            <w:tcBorders>
              <w:top w:val="single" w:sz="4" w:space="0" w:color="auto"/>
              <w:bottom w:val="single" w:sz="4" w:space="0" w:color="auto"/>
            </w:tcBorders>
            <w:shd w:val="clear" w:color="auto" w:fill="auto"/>
            <w:vAlign w:val="center"/>
          </w:tcPr>
          <w:p w14:paraId="6C74DE47" w14:textId="34DE0EC3" w:rsidR="006E15ED" w:rsidRPr="00323289" w:rsidRDefault="006E15ED" w:rsidP="006E15ED">
            <w:pPr>
              <w:keepNext/>
              <w:keepLines/>
              <w:spacing w:after="120"/>
              <w:ind w:left="113"/>
              <w:jc w:val="center"/>
              <w:rPr>
                <w:rFonts w:asciiTheme="majorHAnsi" w:eastAsia="Calibri" w:hAnsiTheme="majorHAnsi" w:cstheme="majorHAnsi"/>
                <w:rtl/>
              </w:rPr>
            </w:pPr>
            <w:r w:rsidRPr="00323289">
              <w:rPr>
                <w:rFonts w:asciiTheme="majorHAnsi" w:eastAsia="Calibri" w:hAnsiTheme="majorHAnsi" w:cstheme="majorHAnsi"/>
                <w:rtl/>
              </w:rPr>
              <w:t>2.</w:t>
            </w:r>
            <w:r w:rsidR="001F10AD" w:rsidRPr="00323289">
              <w:rPr>
                <w:rFonts w:asciiTheme="majorHAnsi" w:eastAsia="Calibri" w:hAnsiTheme="majorHAnsi" w:cstheme="majorHAnsi"/>
                <w:rtl/>
              </w:rPr>
              <w:t>8</w:t>
            </w:r>
          </w:p>
        </w:tc>
        <w:tc>
          <w:tcPr>
            <w:tcW w:w="2316" w:type="dxa"/>
            <w:tcBorders>
              <w:top w:val="single" w:sz="4" w:space="0" w:color="auto"/>
              <w:bottom w:val="single" w:sz="4" w:space="0" w:color="auto"/>
            </w:tcBorders>
            <w:shd w:val="clear" w:color="auto" w:fill="auto"/>
            <w:vAlign w:val="center"/>
          </w:tcPr>
          <w:p w14:paraId="5A80407A" w14:textId="47D4CA89" w:rsidR="006E15ED" w:rsidRPr="00323289" w:rsidRDefault="002631D1" w:rsidP="00FD51E1">
            <w:pPr>
              <w:keepNext/>
              <w:keepLines/>
              <w:spacing w:after="120"/>
              <w:ind w:left="113"/>
              <w:jc w:val="center"/>
              <w:rPr>
                <w:rFonts w:asciiTheme="majorHAnsi" w:eastAsia="Calibri" w:hAnsiTheme="majorHAnsi" w:cstheme="majorHAnsi"/>
              </w:rPr>
            </w:pPr>
            <w:r w:rsidRPr="00323289">
              <w:rPr>
                <w:rFonts w:asciiTheme="majorHAnsi" w:eastAsia="Calibri" w:hAnsiTheme="majorHAnsi" w:cstheme="majorHAnsi"/>
              </w:rPr>
              <w:t>3.0</w:t>
            </w:r>
          </w:p>
        </w:tc>
        <w:tc>
          <w:tcPr>
            <w:tcW w:w="2316" w:type="dxa"/>
            <w:tcBorders>
              <w:top w:val="single" w:sz="4" w:space="0" w:color="auto"/>
              <w:bottom w:val="single" w:sz="4" w:space="0" w:color="auto"/>
            </w:tcBorders>
            <w:shd w:val="clear" w:color="auto" w:fill="auto"/>
            <w:vAlign w:val="center"/>
          </w:tcPr>
          <w:p w14:paraId="05367DBD" w14:textId="09FE6D67" w:rsidR="006E15ED" w:rsidRPr="00323289" w:rsidRDefault="006E15ED" w:rsidP="00FD51E1">
            <w:pPr>
              <w:keepNext/>
              <w:keepLines/>
              <w:spacing w:after="120"/>
              <w:ind w:left="113"/>
              <w:jc w:val="center"/>
              <w:rPr>
                <w:rFonts w:asciiTheme="majorHAnsi" w:eastAsia="Calibri" w:hAnsiTheme="majorHAnsi" w:cstheme="majorHAnsi"/>
                <w:rtl/>
              </w:rPr>
            </w:pPr>
            <w:r w:rsidRPr="00323289">
              <w:rPr>
                <w:rFonts w:asciiTheme="majorHAnsi" w:eastAsia="Calibri" w:hAnsiTheme="majorHAnsi" w:cstheme="majorHAnsi"/>
                <w:rtl/>
              </w:rPr>
              <w:t>2.</w:t>
            </w:r>
            <w:r w:rsidR="00152F61" w:rsidRPr="00323289">
              <w:rPr>
                <w:rFonts w:asciiTheme="majorHAnsi" w:eastAsia="Calibri" w:hAnsiTheme="majorHAnsi" w:cstheme="majorHAnsi"/>
                <w:rtl/>
              </w:rPr>
              <w:t>8</w:t>
            </w:r>
            <w:r w:rsidRPr="00323289">
              <w:rPr>
                <w:rFonts w:asciiTheme="majorHAnsi" w:eastAsia="Calibri" w:hAnsiTheme="majorHAnsi" w:cstheme="majorHAnsi"/>
                <w:rtl/>
              </w:rPr>
              <w:t xml:space="preserve"> (</w:t>
            </w:r>
            <w:r w:rsidR="00152F61" w:rsidRPr="00323289">
              <w:rPr>
                <w:rFonts w:asciiTheme="majorHAnsi" w:eastAsia="Calibri" w:hAnsiTheme="majorHAnsi" w:cstheme="majorHAnsi"/>
                <w:rtl/>
              </w:rPr>
              <w:t>2.3</w:t>
            </w:r>
            <w:r w:rsidRPr="00323289">
              <w:rPr>
                <w:rFonts w:asciiTheme="majorHAnsi" w:eastAsia="Calibri" w:hAnsiTheme="majorHAnsi" w:cstheme="majorHAnsi"/>
                <w:rtl/>
              </w:rPr>
              <w:t>—</w:t>
            </w:r>
            <w:r w:rsidR="00152F61" w:rsidRPr="00323289">
              <w:rPr>
                <w:rFonts w:asciiTheme="majorHAnsi" w:eastAsia="Calibri" w:hAnsiTheme="majorHAnsi" w:cstheme="majorHAnsi"/>
                <w:rtl/>
              </w:rPr>
              <w:t>3.2</w:t>
            </w:r>
            <w:r w:rsidRPr="00323289">
              <w:rPr>
                <w:rFonts w:asciiTheme="majorHAnsi" w:eastAsia="Calibri" w:hAnsiTheme="majorHAnsi" w:cstheme="majorHAnsi"/>
                <w:rtl/>
              </w:rPr>
              <w:t>)</w:t>
            </w:r>
          </w:p>
        </w:tc>
      </w:tr>
      <w:tr w:rsidR="006E15ED" w:rsidRPr="00323289" w14:paraId="77080708" w14:textId="77777777" w:rsidTr="00716916">
        <w:trPr>
          <w:cantSplit/>
          <w:trHeight w:val="283"/>
        </w:trPr>
        <w:tc>
          <w:tcPr>
            <w:tcW w:w="0" w:type="auto"/>
            <w:tcBorders>
              <w:top w:val="single" w:sz="4" w:space="0" w:color="auto"/>
              <w:bottom w:val="single" w:sz="4" w:space="0" w:color="auto"/>
            </w:tcBorders>
            <w:shd w:val="clear" w:color="auto" w:fill="auto"/>
            <w:vAlign w:val="center"/>
          </w:tcPr>
          <w:p w14:paraId="22CF1BD5" w14:textId="77777777" w:rsidR="006E15ED" w:rsidRPr="00323289" w:rsidRDefault="006E15ED" w:rsidP="00712048">
            <w:pPr>
              <w:keepNext/>
              <w:keepLines/>
              <w:spacing w:after="120"/>
              <w:ind w:left="113"/>
              <w:jc w:val="both"/>
              <w:rPr>
                <w:rFonts w:asciiTheme="majorHAnsi" w:eastAsia="Calibri" w:hAnsiTheme="majorHAnsi" w:cstheme="majorHAnsi"/>
                <w:vertAlign w:val="superscript"/>
                <w:rtl/>
              </w:rPr>
            </w:pPr>
            <w:r w:rsidRPr="00323289">
              <w:rPr>
                <w:rFonts w:asciiTheme="majorHAnsi" w:eastAsia="Calibri" w:hAnsiTheme="majorHAnsi" w:cstheme="majorHAnsi"/>
                <w:rtl/>
              </w:rPr>
              <w:t>הריבית</w:t>
            </w:r>
            <w:r w:rsidRPr="00323289">
              <w:rPr>
                <w:rFonts w:asciiTheme="majorHAnsi" w:eastAsia="Calibri" w:hAnsiTheme="majorHAnsi" w:cstheme="majorHAnsi"/>
                <w:vertAlign w:val="superscript"/>
                <w:rtl/>
              </w:rPr>
              <w:t>4</w:t>
            </w:r>
          </w:p>
        </w:tc>
        <w:tc>
          <w:tcPr>
            <w:tcW w:w="2316" w:type="dxa"/>
            <w:tcBorders>
              <w:top w:val="single" w:sz="4" w:space="0" w:color="auto"/>
              <w:bottom w:val="single" w:sz="4" w:space="0" w:color="auto"/>
            </w:tcBorders>
            <w:shd w:val="clear" w:color="auto" w:fill="auto"/>
            <w:vAlign w:val="center"/>
          </w:tcPr>
          <w:p w14:paraId="7E6B7904" w14:textId="2624F453" w:rsidR="006E15ED" w:rsidRPr="00323289" w:rsidRDefault="00152F61" w:rsidP="00FD51E1">
            <w:pPr>
              <w:keepNext/>
              <w:keepLines/>
              <w:spacing w:after="120"/>
              <w:ind w:left="113"/>
              <w:jc w:val="center"/>
              <w:rPr>
                <w:rFonts w:asciiTheme="majorHAnsi" w:eastAsia="Calibri" w:hAnsiTheme="majorHAnsi" w:cstheme="majorHAnsi"/>
                <w:rtl/>
              </w:rPr>
            </w:pPr>
            <w:r w:rsidRPr="00323289">
              <w:rPr>
                <w:rFonts w:asciiTheme="majorHAnsi" w:eastAsia="Calibri" w:hAnsiTheme="majorHAnsi" w:cstheme="majorHAnsi"/>
                <w:rtl/>
              </w:rPr>
              <w:t>3.75</w:t>
            </w:r>
          </w:p>
        </w:tc>
        <w:tc>
          <w:tcPr>
            <w:tcW w:w="2316" w:type="dxa"/>
            <w:tcBorders>
              <w:top w:val="single" w:sz="4" w:space="0" w:color="auto"/>
              <w:bottom w:val="single" w:sz="4" w:space="0" w:color="auto"/>
            </w:tcBorders>
            <w:shd w:val="clear" w:color="auto" w:fill="auto"/>
            <w:vAlign w:val="center"/>
          </w:tcPr>
          <w:p w14:paraId="7C0E88F5" w14:textId="4B04B69A" w:rsidR="006E15ED" w:rsidRPr="00323289" w:rsidRDefault="002631D1" w:rsidP="00FD51E1">
            <w:pPr>
              <w:keepNext/>
              <w:keepLines/>
              <w:spacing w:after="120"/>
              <w:ind w:left="113"/>
              <w:jc w:val="center"/>
              <w:rPr>
                <w:rFonts w:asciiTheme="majorHAnsi" w:eastAsia="Calibri" w:hAnsiTheme="majorHAnsi" w:cstheme="majorHAnsi"/>
              </w:rPr>
            </w:pPr>
            <w:r w:rsidRPr="00323289">
              <w:rPr>
                <w:rFonts w:asciiTheme="majorHAnsi" w:eastAsia="Calibri" w:hAnsiTheme="majorHAnsi" w:cstheme="majorHAnsi"/>
              </w:rPr>
              <w:t>3.8</w:t>
            </w:r>
          </w:p>
        </w:tc>
        <w:tc>
          <w:tcPr>
            <w:tcW w:w="2316" w:type="dxa"/>
            <w:tcBorders>
              <w:top w:val="single" w:sz="4" w:space="0" w:color="auto"/>
              <w:bottom w:val="single" w:sz="4" w:space="0" w:color="auto"/>
            </w:tcBorders>
            <w:shd w:val="clear" w:color="auto" w:fill="auto"/>
            <w:vAlign w:val="center"/>
          </w:tcPr>
          <w:p w14:paraId="54A91E9B" w14:textId="6FC821A8" w:rsidR="006E15ED" w:rsidRPr="00323289" w:rsidRDefault="006E15ED" w:rsidP="00FD51E1">
            <w:pPr>
              <w:keepNext/>
              <w:keepLines/>
              <w:spacing w:after="120"/>
              <w:ind w:left="113"/>
              <w:jc w:val="center"/>
              <w:rPr>
                <w:rFonts w:asciiTheme="majorHAnsi" w:eastAsia="Calibri" w:hAnsiTheme="majorHAnsi" w:cstheme="majorHAnsi"/>
                <w:rtl/>
              </w:rPr>
            </w:pPr>
            <w:r w:rsidRPr="00323289">
              <w:rPr>
                <w:rFonts w:asciiTheme="majorHAnsi" w:eastAsia="Calibri" w:hAnsiTheme="majorHAnsi" w:cstheme="majorHAnsi"/>
                <w:rtl/>
              </w:rPr>
              <w:t>3.6 (3.</w:t>
            </w:r>
            <w:r w:rsidR="00BF550F" w:rsidRPr="00323289">
              <w:rPr>
                <w:rFonts w:asciiTheme="majorHAnsi" w:eastAsia="Calibri" w:hAnsiTheme="majorHAnsi" w:cstheme="majorHAnsi"/>
                <w:rtl/>
              </w:rPr>
              <w:t>3</w:t>
            </w:r>
            <w:r w:rsidRPr="00323289">
              <w:rPr>
                <w:rFonts w:asciiTheme="majorHAnsi" w:eastAsia="Calibri" w:hAnsiTheme="majorHAnsi" w:cstheme="majorHAnsi"/>
                <w:rtl/>
              </w:rPr>
              <w:t>—</w:t>
            </w:r>
            <w:r w:rsidR="00BF550F" w:rsidRPr="00323289">
              <w:rPr>
                <w:rFonts w:asciiTheme="majorHAnsi" w:eastAsia="Calibri" w:hAnsiTheme="majorHAnsi" w:cstheme="majorHAnsi"/>
                <w:rtl/>
              </w:rPr>
              <w:t>4</w:t>
            </w:r>
            <w:r w:rsidRPr="00323289">
              <w:rPr>
                <w:rFonts w:asciiTheme="majorHAnsi" w:eastAsia="Calibri" w:hAnsiTheme="majorHAnsi" w:cstheme="majorHAnsi"/>
                <w:rtl/>
              </w:rPr>
              <w:t>.</w:t>
            </w:r>
            <w:r w:rsidR="00BF550F" w:rsidRPr="00323289">
              <w:rPr>
                <w:rFonts w:asciiTheme="majorHAnsi" w:eastAsia="Calibri" w:hAnsiTheme="majorHAnsi" w:cstheme="majorHAnsi"/>
                <w:rtl/>
              </w:rPr>
              <w:t>0</w:t>
            </w:r>
            <w:r w:rsidRPr="00323289">
              <w:rPr>
                <w:rFonts w:asciiTheme="majorHAnsi" w:eastAsia="Calibri" w:hAnsiTheme="majorHAnsi" w:cstheme="majorHAnsi"/>
                <w:rtl/>
              </w:rPr>
              <w:t>)</w:t>
            </w:r>
          </w:p>
        </w:tc>
      </w:tr>
      <w:tr w:rsidR="006E15ED" w:rsidRPr="00323289" w14:paraId="43CA1F43" w14:textId="77777777" w:rsidTr="00716916">
        <w:trPr>
          <w:cantSplit/>
          <w:trHeight w:val="283"/>
        </w:trPr>
        <w:tc>
          <w:tcPr>
            <w:tcW w:w="8304" w:type="dxa"/>
            <w:gridSpan w:val="4"/>
            <w:tcBorders>
              <w:top w:val="single" w:sz="4" w:space="0" w:color="auto"/>
            </w:tcBorders>
            <w:shd w:val="clear" w:color="auto" w:fill="auto"/>
            <w:vAlign w:val="center"/>
          </w:tcPr>
          <w:p w14:paraId="0A02BF3C" w14:textId="4CADE89B" w:rsidR="006E15ED" w:rsidRPr="00323289" w:rsidRDefault="006E15ED" w:rsidP="00A865DF">
            <w:pPr>
              <w:keepNext/>
              <w:keepLines/>
              <w:numPr>
                <w:ilvl w:val="0"/>
                <w:numId w:val="12"/>
              </w:numPr>
              <w:spacing w:line="240" w:lineRule="auto"/>
              <w:ind w:left="426" w:hanging="284"/>
              <w:jc w:val="both"/>
              <w:rPr>
                <w:rFonts w:asciiTheme="majorHAnsi" w:eastAsia="Calibri" w:hAnsiTheme="majorHAnsi" w:cstheme="majorHAnsi"/>
                <w:sz w:val="18"/>
                <w:szCs w:val="18"/>
              </w:rPr>
            </w:pPr>
            <w:r w:rsidRPr="00323289">
              <w:rPr>
                <w:rFonts w:asciiTheme="majorHAnsi" w:eastAsia="Calibri" w:hAnsiTheme="majorHAnsi" w:cstheme="majorHAnsi"/>
                <w:sz w:val="18"/>
                <w:szCs w:val="18"/>
                <w:rtl/>
              </w:rPr>
              <w:t>ציפיות האינפלציה מנוכות עונתיות (נכון לנתוני ה-</w:t>
            </w:r>
            <w:r w:rsidR="005913BA" w:rsidRPr="00323289">
              <w:rPr>
                <w:rFonts w:asciiTheme="majorHAnsi" w:eastAsia="Calibri" w:hAnsiTheme="majorHAnsi" w:cstheme="majorHAnsi"/>
                <w:sz w:val="18"/>
                <w:szCs w:val="18"/>
                <w:rtl/>
              </w:rPr>
              <w:t>07</w:t>
            </w:r>
            <w:r w:rsidR="00FD51E1" w:rsidRPr="00323289">
              <w:rPr>
                <w:rFonts w:asciiTheme="majorHAnsi" w:eastAsia="Calibri" w:hAnsiTheme="majorHAnsi" w:cstheme="majorHAnsi"/>
                <w:sz w:val="18"/>
                <w:szCs w:val="18"/>
                <w:rtl/>
              </w:rPr>
              <w:t>/</w:t>
            </w:r>
            <w:r w:rsidR="00152F61" w:rsidRPr="00323289">
              <w:rPr>
                <w:rFonts w:asciiTheme="majorHAnsi" w:eastAsia="Calibri" w:hAnsiTheme="majorHAnsi" w:cstheme="majorHAnsi"/>
                <w:sz w:val="18"/>
                <w:szCs w:val="18"/>
                <w:rtl/>
              </w:rPr>
              <w:t>0</w:t>
            </w:r>
            <w:r w:rsidR="00BF550F" w:rsidRPr="00323289">
              <w:rPr>
                <w:rFonts w:asciiTheme="majorHAnsi" w:eastAsia="Calibri" w:hAnsiTheme="majorHAnsi" w:cstheme="majorHAnsi"/>
                <w:sz w:val="18"/>
                <w:szCs w:val="18"/>
                <w:rtl/>
              </w:rPr>
              <w:t>4</w:t>
            </w:r>
            <w:r w:rsidRPr="00323289">
              <w:rPr>
                <w:rFonts w:asciiTheme="majorHAnsi" w:eastAsia="Calibri" w:hAnsiTheme="majorHAnsi" w:cstheme="majorHAnsi"/>
                <w:sz w:val="18"/>
                <w:szCs w:val="18"/>
                <w:rtl/>
              </w:rPr>
              <w:t>/202</w:t>
            </w:r>
            <w:r w:rsidR="009E1F0A" w:rsidRPr="00323289">
              <w:rPr>
                <w:rFonts w:asciiTheme="majorHAnsi" w:eastAsia="Calibri" w:hAnsiTheme="majorHAnsi" w:cstheme="majorHAnsi"/>
                <w:sz w:val="18"/>
                <w:szCs w:val="18"/>
                <w:rtl/>
              </w:rPr>
              <w:t>4</w:t>
            </w:r>
            <w:r w:rsidRPr="00323289">
              <w:rPr>
                <w:rFonts w:asciiTheme="majorHAnsi" w:eastAsia="Calibri" w:hAnsiTheme="majorHAnsi" w:cstheme="majorHAnsi"/>
                <w:sz w:val="18"/>
                <w:szCs w:val="18"/>
                <w:rtl/>
              </w:rPr>
              <w:t>).</w:t>
            </w:r>
          </w:p>
          <w:p w14:paraId="266F280E" w14:textId="70247FFE" w:rsidR="006E15ED" w:rsidRPr="00323289" w:rsidRDefault="006E15ED" w:rsidP="00FD51E1">
            <w:pPr>
              <w:keepNext/>
              <w:keepLines/>
              <w:numPr>
                <w:ilvl w:val="0"/>
                <w:numId w:val="12"/>
              </w:numPr>
              <w:spacing w:line="240" w:lineRule="auto"/>
              <w:ind w:left="426" w:hanging="284"/>
              <w:jc w:val="both"/>
              <w:rPr>
                <w:rFonts w:asciiTheme="majorHAnsi" w:eastAsia="Calibri" w:hAnsiTheme="majorHAnsi" w:cstheme="majorHAnsi"/>
                <w:sz w:val="18"/>
                <w:szCs w:val="18"/>
              </w:rPr>
            </w:pPr>
            <w:r w:rsidRPr="00323289">
              <w:rPr>
                <w:rFonts w:asciiTheme="majorHAnsi" w:eastAsia="Calibri" w:hAnsiTheme="majorHAnsi" w:cstheme="majorHAnsi"/>
                <w:sz w:val="18"/>
                <w:szCs w:val="18"/>
                <w:rtl/>
              </w:rPr>
              <w:t xml:space="preserve">התחזיות שפורסמו לאחר פרסום מדד המחירים לצרכן לחודש </w:t>
            </w:r>
            <w:r w:rsidR="00152F61" w:rsidRPr="00323289">
              <w:rPr>
                <w:rFonts w:asciiTheme="majorHAnsi" w:eastAsia="Calibri" w:hAnsiTheme="majorHAnsi" w:cstheme="majorHAnsi"/>
                <w:sz w:val="18"/>
                <w:szCs w:val="18"/>
                <w:rtl/>
              </w:rPr>
              <w:t>פברואר</w:t>
            </w:r>
            <w:r w:rsidRPr="00323289">
              <w:rPr>
                <w:rFonts w:asciiTheme="majorHAnsi" w:eastAsia="Calibri" w:hAnsiTheme="majorHAnsi" w:cstheme="majorHAnsi"/>
                <w:sz w:val="18"/>
                <w:szCs w:val="18"/>
                <w:rtl/>
              </w:rPr>
              <w:t xml:space="preserve"> 202</w:t>
            </w:r>
            <w:r w:rsidR="00152F61" w:rsidRPr="00323289">
              <w:rPr>
                <w:rFonts w:asciiTheme="majorHAnsi" w:eastAsia="Calibri" w:hAnsiTheme="majorHAnsi" w:cstheme="majorHAnsi"/>
                <w:sz w:val="18"/>
                <w:szCs w:val="18"/>
                <w:rtl/>
              </w:rPr>
              <w:t>4</w:t>
            </w:r>
            <w:r w:rsidRPr="00323289">
              <w:rPr>
                <w:rFonts w:asciiTheme="majorHAnsi" w:eastAsia="Calibri" w:hAnsiTheme="majorHAnsi" w:cstheme="majorHAnsi"/>
                <w:sz w:val="18"/>
                <w:szCs w:val="18"/>
                <w:rtl/>
              </w:rPr>
              <w:t>.</w:t>
            </w:r>
          </w:p>
          <w:p w14:paraId="116070F6" w14:textId="46BE054C" w:rsidR="006E15ED" w:rsidRPr="00323289" w:rsidRDefault="006E15ED" w:rsidP="006E15ED">
            <w:pPr>
              <w:keepNext/>
              <w:keepLines/>
              <w:numPr>
                <w:ilvl w:val="0"/>
                <w:numId w:val="12"/>
              </w:numPr>
              <w:spacing w:line="240" w:lineRule="auto"/>
              <w:ind w:left="426" w:hanging="284"/>
              <w:jc w:val="both"/>
              <w:rPr>
                <w:rFonts w:asciiTheme="majorHAnsi" w:eastAsia="Calibri" w:hAnsiTheme="majorHAnsi" w:cstheme="majorHAnsi"/>
                <w:sz w:val="18"/>
                <w:szCs w:val="18"/>
              </w:rPr>
            </w:pPr>
            <w:r w:rsidRPr="00323289">
              <w:rPr>
                <w:rFonts w:asciiTheme="majorHAnsi" w:eastAsia="Calibri" w:hAnsiTheme="majorHAnsi" w:cstheme="majorHAnsi"/>
                <w:sz w:val="18"/>
                <w:szCs w:val="18"/>
                <w:rtl/>
              </w:rPr>
              <w:t xml:space="preserve">חטיבת המחקר – בארבעת הרבעונים המסתיימים ברבעון </w:t>
            </w:r>
            <w:r w:rsidR="00152F61" w:rsidRPr="00323289">
              <w:rPr>
                <w:rFonts w:asciiTheme="majorHAnsi" w:eastAsia="Calibri" w:hAnsiTheme="majorHAnsi" w:cstheme="majorHAnsi"/>
                <w:sz w:val="18"/>
                <w:szCs w:val="18"/>
                <w:rtl/>
              </w:rPr>
              <w:t>הראשון</w:t>
            </w:r>
            <w:r w:rsidRPr="00323289">
              <w:rPr>
                <w:rFonts w:asciiTheme="majorHAnsi" w:eastAsia="Calibri" w:hAnsiTheme="majorHAnsi" w:cstheme="majorHAnsi"/>
                <w:sz w:val="18"/>
                <w:szCs w:val="18"/>
                <w:rtl/>
              </w:rPr>
              <w:t xml:space="preserve"> של 202</w:t>
            </w:r>
            <w:r w:rsidR="00152F61" w:rsidRPr="00323289">
              <w:rPr>
                <w:rFonts w:asciiTheme="majorHAnsi" w:eastAsia="Calibri" w:hAnsiTheme="majorHAnsi" w:cstheme="majorHAnsi"/>
                <w:sz w:val="18"/>
                <w:szCs w:val="18"/>
                <w:rtl/>
              </w:rPr>
              <w:t>5</w:t>
            </w:r>
            <w:r w:rsidRPr="00323289">
              <w:rPr>
                <w:rFonts w:asciiTheme="majorHAnsi" w:eastAsia="Calibri" w:hAnsiTheme="majorHAnsi" w:cstheme="majorHAnsi"/>
                <w:sz w:val="18"/>
                <w:szCs w:val="18"/>
                <w:rtl/>
              </w:rPr>
              <w:t>.</w:t>
            </w:r>
          </w:p>
          <w:p w14:paraId="3BDA58F8" w14:textId="745154E2" w:rsidR="006E15ED" w:rsidRPr="00323289" w:rsidRDefault="006E15ED" w:rsidP="00DD3AEC">
            <w:pPr>
              <w:keepNext/>
              <w:keepLines/>
              <w:numPr>
                <w:ilvl w:val="0"/>
                <w:numId w:val="12"/>
              </w:numPr>
              <w:spacing w:line="240" w:lineRule="auto"/>
              <w:ind w:left="426" w:hanging="284"/>
              <w:jc w:val="both"/>
              <w:rPr>
                <w:rFonts w:asciiTheme="majorHAnsi" w:eastAsia="Calibri" w:hAnsiTheme="majorHAnsi" w:cstheme="majorHAnsi"/>
                <w:sz w:val="18"/>
                <w:szCs w:val="18"/>
              </w:rPr>
            </w:pPr>
            <w:r w:rsidRPr="00323289">
              <w:rPr>
                <w:rFonts w:asciiTheme="majorHAnsi" w:eastAsia="Calibri" w:hAnsiTheme="majorHAnsi" w:cstheme="majorHAnsi"/>
                <w:sz w:val="18"/>
                <w:szCs w:val="18"/>
                <w:rtl/>
              </w:rPr>
              <w:t xml:space="preserve">חטיבת המחקר – הריבית הממוצעת ברבעון </w:t>
            </w:r>
            <w:r w:rsidR="009E1F0A" w:rsidRPr="00323289">
              <w:rPr>
                <w:rFonts w:asciiTheme="majorHAnsi" w:eastAsia="Calibri" w:hAnsiTheme="majorHAnsi" w:cstheme="majorHAnsi"/>
                <w:sz w:val="18"/>
                <w:szCs w:val="18"/>
                <w:rtl/>
              </w:rPr>
              <w:t>הראשון</w:t>
            </w:r>
            <w:r w:rsidRPr="00323289">
              <w:rPr>
                <w:rFonts w:asciiTheme="majorHAnsi" w:eastAsia="Calibri" w:hAnsiTheme="majorHAnsi" w:cstheme="majorHAnsi"/>
                <w:sz w:val="18"/>
                <w:szCs w:val="18"/>
                <w:rtl/>
              </w:rPr>
              <w:t xml:space="preserve"> של 202</w:t>
            </w:r>
            <w:r w:rsidR="009E1F0A" w:rsidRPr="00323289">
              <w:rPr>
                <w:rFonts w:asciiTheme="majorHAnsi" w:eastAsia="Calibri" w:hAnsiTheme="majorHAnsi" w:cstheme="majorHAnsi"/>
                <w:sz w:val="18"/>
                <w:szCs w:val="18"/>
                <w:rtl/>
              </w:rPr>
              <w:t>5</w:t>
            </w:r>
            <w:r w:rsidRPr="00323289">
              <w:rPr>
                <w:rFonts w:asciiTheme="majorHAnsi" w:eastAsia="Calibri" w:hAnsiTheme="majorHAnsi" w:cstheme="majorHAnsi"/>
                <w:sz w:val="18"/>
                <w:szCs w:val="18"/>
                <w:rtl/>
              </w:rPr>
              <w:t>. הציפיות משוק ההון מבוססות על שוק התלבור (נכון לנתוני ה-</w:t>
            </w:r>
            <w:r w:rsidR="005913BA" w:rsidRPr="00323289">
              <w:rPr>
                <w:rFonts w:asciiTheme="majorHAnsi" w:eastAsia="Calibri" w:hAnsiTheme="majorHAnsi" w:cstheme="majorHAnsi"/>
                <w:sz w:val="18"/>
                <w:szCs w:val="18"/>
                <w:rtl/>
              </w:rPr>
              <w:t>07</w:t>
            </w:r>
            <w:r w:rsidRPr="00323289">
              <w:rPr>
                <w:rFonts w:asciiTheme="majorHAnsi" w:eastAsia="Calibri" w:hAnsiTheme="majorHAnsi" w:cstheme="majorHAnsi"/>
                <w:sz w:val="18"/>
                <w:szCs w:val="18"/>
                <w:rtl/>
              </w:rPr>
              <w:t>/</w:t>
            </w:r>
            <w:r w:rsidR="009E1F0A" w:rsidRPr="00323289">
              <w:rPr>
                <w:rFonts w:asciiTheme="majorHAnsi" w:eastAsia="Calibri" w:hAnsiTheme="majorHAnsi" w:cstheme="majorHAnsi"/>
                <w:sz w:val="18"/>
                <w:szCs w:val="18"/>
                <w:rtl/>
              </w:rPr>
              <w:t>0</w:t>
            </w:r>
            <w:r w:rsidR="00D37339" w:rsidRPr="00323289">
              <w:rPr>
                <w:rFonts w:asciiTheme="majorHAnsi" w:eastAsia="Calibri" w:hAnsiTheme="majorHAnsi" w:cstheme="majorHAnsi"/>
                <w:sz w:val="18"/>
                <w:szCs w:val="18"/>
                <w:rtl/>
              </w:rPr>
              <w:t>4</w:t>
            </w:r>
            <w:r w:rsidRPr="00323289">
              <w:rPr>
                <w:rFonts w:asciiTheme="majorHAnsi" w:eastAsia="Calibri" w:hAnsiTheme="majorHAnsi" w:cstheme="majorHAnsi"/>
                <w:sz w:val="18"/>
                <w:szCs w:val="18"/>
                <w:rtl/>
              </w:rPr>
              <w:t>/202</w:t>
            </w:r>
            <w:r w:rsidR="009E1F0A" w:rsidRPr="00323289">
              <w:rPr>
                <w:rFonts w:asciiTheme="majorHAnsi" w:eastAsia="Calibri" w:hAnsiTheme="majorHAnsi" w:cstheme="majorHAnsi"/>
                <w:sz w:val="18"/>
                <w:szCs w:val="18"/>
                <w:rtl/>
              </w:rPr>
              <w:t>4</w:t>
            </w:r>
            <w:r w:rsidRPr="00323289">
              <w:rPr>
                <w:rFonts w:asciiTheme="majorHAnsi" w:eastAsia="Calibri" w:hAnsiTheme="majorHAnsi" w:cstheme="majorHAnsi"/>
                <w:sz w:val="18"/>
                <w:szCs w:val="18"/>
                <w:rtl/>
              </w:rPr>
              <w:t>).</w:t>
            </w:r>
          </w:p>
          <w:p w14:paraId="4294067F" w14:textId="77777777" w:rsidR="006E15ED" w:rsidRPr="00323289" w:rsidRDefault="006E15ED" w:rsidP="00712048">
            <w:pPr>
              <w:keepNext/>
              <w:keepLines/>
              <w:spacing w:after="120"/>
              <w:ind w:left="423"/>
              <w:jc w:val="both"/>
              <w:rPr>
                <w:rFonts w:asciiTheme="majorHAnsi" w:eastAsia="Calibri" w:hAnsiTheme="majorHAnsi" w:cstheme="majorHAnsi"/>
                <w:sz w:val="18"/>
                <w:szCs w:val="18"/>
                <w:highlight w:val="yellow"/>
                <w:rtl/>
              </w:rPr>
            </w:pPr>
            <w:r w:rsidRPr="00323289">
              <w:rPr>
                <w:rFonts w:asciiTheme="majorHAnsi" w:eastAsia="Calibri" w:hAnsiTheme="majorHAnsi" w:cstheme="majorHAnsi"/>
                <w:sz w:val="18"/>
                <w:szCs w:val="18"/>
                <w:rtl/>
              </w:rPr>
              <w:t xml:space="preserve"> המקור: בנק ישראל.</w:t>
            </w:r>
          </w:p>
        </w:tc>
      </w:tr>
    </w:tbl>
    <w:p w14:paraId="3A29C676" w14:textId="77777777" w:rsidR="00FD51E1" w:rsidRPr="00323289" w:rsidRDefault="00FD51E1" w:rsidP="006A162E">
      <w:pPr>
        <w:jc w:val="both"/>
        <w:rPr>
          <w:rFonts w:asciiTheme="majorHAnsi" w:hAnsiTheme="majorHAnsi" w:cstheme="majorHAnsi"/>
          <w:b/>
          <w:rtl/>
        </w:rPr>
      </w:pPr>
    </w:p>
    <w:p w14:paraId="3A590086" w14:textId="77777777" w:rsidR="00DF55CE" w:rsidRPr="00323289" w:rsidRDefault="00DF55CE" w:rsidP="00BA373C">
      <w:pPr>
        <w:jc w:val="both"/>
        <w:rPr>
          <w:rFonts w:asciiTheme="majorHAnsi" w:hAnsiTheme="majorHAnsi" w:cstheme="majorHAnsi"/>
          <w:b/>
          <w:rtl/>
        </w:rPr>
      </w:pPr>
    </w:p>
    <w:p w14:paraId="5CA2C921" w14:textId="77777777" w:rsidR="00DF55CE" w:rsidRPr="00323289" w:rsidRDefault="00DF55CE" w:rsidP="00BA373C">
      <w:pPr>
        <w:jc w:val="both"/>
        <w:rPr>
          <w:rFonts w:asciiTheme="majorHAnsi" w:hAnsiTheme="majorHAnsi" w:cstheme="majorHAnsi"/>
          <w:b/>
          <w:rtl/>
        </w:rPr>
      </w:pPr>
    </w:p>
    <w:p w14:paraId="75536E2F" w14:textId="77777777" w:rsidR="00DF55CE" w:rsidRPr="00323289" w:rsidRDefault="00DF55CE" w:rsidP="00BA373C">
      <w:pPr>
        <w:jc w:val="both"/>
        <w:rPr>
          <w:rFonts w:asciiTheme="majorHAnsi" w:hAnsiTheme="majorHAnsi" w:cstheme="majorHAnsi"/>
          <w:b/>
          <w:rtl/>
        </w:rPr>
      </w:pPr>
    </w:p>
    <w:p w14:paraId="34FAC40E" w14:textId="77777777" w:rsidR="00DF55CE" w:rsidRPr="00323289" w:rsidRDefault="00DF55CE" w:rsidP="00BA373C">
      <w:pPr>
        <w:jc w:val="both"/>
        <w:rPr>
          <w:rFonts w:asciiTheme="majorHAnsi" w:hAnsiTheme="majorHAnsi" w:cstheme="majorHAnsi"/>
          <w:b/>
          <w:rtl/>
        </w:rPr>
      </w:pPr>
    </w:p>
    <w:p w14:paraId="1FEE3A97" w14:textId="77777777" w:rsidR="00DF55CE" w:rsidRPr="00323289" w:rsidRDefault="00DF55CE" w:rsidP="00BA373C">
      <w:pPr>
        <w:jc w:val="both"/>
        <w:rPr>
          <w:rFonts w:asciiTheme="majorHAnsi" w:hAnsiTheme="majorHAnsi" w:cstheme="majorHAnsi"/>
          <w:b/>
          <w:rtl/>
        </w:rPr>
      </w:pPr>
    </w:p>
    <w:p w14:paraId="7058649F" w14:textId="77777777" w:rsidR="00DF55CE" w:rsidRPr="00323289" w:rsidRDefault="00DF55CE" w:rsidP="00BA373C">
      <w:pPr>
        <w:jc w:val="both"/>
        <w:rPr>
          <w:rFonts w:asciiTheme="majorHAnsi" w:hAnsiTheme="majorHAnsi" w:cstheme="majorHAnsi"/>
          <w:b/>
          <w:rtl/>
        </w:rPr>
      </w:pPr>
    </w:p>
    <w:p w14:paraId="02C898ED" w14:textId="77777777" w:rsidR="00DF55CE" w:rsidRPr="00323289" w:rsidRDefault="00DF55CE" w:rsidP="00BA373C">
      <w:pPr>
        <w:jc w:val="both"/>
        <w:rPr>
          <w:rFonts w:asciiTheme="majorHAnsi" w:hAnsiTheme="majorHAnsi" w:cstheme="majorHAnsi"/>
          <w:b/>
          <w:rtl/>
        </w:rPr>
      </w:pPr>
    </w:p>
    <w:p w14:paraId="539C4B2C" w14:textId="77777777" w:rsidR="00DF55CE" w:rsidRPr="00323289" w:rsidRDefault="00DF55CE" w:rsidP="00BA373C">
      <w:pPr>
        <w:jc w:val="both"/>
        <w:rPr>
          <w:rFonts w:asciiTheme="majorHAnsi" w:hAnsiTheme="majorHAnsi" w:cstheme="majorHAnsi"/>
          <w:b/>
          <w:rtl/>
        </w:rPr>
      </w:pPr>
    </w:p>
    <w:p w14:paraId="5126EB30" w14:textId="77777777" w:rsidR="00DF55CE" w:rsidRPr="00323289" w:rsidRDefault="00DF55CE" w:rsidP="00BA373C">
      <w:pPr>
        <w:jc w:val="both"/>
        <w:rPr>
          <w:rFonts w:asciiTheme="majorHAnsi" w:hAnsiTheme="majorHAnsi" w:cstheme="majorHAnsi"/>
          <w:b/>
          <w:rtl/>
        </w:rPr>
      </w:pPr>
    </w:p>
    <w:p w14:paraId="45A27209" w14:textId="2A0E86DC" w:rsidR="006A162E" w:rsidRPr="00323289" w:rsidRDefault="00DF55CE" w:rsidP="00BA373C">
      <w:pPr>
        <w:jc w:val="both"/>
        <w:rPr>
          <w:rFonts w:asciiTheme="majorHAnsi" w:hAnsiTheme="majorHAnsi" w:cstheme="majorHAnsi"/>
          <w:b/>
          <w:rtl/>
        </w:rPr>
      </w:pPr>
      <w:r w:rsidRPr="00323289">
        <w:rPr>
          <w:rFonts w:asciiTheme="majorHAnsi" w:hAnsiTheme="majorHAnsi" w:cstheme="majorHAnsi"/>
          <w:b/>
          <w:rtl/>
        </w:rPr>
        <w:t xml:space="preserve">מלוח 2 עולה כי </w:t>
      </w:r>
      <w:r w:rsidR="00A54EFB" w:rsidRPr="00323289">
        <w:rPr>
          <w:rFonts w:asciiTheme="majorHAnsi" w:hAnsiTheme="majorHAnsi" w:cstheme="majorHAnsi"/>
          <w:b/>
          <w:rtl/>
        </w:rPr>
        <w:t xml:space="preserve">תחזית החטיבה לאינפלציה דומה לזו של החזאים ונמוכה מעט מציפיות השוק, ולצד זאת </w:t>
      </w:r>
      <w:r w:rsidRPr="00323289">
        <w:rPr>
          <w:rFonts w:asciiTheme="majorHAnsi" w:hAnsiTheme="majorHAnsi" w:cstheme="majorHAnsi"/>
          <w:b/>
          <w:rtl/>
        </w:rPr>
        <w:t xml:space="preserve">תחזית </w:t>
      </w:r>
      <w:r w:rsidR="006A162E" w:rsidRPr="00323289">
        <w:rPr>
          <w:rFonts w:asciiTheme="majorHAnsi" w:hAnsiTheme="majorHAnsi" w:cstheme="majorHAnsi"/>
          <w:b/>
          <w:rtl/>
        </w:rPr>
        <w:t>החטיבה</w:t>
      </w:r>
      <w:r w:rsidR="00E701D5" w:rsidRPr="00323289">
        <w:rPr>
          <w:rFonts w:asciiTheme="majorHAnsi" w:hAnsiTheme="majorHAnsi" w:cstheme="majorHAnsi"/>
          <w:b/>
          <w:rtl/>
        </w:rPr>
        <w:t xml:space="preserve"> לריבית</w:t>
      </w:r>
      <w:r w:rsidR="00A54EFB" w:rsidRPr="00323289">
        <w:rPr>
          <w:rFonts w:asciiTheme="majorHAnsi" w:hAnsiTheme="majorHAnsi" w:cstheme="majorHAnsi"/>
          <w:b/>
          <w:rtl/>
        </w:rPr>
        <w:t xml:space="preserve"> דומה לציפיות השווקים</w:t>
      </w:r>
      <w:r w:rsidR="00E701D5" w:rsidRPr="00323289">
        <w:rPr>
          <w:rFonts w:asciiTheme="majorHAnsi" w:hAnsiTheme="majorHAnsi" w:cstheme="majorHAnsi"/>
          <w:b/>
          <w:rtl/>
        </w:rPr>
        <w:t xml:space="preserve"> </w:t>
      </w:r>
      <w:r w:rsidR="00A54EFB" w:rsidRPr="00323289">
        <w:rPr>
          <w:rFonts w:asciiTheme="majorHAnsi" w:hAnsiTheme="majorHAnsi" w:cstheme="majorHAnsi"/>
          <w:b/>
          <w:rtl/>
        </w:rPr>
        <w:t>ו</w:t>
      </w:r>
      <w:r w:rsidR="00E701D5" w:rsidRPr="00323289">
        <w:rPr>
          <w:rFonts w:asciiTheme="majorHAnsi" w:hAnsiTheme="majorHAnsi" w:cstheme="majorHAnsi"/>
          <w:b/>
          <w:rtl/>
        </w:rPr>
        <w:t>גבוהה</w:t>
      </w:r>
      <w:r w:rsidR="00FA6787" w:rsidRPr="00323289">
        <w:rPr>
          <w:rFonts w:asciiTheme="majorHAnsi" w:hAnsiTheme="majorHAnsi" w:cstheme="majorHAnsi"/>
          <w:b/>
          <w:rtl/>
        </w:rPr>
        <w:t xml:space="preserve"> מעט</w:t>
      </w:r>
      <w:r w:rsidR="00E701D5" w:rsidRPr="00323289">
        <w:rPr>
          <w:rFonts w:asciiTheme="majorHAnsi" w:hAnsiTheme="majorHAnsi" w:cstheme="majorHAnsi"/>
          <w:b/>
          <w:rtl/>
        </w:rPr>
        <w:t xml:space="preserve"> </w:t>
      </w:r>
      <w:r w:rsidR="00BC4BFF" w:rsidRPr="00323289">
        <w:rPr>
          <w:rFonts w:asciiTheme="majorHAnsi" w:hAnsiTheme="majorHAnsi" w:cstheme="majorHAnsi"/>
          <w:b/>
          <w:rtl/>
        </w:rPr>
        <w:t>מ</w:t>
      </w:r>
      <w:r w:rsidR="00FA6787" w:rsidRPr="00323289">
        <w:rPr>
          <w:rFonts w:asciiTheme="majorHAnsi" w:hAnsiTheme="majorHAnsi" w:cstheme="majorHAnsi"/>
          <w:b/>
          <w:rtl/>
        </w:rPr>
        <w:t>תחזיות ה</w:t>
      </w:r>
      <w:r w:rsidR="00A54EFB" w:rsidRPr="00323289">
        <w:rPr>
          <w:rFonts w:asciiTheme="majorHAnsi" w:hAnsiTheme="majorHAnsi" w:cstheme="majorHAnsi"/>
          <w:b/>
          <w:rtl/>
        </w:rPr>
        <w:t>חזאים</w:t>
      </w:r>
      <w:r w:rsidR="00E701D5" w:rsidRPr="00323289">
        <w:rPr>
          <w:rFonts w:asciiTheme="majorHAnsi" w:hAnsiTheme="majorHAnsi" w:cstheme="majorHAnsi"/>
          <w:b/>
          <w:rtl/>
        </w:rPr>
        <w:t>.</w:t>
      </w:r>
      <w:r w:rsidR="006A162E" w:rsidRPr="00323289">
        <w:rPr>
          <w:rFonts w:asciiTheme="majorHAnsi" w:hAnsiTheme="majorHAnsi" w:cstheme="majorHAnsi"/>
          <w:b/>
          <w:rtl/>
        </w:rPr>
        <w:t xml:space="preserve"> </w:t>
      </w:r>
    </w:p>
    <w:p w14:paraId="0978C4DA" w14:textId="77777777" w:rsidR="003B2D4B" w:rsidRPr="00323289" w:rsidRDefault="003B2D4B" w:rsidP="00910C95">
      <w:pPr>
        <w:pStyle w:val="a"/>
        <w:rPr>
          <w:rFonts w:asciiTheme="majorHAnsi" w:hAnsiTheme="majorHAnsi" w:cstheme="majorHAnsi"/>
        </w:rPr>
      </w:pPr>
      <w:r w:rsidRPr="00323289">
        <w:rPr>
          <w:rFonts w:asciiTheme="majorHAnsi" w:hAnsiTheme="majorHAnsi" w:cstheme="majorHAnsi"/>
          <w:rtl/>
        </w:rPr>
        <w:t>הסיכונים העיקריים לתחזית</w:t>
      </w:r>
    </w:p>
    <w:p w14:paraId="2F95D5B7" w14:textId="7FC8F51E" w:rsidR="00850166" w:rsidRPr="00323289" w:rsidRDefault="006A162E" w:rsidP="007F78C3">
      <w:pPr>
        <w:ind w:left="8"/>
        <w:jc w:val="both"/>
        <w:rPr>
          <w:rFonts w:asciiTheme="majorHAnsi" w:hAnsiTheme="majorHAnsi" w:cstheme="majorHAnsi"/>
          <w:rtl/>
        </w:rPr>
      </w:pPr>
      <w:r w:rsidRPr="00323289">
        <w:rPr>
          <w:rFonts w:asciiTheme="majorHAnsi" w:hAnsiTheme="majorHAnsi" w:cstheme="majorHAnsi"/>
          <w:rtl/>
        </w:rPr>
        <w:t xml:space="preserve">התחזית </w:t>
      </w:r>
      <w:r w:rsidR="00111D8F" w:rsidRPr="00323289">
        <w:rPr>
          <w:rFonts w:asciiTheme="majorHAnsi" w:hAnsiTheme="majorHAnsi" w:cstheme="majorHAnsi"/>
          <w:rtl/>
        </w:rPr>
        <w:t xml:space="preserve">מבוססת </w:t>
      </w:r>
      <w:r w:rsidR="007F78C3" w:rsidRPr="00323289">
        <w:rPr>
          <w:rFonts w:asciiTheme="majorHAnsi" w:hAnsiTheme="majorHAnsi" w:cstheme="majorHAnsi"/>
          <w:rtl/>
        </w:rPr>
        <w:t xml:space="preserve">כאמור </w:t>
      </w:r>
      <w:r w:rsidR="00111D8F" w:rsidRPr="00323289">
        <w:rPr>
          <w:rFonts w:asciiTheme="majorHAnsi" w:hAnsiTheme="majorHAnsi" w:cstheme="majorHAnsi"/>
          <w:rtl/>
        </w:rPr>
        <w:t xml:space="preserve">על הנחה </w:t>
      </w:r>
      <w:r w:rsidRPr="00323289">
        <w:rPr>
          <w:rFonts w:asciiTheme="majorHAnsi" w:hAnsiTheme="majorHAnsi" w:cstheme="majorHAnsi"/>
          <w:rtl/>
        </w:rPr>
        <w:t>ש</w:t>
      </w:r>
      <w:r w:rsidR="00111D8F" w:rsidRPr="00323289">
        <w:rPr>
          <w:rFonts w:asciiTheme="majorHAnsi" w:hAnsiTheme="majorHAnsi" w:cstheme="majorHAnsi"/>
          <w:rtl/>
        </w:rPr>
        <w:t xml:space="preserve">המלחמה </w:t>
      </w:r>
      <w:r w:rsidR="00E701D5" w:rsidRPr="00323289">
        <w:rPr>
          <w:rFonts w:asciiTheme="majorHAnsi" w:hAnsiTheme="majorHAnsi" w:cstheme="majorHAnsi"/>
          <w:rtl/>
        </w:rPr>
        <w:t>ת</w:t>
      </w:r>
      <w:r w:rsidR="00BC4BFF" w:rsidRPr="00323289">
        <w:rPr>
          <w:rFonts w:asciiTheme="majorHAnsi" w:hAnsiTheme="majorHAnsi" w:cstheme="majorHAnsi"/>
          <w:rtl/>
        </w:rPr>
        <w:t>ת</w:t>
      </w:r>
      <w:r w:rsidR="00E701D5" w:rsidRPr="00323289">
        <w:rPr>
          <w:rFonts w:asciiTheme="majorHAnsi" w:hAnsiTheme="majorHAnsi" w:cstheme="majorHAnsi"/>
          <w:rtl/>
        </w:rPr>
        <w:t xml:space="preserve">רכז בעיקרה </w:t>
      </w:r>
      <w:r w:rsidR="00BC4BFF" w:rsidRPr="00323289">
        <w:rPr>
          <w:rFonts w:asciiTheme="majorHAnsi" w:hAnsiTheme="majorHAnsi" w:cstheme="majorHAnsi"/>
          <w:rtl/>
        </w:rPr>
        <w:t>ב</w:t>
      </w:r>
      <w:r w:rsidR="00111D8F" w:rsidRPr="00323289">
        <w:rPr>
          <w:rFonts w:asciiTheme="majorHAnsi" w:hAnsiTheme="majorHAnsi" w:cstheme="majorHAnsi"/>
          <w:rtl/>
        </w:rPr>
        <w:t xml:space="preserve">חזית </w:t>
      </w:r>
      <w:r w:rsidRPr="00323289">
        <w:rPr>
          <w:rFonts w:asciiTheme="majorHAnsi" w:hAnsiTheme="majorHAnsi" w:cstheme="majorHAnsi"/>
          <w:rtl/>
        </w:rPr>
        <w:t>אחת</w:t>
      </w:r>
      <w:r w:rsidR="00111D8F" w:rsidRPr="00323289">
        <w:rPr>
          <w:rFonts w:asciiTheme="majorHAnsi" w:hAnsiTheme="majorHAnsi" w:cstheme="majorHAnsi"/>
          <w:rtl/>
        </w:rPr>
        <w:t>,</w:t>
      </w:r>
      <w:r w:rsidRPr="00323289">
        <w:rPr>
          <w:rFonts w:asciiTheme="majorHAnsi" w:hAnsiTheme="majorHAnsi" w:cstheme="majorHAnsi"/>
          <w:rtl/>
        </w:rPr>
        <w:t xml:space="preserve"> מול ארגוני הטרור בעזה</w:t>
      </w:r>
      <w:r w:rsidR="00111D8F" w:rsidRPr="00323289">
        <w:rPr>
          <w:rFonts w:asciiTheme="majorHAnsi" w:hAnsiTheme="majorHAnsi" w:cstheme="majorHAnsi"/>
          <w:rtl/>
        </w:rPr>
        <w:t>,</w:t>
      </w:r>
      <w:r w:rsidRPr="00323289">
        <w:rPr>
          <w:rFonts w:asciiTheme="majorHAnsi" w:hAnsiTheme="majorHAnsi" w:cstheme="majorHAnsi"/>
          <w:rtl/>
        </w:rPr>
        <w:t xml:space="preserve"> ו</w:t>
      </w:r>
      <w:r w:rsidR="00111D8F" w:rsidRPr="00323289">
        <w:rPr>
          <w:rFonts w:asciiTheme="majorHAnsi" w:hAnsiTheme="majorHAnsi" w:cstheme="majorHAnsi"/>
          <w:rtl/>
        </w:rPr>
        <w:t>ש</w:t>
      </w:r>
      <w:r w:rsidRPr="00323289">
        <w:rPr>
          <w:rFonts w:asciiTheme="majorHAnsi" w:hAnsiTheme="majorHAnsi" w:cstheme="majorHAnsi"/>
          <w:rtl/>
        </w:rPr>
        <w:t xml:space="preserve">השלכותיה </w:t>
      </w:r>
      <w:r w:rsidR="007F78C3" w:rsidRPr="00323289">
        <w:rPr>
          <w:rFonts w:asciiTheme="majorHAnsi" w:hAnsiTheme="majorHAnsi" w:cstheme="majorHAnsi"/>
          <w:rtl/>
        </w:rPr>
        <w:t xml:space="preserve">המאקרו כלכליות </w:t>
      </w:r>
      <w:r w:rsidRPr="00323289">
        <w:rPr>
          <w:rFonts w:asciiTheme="majorHAnsi" w:hAnsiTheme="majorHAnsi" w:cstheme="majorHAnsi"/>
          <w:rtl/>
        </w:rPr>
        <w:t xml:space="preserve">יימשכו </w:t>
      </w:r>
      <w:r w:rsidR="007F78C3" w:rsidRPr="00323289">
        <w:rPr>
          <w:rFonts w:asciiTheme="majorHAnsi" w:hAnsiTheme="majorHAnsi" w:cstheme="majorHAnsi"/>
          <w:rtl/>
        </w:rPr>
        <w:t xml:space="preserve">במהלך </w:t>
      </w:r>
      <w:r w:rsidRPr="00323289">
        <w:rPr>
          <w:rFonts w:asciiTheme="majorHAnsi" w:hAnsiTheme="majorHAnsi" w:cstheme="majorHAnsi"/>
          <w:rtl/>
        </w:rPr>
        <w:t xml:space="preserve">שנת 2024 בעצימות פוחתת. </w:t>
      </w:r>
      <w:r w:rsidR="00111D8F" w:rsidRPr="00323289">
        <w:rPr>
          <w:rFonts w:asciiTheme="majorHAnsi" w:hAnsiTheme="majorHAnsi" w:cstheme="majorHAnsi"/>
          <w:rtl/>
        </w:rPr>
        <w:t>להתפתחויות שונות</w:t>
      </w:r>
      <w:r w:rsidR="007F78C3" w:rsidRPr="00323289">
        <w:rPr>
          <w:rFonts w:asciiTheme="majorHAnsi" w:hAnsiTheme="majorHAnsi" w:cstheme="majorHAnsi"/>
          <w:rtl/>
        </w:rPr>
        <w:t>,</w:t>
      </w:r>
      <w:r w:rsidR="00111D8F" w:rsidRPr="00323289">
        <w:rPr>
          <w:rFonts w:asciiTheme="majorHAnsi" w:hAnsiTheme="majorHAnsi" w:cstheme="majorHAnsi"/>
          <w:rtl/>
        </w:rPr>
        <w:t xml:space="preserve"> שישפיעו על </w:t>
      </w:r>
      <w:r w:rsidRPr="00323289">
        <w:rPr>
          <w:rFonts w:asciiTheme="majorHAnsi" w:hAnsiTheme="majorHAnsi" w:cstheme="majorHAnsi"/>
          <w:rtl/>
        </w:rPr>
        <w:t xml:space="preserve">משך </w:t>
      </w:r>
      <w:r w:rsidR="00A133B1" w:rsidRPr="00323289">
        <w:rPr>
          <w:rFonts w:asciiTheme="majorHAnsi" w:hAnsiTheme="majorHAnsi" w:cstheme="majorHAnsi"/>
          <w:rtl/>
        </w:rPr>
        <w:t>ו</w:t>
      </w:r>
      <w:r w:rsidRPr="00323289">
        <w:rPr>
          <w:rFonts w:asciiTheme="majorHAnsi" w:hAnsiTheme="majorHAnsi" w:cstheme="majorHAnsi"/>
          <w:rtl/>
        </w:rPr>
        <w:t>היקף המלחמה</w:t>
      </w:r>
      <w:r w:rsidR="007F78C3" w:rsidRPr="00323289">
        <w:rPr>
          <w:rFonts w:asciiTheme="majorHAnsi" w:hAnsiTheme="majorHAnsi" w:cstheme="majorHAnsi"/>
          <w:rtl/>
        </w:rPr>
        <w:t>,</w:t>
      </w:r>
      <w:r w:rsidR="00111D8F" w:rsidRPr="00323289">
        <w:rPr>
          <w:rFonts w:asciiTheme="majorHAnsi" w:hAnsiTheme="majorHAnsi" w:cstheme="majorHAnsi"/>
          <w:rtl/>
        </w:rPr>
        <w:t xml:space="preserve"> </w:t>
      </w:r>
      <w:r w:rsidR="007F78C3" w:rsidRPr="00323289">
        <w:rPr>
          <w:rFonts w:asciiTheme="majorHAnsi" w:hAnsiTheme="majorHAnsi" w:cstheme="majorHAnsi"/>
          <w:rtl/>
        </w:rPr>
        <w:t>ת</w:t>
      </w:r>
      <w:r w:rsidR="00A14010" w:rsidRPr="00323289">
        <w:rPr>
          <w:rFonts w:asciiTheme="majorHAnsi" w:hAnsiTheme="majorHAnsi" w:cstheme="majorHAnsi"/>
          <w:rtl/>
        </w:rPr>
        <w:t>י</w:t>
      </w:r>
      <w:r w:rsidR="007F78C3" w:rsidRPr="00323289">
        <w:rPr>
          <w:rFonts w:asciiTheme="majorHAnsi" w:hAnsiTheme="majorHAnsi" w:cstheme="majorHAnsi"/>
          <w:rtl/>
        </w:rPr>
        <w:t xml:space="preserve">תכן </w:t>
      </w:r>
      <w:r w:rsidRPr="00323289">
        <w:rPr>
          <w:rFonts w:asciiTheme="majorHAnsi" w:hAnsiTheme="majorHAnsi" w:cstheme="majorHAnsi"/>
          <w:rtl/>
        </w:rPr>
        <w:t>כמובן השפעה מהותית על ההתפתחויות הכלכליות.</w:t>
      </w:r>
      <w:r w:rsidR="003D3956" w:rsidRPr="00323289">
        <w:rPr>
          <w:rFonts w:asciiTheme="majorHAnsi" w:hAnsiTheme="majorHAnsi" w:cstheme="majorHAnsi"/>
          <w:rtl/>
        </w:rPr>
        <w:t xml:space="preserve"> בפרט</w:t>
      </w:r>
      <w:r w:rsidR="00A133B1" w:rsidRPr="00323289">
        <w:rPr>
          <w:rFonts w:asciiTheme="majorHAnsi" w:hAnsiTheme="majorHAnsi" w:cstheme="majorHAnsi"/>
          <w:rtl/>
        </w:rPr>
        <w:t>,</w:t>
      </w:r>
      <w:r w:rsidR="003D3956" w:rsidRPr="00323289">
        <w:rPr>
          <w:rFonts w:asciiTheme="majorHAnsi" w:hAnsiTheme="majorHAnsi" w:cstheme="majorHAnsi"/>
          <w:rtl/>
        </w:rPr>
        <w:t xml:space="preserve"> להתרחבות </w:t>
      </w:r>
      <w:r w:rsidR="007F78C3" w:rsidRPr="00323289">
        <w:rPr>
          <w:rFonts w:asciiTheme="majorHAnsi" w:hAnsiTheme="majorHAnsi" w:cstheme="majorHAnsi"/>
          <w:rtl/>
        </w:rPr>
        <w:t>הלחימה ב</w:t>
      </w:r>
      <w:r w:rsidR="003D3956" w:rsidRPr="00323289">
        <w:rPr>
          <w:rFonts w:asciiTheme="majorHAnsi" w:hAnsiTheme="majorHAnsi" w:cstheme="majorHAnsi"/>
          <w:rtl/>
        </w:rPr>
        <w:t xml:space="preserve">זירה הצפונית צפויה להיות השפעה </w:t>
      </w:r>
      <w:r w:rsidR="007F78C3" w:rsidRPr="00323289">
        <w:rPr>
          <w:rFonts w:asciiTheme="majorHAnsi" w:hAnsiTheme="majorHAnsi" w:cstheme="majorHAnsi"/>
          <w:rtl/>
        </w:rPr>
        <w:t xml:space="preserve">מאקרו </w:t>
      </w:r>
      <w:r w:rsidR="003D3956" w:rsidRPr="00323289">
        <w:rPr>
          <w:rFonts w:asciiTheme="majorHAnsi" w:hAnsiTheme="majorHAnsi" w:cstheme="majorHAnsi"/>
          <w:rtl/>
        </w:rPr>
        <w:t xml:space="preserve">כלכלית </w:t>
      </w:r>
      <w:r w:rsidR="00A8223B" w:rsidRPr="00323289">
        <w:rPr>
          <w:rFonts w:asciiTheme="majorHAnsi" w:hAnsiTheme="majorHAnsi" w:cstheme="majorHAnsi"/>
          <w:rtl/>
        </w:rPr>
        <w:t xml:space="preserve">שלילית </w:t>
      </w:r>
      <w:r w:rsidR="007F78C3" w:rsidRPr="00323289">
        <w:rPr>
          <w:rFonts w:asciiTheme="majorHAnsi" w:hAnsiTheme="majorHAnsi" w:cstheme="majorHAnsi"/>
          <w:rtl/>
        </w:rPr>
        <w:t>מהותית</w:t>
      </w:r>
      <w:r w:rsidR="003D3956" w:rsidRPr="00323289">
        <w:rPr>
          <w:rFonts w:asciiTheme="majorHAnsi" w:hAnsiTheme="majorHAnsi" w:cstheme="majorHAnsi"/>
          <w:rtl/>
        </w:rPr>
        <w:t xml:space="preserve">. התרחבות </w:t>
      </w:r>
      <w:r w:rsidR="007F78C3" w:rsidRPr="00323289">
        <w:rPr>
          <w:rFonts w:asciiTheme="majorHAnsi" w:hAnsiTheme="majorHAnsi" w:cstheme="majorHAnsi"/>
          <w:rtl/>
        </w:rPr>
        <w:t>כ</w:t>
      </w:r>
      <w:r w:rsidR="003D3956" w:rsidRPr="00323289">
        <w:rPr>
          <w:rFonts w:asciiTheme="majorHAnsi" w:hAnsiTheme="majorHAnsi" w:cstheme="majorHAnsi"/>
          <w:rtl/>
        </w:rPr>
        <w:t xml:space="preserve">זו תלווה בפגיעה נוספת בצמיחה, ולזמן מה </w:t>
      </w:r>
      <w:r w:rsidR="00AA6062" w:rsidRPr="00323289">
        <w:rPr>
          <w:rFonts w:asciiTheme="majorHAnsi" w:hAnsiTheme="majorHAnsi" w:cstheme="majorHAnsi"/>
          <w:rtl/>
        </w:rPr>
        <w:t xml:space="preserve">היא עלולה להיות מלווה </w:t>
      </w:r>
      <w:r w:rsidR="003D3956" w:rsidRPr="00323289">
        <w:rPr>
          <w:rFonts w:asciiTheme="majorHAnsi" w:hAnsiTheme="majorHAnsi" w:cstheme="majorHAnsi"/>
          <w:rtl/>
        </w:rPr>
        <w:t>גם בשיבושים באפשרות לקיים פעילות שגרתית</w:t>
      </w:r>
      <w:r w:rsidR="007F78C3" w:rsidRPr="00323289">
        <w:rPr>
          <w:rFonts w:asciiTheme="majorHAnsi" w:hAnsiTheme="majorHAnsi" w:cstheme="majorHAnsi"/>
          <w:rtl/>
        </w:rPr>
        <w:t>. אלו ישפיעו, בין השאר, על ה</w:t>
      </w:r>
      <w:r w:rsidR="003D3956" w:rsidRPr="00323289">
        <w:rPr>
          <w:rFonts w:asciiTheme="majorHAnsi" w:hAnsiTheme="majorHAnsi" w:cstheme="majorHAnsi"/>
          <w:rtl/>
        </w:rPr>
        <w:t>שווקים ו</w:t>
      </w:r>
      <w:r w:rsidR="007F78C3" w:rsidRPr="00323289">
        <w:rPr>
          <w:rFonts w:asciiTheme="majorHAnsi" w:hAnsiTheme="majorHAnsi" w:cstheme="majorHAnsi"/>
          <w:rtl/>
        </w:rPr>
        <w:t xml:space="preserve">על </w:t>
      </w:r>
      <w:r w:rsidR="003D3956" w:rsidRPr="00323289">
        <w:rPr>
          <w:rFonts w:asciiTheme="majorHAnsi" w:hAnsiTheme="majorHAnsi" w:cstheme="majorHAnsi"/>
          <w:rtl/>
        </w:rPr>
        <w:t>האינפלציה</w:t>
      </w:r>
      <w:r w:rsidR="00870C7A" w:rsidRPr="00323289">
        <w:rPr>
          <w:rFonts w:asciiTheme="majorHAnsi" w:hAnsiTheme="majorHAnsi" w:cstheme="majorHAnsi"/>
          <w:rtl/>
        </w:rPr>
        <w:t>, ו</w:t>
      </w:r>
      <w:r w:rsidR="007F78C3" w:rsidRPr="00323289">
        <w:rPr>
          <w:rFonts w:asciiTheme="majorHAnsi" w:hAnsiTheme="majorHAnsi" w:cstheme="majorHAnsi"/>
          <w:rtl/>
        </w:rPr>
        <w:t xml:space="preserve">על </w:t>
      </w:r>
      <w:r w:rsidR="00870C7A" w:rsidRPr="00323289">
        <w:rPr>
          <w:rFonts w:asciiTheme="majorHAnsi" w:hAnsiTheme="majorHAnsi" w:cstheme="majorHAnsi"/>
          <w:rtl/>
        </w:rPr>
        <w:t>הג</w:t>
      </w:r>
      <w:r w:rsidR="00EE4FE2" w:rsidRPr="00323289">
        <w:rPr>
          <w:rFonts w:asciiTheme="majorHAnsi" w:hAnsiTheme="majorHAnsi" w:cstheme="majorHAnsi"/>
          <w:rtl/>
        </w:rPr>
        <w:t>י</w:t>
      </w:r>
      <w:r w:rsidR="00870C7A" w:rsidRPr="00323289">
        <w:rPr>
          <w:rFonts w:asciiTheme="majorHAnsi" w:hAnsiTheme="majorHAnsi" w:cstheme="majorHAnsi"/>
          <w:rtl/>
        </w:rPr>
        <w:t>רעון והחוב הממשלתיים</w:t>
      </w:r>
      <w:r w:rsidR="003D3956" w:rsidRPr="00323289">
        <w:rPr>
          <w:rFonts w:asciiTheme="majorHAnsi" w:hAnsiTheme="majorHAnsi" w:cstheme="majorHAnsi"/>
          <w:rtl/>
        </w:rPr>
        <w:t xml:space="preserve">. </w:t>
      </w:r>
      <w:r w:rsidR="00EE4FE2" w:rsidRPr="00323289">
        <w:rPr>
          <w:rFonts w:asciiTheme="majorHAnsi" w:hAnsiTheme="majorHAnsi" w:cstheme="majorHAnsi"/>
          <w:rtl/>
        </w:rPr>
        <w:t>סיכון נוסף ביחס לגירעון בשנת 2024 נובע מאי הוודאות ביחס לקבלת מלוא כספי הסיוע מארה"ב במהלך השנה</w:t>
      </w:r>
      <w:r w:rsidR="002053EB" w:rsidRPr="00323289">
        <w:rPr>
          <w:rFonts w:asciiTheme="majorHAnsi" w:hAnsiTheme="majorHAnsi" w:cstheme="majorHAnsi"/>
          <w:rtl/>
        </w:rPr>
        <w:t>, לאור הרכש הב</w:t>
      </w:r>
      <w:r w:rsidR="00762FD8" w:rsidRPr="00323289">
        <w:rPr>
          <w:rFonts w:asciiTheme="majorHAnsi" w:hAnsiTheme="majorHAnsi" w:cstheme="majorHAnsi"/>
          <w:rtl/>
        </w:rPr>
        <w:t>י</w:t>
      </w:r>
      <w:r w:rsidR="002053EB" w:rsidRPr="00323289">
        <w:rPr>
          <w:rFonts w:asciiTheme="majorHAnsi" w:hAnsiTheme="majorHAnsi" w:cstheme="majorHAnsi"/>
          <w:rtl/>
        </w:rPr>
        <w:t>טחוני הצפוי</w:t>
      </w:r>
      <w:r w:rsidR="00EE4FE2" w:rsidRPr="00323289">
        <w:rPr>
          <w:rFonts w:asciiTheme="majorHAnsi" w:hAnsiTheme="majorHAnsi" w:cstheme="majorHAnsi"/>
          <w:rtl/>
        </w:rPr>
        <w:t xml:space="preserve">. </w:t>
      </w:r>
      <w:r w:rsidR="003D3956" w:rsidRPr="00323289">
        <w:rPr>
          <w:rFonts w:asciiTheme="majorHAnsi" w:hAnsiTheme="majorHAnsi" w:cstheme="majorHAnsi"/>
          <w:rtl/>
        </w:rPr>
        <w:t xml:space="preserve">לאור </w:t>
      </w:r>
      <w:r w:rsidR="007F78C3" w:rsidRPr="00323289">
        <w:rPr>
          <w:rFonts w:asciiTheme="majorHAnsi" w:hAnsiTheme="majorHAnsi" w:cstheme="majorHAnsi"/>
          <w:rtl/>
        </w:rPr>
        <w:t xml:space="preserve">אלו </w:t>
      </w:r>
      <w:r w:rsidR="003D3956" w:rsidRPr="00323289">
        <w:rPr>
          <w:rFonts w:asciiTheme="majorHAnsi" w:hAnsiTheme="majorHAnsi" w:cstheme="majorHAnsi"/>
          <w:rtl/>
        </w:rPr>
        <w:t xml:space="preserve">אנו מעריכים כי מאזן הסיכונים ביחס לתחזית </w:t>
      </w:r>
      <w:r w:rsidR="00F31AAD" w:rsidRPr="00323289">
        <w:rPr>
          <w:rFonts w:asciiTheme="majorHAnsi" w:hAnsiTheme="majorHAnsi" w:cstheme="majorHAnsi"/>
          <w:rtl/>
        </w:rPr>
        <w:t>הצמיחה</w:t>
      </w:r>
      <w:r w:rsidR="003D3956" w:rsidRPr="00323289">
        <w:rPr>
          <w:rFonts w:asciiTheme="majorHAnsi" w:hAnsiTheme="majorHAnsi" w:cstheme="majorHAnsi"/>
          <w:rtl/>
        </w:rPr>
        <w:t xml:space="preserve"> נוטה כלפי מטה</w:t>
      </w:r>
      <w:r w:rsidR="00F31AAD" w:rsidRPr="00323289">
        <w:rPr>
          <w:rFonts w:asciiTheme="majorHAnsi" w:hAnsiTheme="majorHAnsi" w:cstheme="majorHAnsi"/>
          <w:rtl/>
        </w:rPr>
        <w:t xml:space="preserve">, ואילו ביחס לתחזית האינפלציה </w:t>
      </w:r>
      <w:r w:rsidR="00870C7A" w:rsidRPr="00323289">
        <w:rPr>
          <w:rFonts w:asciiTheme="majorHAnsi" w:hAnsiTheme="majorHAnsi" w:cstheme="majorHAnsi"/>
          <w:rtl/>
        </w:rPr>
        <w:t>והג</w:t>
      </w:r>
      <w:r w:rsidR="00EE4FE2" w:rsidRPr="00323289">
        <w:rPr>
          <w:rFonts w:asciiTheme="majorHAnsi" w:hAnsiTheme="majorHAnsi" w:cstheme="majorHAnsi"/>
          <w:rtl/>
        </w:rPr>
        <w:t>י</w:t>
      </w:r>
      <w:r w:rsidR="00870C7A" w:rsidRPr="00323289">
        <w:rPr>
          <w:rFonts w:asciiTheme="majorHAnsi" w:hAnsiTheme="majorHAnsi" w:cstheme="majorHAnsi"/>
          <w:rtl/>
        </w:rPr>
        <w:t xml:space="preserve">רעון </w:t>
      </w:r>
      <w:r w:rsidR="00F31AAD" w:rsidRPr="00323289">
        <w:rPr>
          <w:rFonts w:asciiTheme="majorHAnsi" w:hAnsiTheme="majorHAnsi" w:cstheme="majorHAnsi"/>
          <w:rtl/>
        </w:rPr>
        <w:t>מאזן הסיכונים נוטה כלפי מעלה</w:t>
      </w:r>
      <w:r w:rsidR="003D3956" w:rsidRPr="00323289">
        <w:rPr>
          <w:rFonts w:asciiTheme="majorHAnsi" w:hAnsiTheme="majorHAnsi" w:cstheme="majorHAnsi"/>
          <w:rtl/>
        </w:rPr>
        <w:t>.</w:t>
      </w:r>
    </w:p>
    <w:p w14:paraId="69EFDC55" w14:textId="59799760" w:rsidR="001159E6" w:rsidRPr="00323289" w:rsidRDefault="001159E6" w:rsidP="005C2941">
      <w:pPr>
        <w:ind w:left="8"/>
        <w:jc w:val="both"/>
        <w:rPr>
          <w:rFonts w:asciiTheme="majorHAnsi" w:hAnsiTheme="majorHAnsi" w:cstheme="majorHAnsi"/>
          <w:rtl/>
        </w:rPr>
      </w:pPr>
    </w:p>
    <w:sectPr w:rsidR="001159E6" w:rsidRPr="00323289" w:rsidSect="00015362">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C9DC8" w14:textId="77777777" w:rsidR="00015362" w:rsidRDefault="00015362" w:rsidP="00A251DD">
      <w:pPr>
        <w:spacing w:line="240" w:lineRule="auto"/>
      </w:pPr>
      <w:r>
        <w:separator/>
      </w:r>
    </w:p>
  </w:endnote>
  <w:endnote w:type="continuationSeparator" w:id="0">
    <w:p w14:paraId="53EADF09" w14:textId="77777777" w:rsidR="00015362" w:rsidRDefault="00015362" w:rsidP="00A25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4193478"/>
      <w:docPartObj>
        <w:docPartGallery w:val="Page Numbers (Bottom of Page)"/>
        <w:docPartUnique/>
      </w:docPartObj>
    </w:sdtPr>
    <w:sdtEndPr>
      <w:rPr>
        <w:noProof/>
      </w:rPr>
    </w:sdtEndPr>
    <w:sdtContent>
      <w:p w14:paraId="31E256FA" w14:textId="4141D752" w:rsidR="00323289" w:rsidRDefault="00323289" w:rsidP="00323289">
        <w:pPr>
          <w:pStyle w:val="ab"/>
          <w:jc w:val="center"/>
        </w:pPr>
        <w:r w:rsidRPr="00BE1C99">
          <w:rPr>
            <w:noProof/>
            <w:rtl/>
          </w:rPr>
          <w:drawing>
            <wp:anchor distT="0" distB="0" distL="114300" distR="114300" simplePos="0" relativeHeight="251667456" behindDoc="0" locked="0" layoutInCell="1" allowOverlap="1" wp14:anchorId="1354EBD9" wp14:editId="3BE8A6D2">
              <wp:simplePos x="0" y="0"/>
              <wp:positionH relativeFrom="rightMargin">
                <wp:posOffset>-528879</wp:posOffset>
              </wp:positionH>
              <wp:positionV relativeFrom="paragraph">
                <wp:posOffset>19837</wp:posOffset>
              </wp:positionV>
              <wp:extent cx="310551" cy="310551"/>
              <wp:effectExtent l="0" t="0" r="0" b="0"/>
              <wp:wrapNone/>
              <wp:docPr id="6" name="תמונה 6"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551" cy="310551"/>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tl/>
            </w:rPr>
            <w:id w:val="1321498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500FF">
              <w:rPr>
                <w:noProof/>
                <w:rtl/>
              </w:rPr>
              <w:t>2</w:t>
            </w:r>
            <w:r>
              <w:rPr>
                <w:noProof/>
              </w:rPr>
              <w:fldChar w:fldCharType="end"/>
            </w:r>
          </w:sdtContent>
        </w:sdt>
      </w:p>
      <w:p w14:paraId="532F8C69" w14:textId="77777777" w:rsidR="00323289" w:rsidRPr="00BE1C99" w:rsidRDefault="00323289" w:rsidP="00323289">
        <w:pPr>
          <w:pStyle w:val="ab"/>
          <w:rPr>
            <w:rtl/>
          </w:rPr>
        </w:pPr>
        <w:r>
          <w:rPr>
            <w:rtl/>
          </w:rPr>
          <w:tab/>
        </w:r>
        <w:r w:rsidRPr="00BE1C99">
          <w:rPr>
            <w:noProof/>
          </w:rPr>
          <mc:AlternateContent>
            <mc:Choice Requires="wps">
              <w:drawing>
                <wp:anchor distT="0" distB="0" distL="114300" distR="114300" simplePos="0" relativeHeight="251659264" behindDoc="0" locked="0" layoutInCell="1" allowOverlap="1" wp14:anchorId="67548899" wp14:editId="31094C45">
                  <wp:simplePos x="0" y="0"/>
                  <wp:positionH relativeFrom="column">
                    <wp:posOffset>4607916</wp:posOffset>
                  </wp:positionH>
                  <wp:positionV relativeFrom="paragraph">
                    <wp:posOffset>81584</wp:posOffset>
                  </wp:positionV>
                  <wp:extent cx="1535430" cy="4572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14:paraId="2DAA72BF" w14:textId="77777777" w:rsidR="00323289" w:rsidRPr="00B677DC" w:rsidRDefault="00323289" w:rsidP="00323289">
                              <w:pPr>
                                <w:jc w:val="center"/>
                                <w:rPr>
                                  <w:rFonts w:cstheme="minorHAnsi"/>
                                  <w:sz w:val="16"/>
                                  <w:szCs w:val="16"/>
                                  <w:rtl/>
                                </w:rPr>
                              </w:pPr>
                              <w:r w:rsidRPr="00B677DC">
                                <w:rPr>
                                  <w:rFonts w:cs="Times New Roman"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548899" id="_x0000_t202" coordsize="21600,21600" o:spt="202" path="m,l,21600r21600,l21600,xe">
                  <v:stroke joinstyle="miter"/>
                  <v:path gradientshapeok="t" o:connecttype="rect"/>
                </v:shapetype>
                <v:shape id="תיבת טקסט 2" o:spid="_x0000_s1026" type="#_x0000_t202" style="position:absolute;left:0;text-align:left;margin-left:362.85pt;margin-top:6.4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gJRAIAAGEEAAAOAAAAZHJzL2Uyb0RvYy54bWysVM1u2zAMvg/YOwi6L85vtxlxiqxFhgFB&#10;WyAdelZkKTYgi5qkxM7eYrf2uNOAvpBfZ5ScpEG307CLTJEUf76P9PSyqRTZCetK0Bkd9PqUCM0h&#10;L/Umo1/vF+8+UOI80zlToEVG98LRy9nbN9PapGIIBahcWIJBtEtrk9HCe5MmieOFqJjrgREajRJs&#10;xTxe7SbJLasxeqWSYb9/kdRgc2OBC+dQe90Z6SzGl1JwfyulE56ojGJtPp42nutwJrMpSzeWmaLk&#10;hzLYP1RRsVJj0lOoa+YZ2dryj1BVyS04kL7HoUpAypKL2AN2M+i/6mZVMCNiLwiOMyeY3P8Ly292&#10;d5aUeUaHlGhWIUXtc/vU/mifSfvY/mp/to9kGGCqjUvRe2XQ3zefoEG6j3qHytB9I20VvtgXQTsC&#10;vj+BLBpPeHg0GU3GIzRxtI0n75HFECZ5eW2s858FVCQIGbVIYsSW7ZbOd65Hl5BMw6JUKhKpNKkz&#10;ejGa9OODkwWDK405Qg9drUHyzbqJrY+Ofawh32N7Fro5cYYvSqxhyZy/YxYHA8vGYfe3eEgFmAsO&#10;EiUF2O9/0wd/5AutlNQ4aBl137bMCkrUF41MfhyMx2Ey4yXiQYk9t6zPLXpbXQHO8gDXyvAo4mPr&#10;1VErLVQPuBPzkBVNTHPMnVF/FK98N/64U1zM59EJZ9Ewv9Qrw0PogGpA+L55YNYcaPBI4A0cR5Kl&#10;r9jofDs+5lsPsoxUBZw7VA/w4xxHsg87Fxbl/B69Xv4Ms98AAAD//wMAUEsDBBQABgAIAAAAIQAY&#10;83zn4AAAAAkBAAAPAAAAZHJzL2Rvd25yZXYueG1sTI9BT4NAEIXvJv6HzZh4s4tECiJL05A0JkYP&#10;rb14W9gpENlZZLct+usdT/U4eV/efK9YzXYQJ5x870jB/SICgdQ401OrYP++uctA+KDJ6MERKvhG&#10;D6vy+qrQuXFn2uJpF1rBJeRzraALYcyl9E2HVvuFG5E4O7jJ6sDn1Eoz6TOX20HGUbSUVvfEHzo9&#10;YtVh87k7WgUv1eZNb+vYZj9D9fx6WI9f+49Eqdubef0EIuAcLjD86bM6lOxUuyMZLwYFaZykjHIQ&#10;8wQGHpdpAqJWkD1kIMtC/l9Q/gIAAP//AwBQSwECLQAUAAYACAAAACEAtoM4kv4AAADhAQAAEwAA&#10;AAAAAAAAAAAAAAAAAAAAW0NvbnRlbnRfVHlwZXNdLnhtbFBLAQItABQABgAIAAAAIQA4/SH/1gAA&#10;AJQBAAALAAAAAAAAAAAAAAAAAC8BAABfcmVscy8ucmVsc1BLAQItABQABgAIAAAAIQCEUAgJRAIA&#10;AGEEAAAOAAAAAAAAAAAAAAAAAC4CAABkcnMvZTJvRG9jLnhtbFBLAQItABQABgAIAAAAIQAY83zn&#10;4AAAAAkBAAAPAAAAAAAAAAAAAAAAAJ4EAABkcnMvZG93bnJldi54bWxQSwUGAAAAAAQABADzAAAA&#10;qwUAAAAA&#10;" filled="f" stroked="f" strokeweight=".5pt">
                  <v:textbox>
                    <w:txbxContent>
                      <w:p w14:paraId="2DAA72BF" w14:textId="77777777" w:rsidR="00323289" w:rsidRPr="00B677DC" w:rsidRDefault="00323289" w:rsidP="00323289">
                        <w:pPr>
                          <w:jc w:val="center"/>
                          <w:rPr>
                            <w:rFonts w:cstheme="minorHAnsi"/>
                            <w:sz w:val="16"/>
                            <w:szCs w:val="16"/>
                            <w:rtl/>
                          </w:rPr>
                        </w:pPr>
                        <w:r w:rsidRPr="00B677DC">
                          <w:rPr>
                            <w:rFonts w:cs="Times New Roman" w:hint="cs"/>
                            <w:noProof/>
                            <w:sz w:val="16"/>
                            <w:szCs w:val="16"/>
                            <w:rtl/>
                          </w:rPr>
                          <w:t xml:space="preserve">אתר בנק ישראל </w:t>
                        </w:r>
                        <w:hyperlink r:id="rId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BE1C99">
          <w:rPr>
            <w:noProof/>
          </w:rPr>
          <mc:AlternateContent>
            <mc:Choice Requires="wps">
              <w:drawing>
                <wp:anchor distT="0" distB="0" distL="114300" distR="114300" simplePos="0" relativeHeight="251660288" behindDoc="0" locked="0" layoutInCell="1" allowOverlap="1" wp14:anchorId="4CBFC21E" wp14:editId="7386C493">
                  <wp:simplePos x="0" y="0"/>
                  <wp:positionH relativeFrom="column">
                    <wp:posOffset>2796692</wp:posOffset>
                  </wp:positionH>
                  <wp:positionV relativeFrom="paragraph">
                    <wp:posOffset>118796</wp:posOffset>
                  </wp:positionV>
                  <wp:extent cx="2181860" cy="457200"/>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14:paraId="7F00D5BC" w14:textId="77777777" w:rsidR="00323289" w:rsidRPr="00B677DC" w:rsidRDefault="00323289" w:rsidP="00323289">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BFC21E" id="תיבת טקסט 3" o:spid="_x0000_s1027" type="#_x0000_t202" style="position:absolute;left:0;text-align:left;margin-left:220.2pt;margin-top:9.3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sJRQIAAGEEAAAOAAAAZHJzL2Uyb0RvYy54bWysVM1u2zAMvg/YOwi6L46TNMuMOEXWIsOA&#10;oi2QDj0rshwbkEVNUmJnb7Fbd9xpQF/IrzNKjtOg22nYRaZIij/fR3p+2VSS7IWxJaiUxoMhJUJx&#10;yEq1TemXh9W7GSXWMZUxCUqk9CAsvVy8fTOvdSJGUIDMhCEYRNmk1iktnNNJFFleiIrZAWih0JiD&#10;qZjDq9lGmWE1Rq9kNBoOp1ENJtMGuLAWtdedkS5C/DwX3N3luRWOyJRibS6cJpwbf0aLOUu2humi&#10;5Mcy2D9UUbFSYdJTqGvmGNmZ8o9QVckNWMjdgEMVQZ6XXIQesJt4+KqbdcG0CL0gOFafYLL/Lyy/&#10;3d8bUmYpHVOiWIUUtc/tj/Z7+0zap/ZX+7N9ImMPU61tgt5rjf6u+QgN0t3rLSp9901uKv/Fvgja&#10;EfDDCWTROMJROYpn8WyKJo62ycV7ZNGHiV5ea2PdJwEV8UJKDZIYsGX7G+s6197FJ1OwKqUMREpF&#10;6pROxxfD8OBkweBSYQ7fQ1erl1yzaULro76PDWQHbM9ANydW81WJNdww6+6ZwcHAsnHY3R0euQTM&#10;BUeJkgLMt7/pvT/yhVZKahy0lNqvO2YEJfKzQiY/xJOJn8xwCXhQYs4tm3OL2lVXgLMc41ppHkR8&#10;bJzstbmB6hF3YumzookpjrlT6nrxynXjjzvFxXIZnHAWNXM3aq25D+1R9Qg/NI/M6CMNDgm8hX4k&#10;WfKKjc6342O5c5CXgSqPc4fqEX6c40D2cef8opzfg9fLn2HxGwAA//8DAFBLAwQUAAYACAAAACEA&#10;46UDguAAAAAJAQAADwAAAGRycy9kb3ducmV2LnhtbEyPwU7DMBBE70j8g7VI3KhNFUgIcaoqUoWE&#10;4NDSCzcn3iYR8TrEbhv4epYTHFfzNPumWM1uECecQu9Jw+1CgUBqvO2p1bB/29xkIEI0ZM3gCTV8&#10;YYBVeXlRmNz6M23xtIut4BIKudHQxTjmUoamQ2fCwo9InB385Ezkc2qlncyZy90gl0rdS2d64g+d&#10;GbHqsPnYHZ2G52rzarb10mXfQ/X0cliPn/v3O62vr+b1I4iIc/yD4Vef1aFkp9ofyQYxaEgSlTDK&#10;QZaCYCDNEh5Xa3hQKciykP8XlD8AAAD//wMAUEsBAi0AFAAGAAgAAAAhALaDOJL+AAAA4QEAABMA&#10;AAAAAAAAAAAAAAAAAAAAAFtDb250ZW50X1R5cGVzXS54bWxQSwECLQAUAAYACAAAACEAOP0h/9YA&#10;AACUAQAACwAAAAAAAAAAAAAAAAAvAQAAX3JlbHMvLnJlbHNQSwECLQAUAAYACAAAACEA7B0rCUUC&#10;AABhBAAADgAAAAAAAAAAAAAAAAAuAgAAZHJzL2Uyb0RvYy54bWxQSwECLQAUAAYACAAAACEA46UD&#10;guAAAAAJAQAADwAAAAAAAAAAAAAAAACfBAAAZHJzL2Rvd25yZXYueG1sUEsFBgAAAAAEAAQA8wAA&#10;AKwFAAAAAA==&#10;" filled="f" stroked="f" strokeweight=".5pt">
                  <v:textbox>
                    <w:txbxContent>
                      <w:p w14:paraId="7F00D5BC" w14:textId="77777777" w:rsidR="00323289" w:rsidRPr="00B677DC" w:rsidRDefault="00323289" w:rsidP="00323289">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sidRPr="00BE1C99">
          <w:rPr>
            <w:noProof/>
          </w:rPr>
          <w:drawing>
            <wp:anchor distT="0" distB="0" distL="114300" distR="114300" simplePos="0" relativeHeight="251661312" behindDoc="0" locked="0" layoutInCell="1" allowOverlap="1" wp14:anchorId="143026C7" wp14:editId="164C5F03">
              <wp:simplePos x="0" y="0"/>
              <wp:positionH relativeFrom="column">
                <wp:posOffset>3901821</wp:posOffset>
              </wp:positionH>
              <wp:positionV relativeFrom="paragraph">
                <wp:posOffset>-97740</wp:posOffset>
              </wp:positionV>
              <wp:extent cx="241539" cy="241539"/>
              <wp:effectExtent l="0" t="0" r="6350" b="635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sidRPr="00BE1C99">
          <w:rPr>
            <w:noProof/>
          </w:rPr>
          <mc:AlternateContent>
            <mc:Choice Requires="wps">
              <w:drawing>
                <wp:anchor distT="0" distB="0" distL="114300" distR="114300" simplePos="0" relativeHeight="251662336" behindDoc="0" locked="0" layoutInCell="1" allowOverlap="1" wp14:anchorId="0AE5AAD8" wp14:editId="27D7CF27">
                  <wp:simplePos x="0" y="0"/>
                  <wp:positionH relativeFrom="margin">
                    <wp:posOffset>1013562</wp:posOffset>
                  </wp:positionH>
                  <wp:positionV relativeFrom="paragraph">
                    <wp:posOffset>150520</wp:posOffset>
                  </wp:positionV>
                  <wp:extent cx="2129790" cy="621030"/>
                  <wp:effectExtent l="0" t="0" r="0" b="7620"/>
                  <wp:wrapNone/>
                  <wp:docPr id="4" name="תיבת טקסט 4"/>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14:paraId="5E149105" w14:textId="77777777" w:rsidR="00323289" w:rsidRPr="00B677DC" w:rsidRDefault="00323289" w:rsidP="00323289">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5AAD8" id="תיבת טקסט 4" o:spid="_x0000_s1028" type="#_x0000_t202" style="position:absolute;left:0;text-align:left;margin-left:79.8pt;margin-top:11.8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6JRwIAAGEEAAAOAAAAZHJzL2Uyb0RvYy54bWysVM1u2zAMvg/YOwi6L/5p2i5GnCJrkWFA&#10;0BZIh54VWU4MyKImKbGzt9itPe40oC/k1xklJ2nQ7TTsIlMkxZ/vIz2+amtJtsLYClROk0FMiVAc&#10;ikqtcvr1YfbhIyXWMVUwCUrkdCcsvZq8fzdudCZSWIMshCEYRNms0TldO6ezKLJ8LWpmB6CFQmMJ&#10;pmYOr2YVFYY1GL2WURrHF1EDptAGuLAWtTe9kU5C/LIU3N2VpRWOyJxibS6cJpxLf0aTMctWhul1&#10;xfdlsH+oomaVwqTHUDfMMbIx1R+h6oobsFC6AYc6grKsuAg9YDdJ/KabxZppEXpBcKw+wmT/X1h+&#10;u703pCpyOqREsRop6l665+5H90K6p+5X97N7IkMPU6Ntht4Ljf6u/QQt0n3QW1T67tvS1P6LfRG0&#10;I+C7I8iidYSjMk3S0eUITRxtF2kSnwUWotfX2lj3WUBNvJBTgyQGbNl2bh1Wgq4HF59MwaySMhAp&#10;FWkw6Nl5HB4cLfhCKnzoe+hr9ZJrl21o/djHEoodtmegnxOr+azCGubMuntmcDCwbBx2d4dHKQFz&#10;wV6iZA3m+9/03h/5QislDQ5aTu23DTOCEvlFIZOjZDj0kxkuw/PLFC/m1LI8tahNfQ04ywmuleZB&#10;9P5OHrSlgfoRd2Lqs6KJKY65c+oO4rXrxx93iovpNDjhLGrm5mqhuQ/tUfUIP7SPzOg9DQ4JvIXD&#10;SLLsDRu9b8/HdOOgrAJVHuce1T38OMeBwf3O+UU5vQev1z/D5DcAAAD//wMAUEsDBBQABgAIAAAA&#10;IQA72Ziq4QAAAAoBAAAPAAAAZHJzL2Rvd25yZXYueG1sTI9BT8JAFITvJv6HzTPxJluqRSjdEtKE&#10;mBg5gFy4vXYfbWN3t3YXqP56nyc9TmYy8022Gk0nLjT41lkF00kEgmzldGtrBYf3zcMchA9oNXbO&#10;koIv8rDKb28yTLW72h1d9qEWXGJ9igqaEPpUSl81ZNBPXE+WvZMbDAaWQy31gFcuN52Mo2gmDbaW&#10;FxrsqWio+tifjYLXYrPFXRmb+XdXvLyd1v3n4ZgodX83rpcgAo3hLwy/+IwOOTOV7my1Fx3rZDHj&#10;qIL48RkEB54WCZ8r2YmnCcg8k/8v5D8AAAD//wMAUEsBAi0AFAAGAAgAAAAhALaDOJL+AAAA4QEA&#10;ABMAAAAAAAAAAAAAAAAAAAAAAFtDb250ZW50X1R5cGVzXS54bWxQSwECLQAUAAYACAAAACEAOP0h&#10;/9YAAACUAQAACwAAAAAAAAAAAAAAAAAvAQAAX3JlbHMvLnJlbHNQSwECLQAUAAYACAAAACEA48m+&#10;iUcCAABhBAAADgAAAAAAAAAAAAAAAAAuAgAAZHJzL2Uyb0RvYy54bWxQSwECLQAUAAYACAAAACEA&#10;O9mYquEAAAAKAQAADwAAAAAAAAAAAAAAAAChBAAAZHJzL2Rvd25yZXYueG1sUEsFBgAAAAAEAAQA&#10;8wAAAK8FAAAAAA==&#10;" filled="f" stroked="f" strokeweight=".5pt">
                  <v:textbox>
                    <w:txbxContent>
                      <w:p w14:paraId="5E149105" w14:textId="77777777" w:rsidR="00323289" w:rsidRPr="00B677DC" w:rsidRDefault="00323289" w:rsidP="00323289">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BE1C99">
          <w:rPr>
            <w:noProof/>
          </w:rPr>
          <w:drawing>
            <wp:anchor distT="0" distB="0" distL="114300" distR="114300" simplePos="0" relativeHeight="251664384" behindDoc="0" locked="0" layoutInCell="1" allowOverlap="1" wp14:anchorId="1D32C4DD" wp14:editId="3FB726E1">
              <wp:simplePos x="0" y="0"/>
              <wp:positionH relativeFrom="column">
                <wp:posOffset>1971548</wp:posOffset>
              </wp:positionH>
              <wp:positionV relativeFrom="paragraph">
                <wp:posOffset>-91364</wp:posOffset>
              </wp:positionV>
              <wp:extent cx="266528" cy="262039"/>
              <wp:effectExtent l="0" t="0" r="635" b="5080"/>
              <wp:wrapNone/>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sidRPr="00BE1C99">
          <w:rPr>
            <w:noProof/>
          </w:rPr>
          <mc:AlternateContent>
            <mc:Choice Requires="wps">
              <w:drawing>
                <wp:anchor distT="0" distB="0" distL="114300" distR="114300" simplePos="0" relativeHeight="251666432" behindDoc="0" locked="0" layoutInCell="1" allowOverlap="1" wp14:anchorId="705B6259" wp14:editId="7CD8DDA6">
                  <wp:simplePos x="0" y="0"/>
                  <wp:positionH relativeFrom="margin">
                    <wp:posOffset>-811480</wp:posOffset>
                  </wp:positionH>
                  <wp:positionV relativeFrom="paragraph">
                    <wp:posOffset>149250</wp:posOffset>
                  </wp:positionV>
                  <wp:extent cx="2130281" cy="621030"/>
                  <wp:effectExtent l="0" t="0" r="0" b="7620"/>
                  <wp:wrapNone/>
                  <wp:docPr id="5" name="תיבת טקסט 5"/>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14:paraId="560C533E" w14:textId="77777777" w:rsidR="00323289" w:rsidRPr="00F20046" w:rsidRDefault="00323289" w:rsidP="00323289">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B6259" id="תיבת טקסט 5" o:spid="_x0000_s1029" type="#_x0000_t202" style="position:absolute;left:0;text-align:left;margin-left:-63.9pt;margin-top:11.75pt;width:167.75pt;height:48.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4RAIAAFoEAAAOAAAAZHJzL2Uyb0RvYy54bWysVEtu2zAQ3RfoHQjua31sp6lgOXATuChg&#10;JAGcImuaoiwBEoclaUvuLbpLl10VyIV0nQ4p2THSropuKHJmOJ/3HjW7auuK7IU2JciURqOQEiE5&#10;ZKXcpvTLw/LdJSXGMpmxCqRI6UEYejV/+2bWqETEUECVCU0wiTRJo1JaWKuSIDC8EDUzI1BCojMH&#10;XTOLR70NMs0azF5XQRyGF0EDOlMauDAGrTe9k859/jwX3N7luRGWVCnF3qxftV83bg3mM5ZsNVNF&#10;yYc22D90UbNSYtFTqhtmGdnp8o9Udck1GMjtiEMdQJ6XXPgZcJoofDXNumBK+FkQHKNOMJn/l5bf&#10;7u81KbOUTimRrEaKuufuR/e9eybdU/er+9k9kamDqVEmwei1wnjbfoQW6T7aDRrd9G2ua/fFuQj6&#10;EfDDCWTRWsLRGEfjML6MKOHou4ijcOxZCF5uK23sJwE1cZuUaiTRY8v2K2OxEww9hrhiEpZlVXki&#10;K0kaTDqehv7CyYM3KokX3Qx9r25n2007DLaB7IBzaegFYhRfllh8xYy9ZxoVgaOgyu0dLnkFWASG&#10;HSUF6G9/s7t4JAq9lDSosJSarzumBSXVZ4kUfogmEydJf5hM38d40OeezblH7uprQBEjcNid37p4&#10;Wx2tuYb6ER/DwlVFF5Mca6fUHrfXttc9PiYuFgsfhCJUzK7kWnGX2sHpoH1oH5lWA/4WmbuFoxZZ&#10;8oqGPrYnYrGzkJeeIwdwj+qAOwrYUzc8NvdCzs8+6uWXMP8NAAD//wMAUEsDBBQABgAIAAAAIQBu&#10;/Md84gAAAAsBAAAPAAAAZHJzL2Rvd25yZXYueG1sTI/BTsMwEETvSPyDtZW4tU5clVQhTlVFqpAQ&#10;HFp64ebE2ySqvQ6x2wa+HnOC42qeZt4Wm8kadsXR944kpIsEGFLjdE+thOP7br4G5oMirYwjlPCF&#10;Hjbl/V2hcu1utMfrIbQslpDPlYQuhCHn3DcdWuUXbkCK2cmNVoV4ji3Xo7rFcmu4SJJHblVPcaFT&#10;A1YdNufDxUp4qXZval8Lu/421fPraTt8Hj9WUj7Mpu0TsIBT+IPhVz+qQxmdanch7ZmRME9FFt2D&#10;BLFcAYuESLIMWB1RkS6BlwX//0P5AwAA//8DAFBLAQItABQABgAIAAAAIQC2gziS/gAAAOEBAAAT&#10;AAAAAAAAAAAAAAAAAAAAAABbQ29udGVudF9UeXBlc10ueG1sUEsBAi0AFAAGAAgAAAAhADj9If/W&#10;AAAAlAEAAAsAAAAAAAAAAAAAAAAALwEAAF9yZWxzLy5yZWxzUEsBAi0AFAAGAAgAAAAhANEsb7hE&#10;AgAAWgQAAA4AAAAAAAAAAAAAAAAALgIAAGRycy9lMm9Eb2MueG1sUEsBAi0AFAAGAAgAAAAhAG78&#10;x3ziAAAACwEAAA8AAAAAAAAAAAAAAAAAngQAAGRycy9kb3ducmV2LnhtbFBLBQYAAAAABAAEAPMA&#10;AACtBQAAAAA=&#10;" filled="f" stroked="f" strokeweight=".5pt">
                  <v:textbox>
                    <w:txbxContent>
                      <w:p w14:paraId="560C533E" w14:textId="77777777" w:rsidR="00323289" w:rsidRPr="00F20046" w:rsidRDefault="00323289" w:rsidP="00323289">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BE1C99">
          <w:rPr>
            <w:noProof/>
          </w:rPr>
          <w:drawing>
            <wp:anchor distT="0" distB="0" distL="114300" distR="114300" simplePos="0" relativeHeight="251665408" behindDoc="0" locked="0" layoutInCell="1" allowOverlap="1" wp14:anchorId="26BC2A1C" wp14:editId="1BA830F1">
              <wp:simplePos x="0" y="0"/>
              <wp:positionH relativeFrom="margin">
                <wp:align>left</wp:align>
              </wp:positionH>
              <wp:positionV relativeFrom="paragraph">
                <wp:posOffset>-92130</wp:posOffset>
              </wp:positionV>
              <wp:extent cx="329206" cy="241456"/>
              <wp:effectExtent l="0" t="0" r="0" b="6350"/>
              <wp:wrapNone/>
              <wp:docPr id="16"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Pr="00BE1C99">
          <w:rPr>
            <w:noProof/>
          </w:rPr>
          <mc:AlternateContent>
            <mc:Choice Requires="wps">
              <w:drawing>
                <wp:anchor distT="0" distB="0" distL="114300" distR="114300" simplePos="0" relativeHeight="251663360" behindDoc="0" locked="0" layoutInCell="1" allowOverlap="1" wp14:anchorId="1E6A4CF1" wp14:editId="6F1686A6">
                  <wp:simplePos x="0" y="0"/>
                  <wp:positionH relativeFrom="column">
                    <wp:posOffset>-81915</wp:posOffset>
                  </wp:positionH>
                  <wp:positionV relativeFrom="paragraph">
                    <wp:posOffset>-223149</wp:posOffset>
                  </wp:positionV>
                  <wp:extent cx="6228080" cy="0"/>
                  <wp:effectExtent l="0" t="0" r="20320" b="19050"/>
                  <wp:wrapNone/>
                  <wp:docPr id="7" name="מחבר ישר 7"/>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E684D1" id="מחבר ישר 7"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ssygEAAL4DAAAOAAAAZHJzL2Uyb0RvYy54bWysU82O0zAQviPxDpbvNGkPu1XUdA+7Ag4I&#10;Kn4ewOuMWwv/aWya9DE4IS6c4YnyOoydNov4kRDiMvHY33wz38xkczNYw46AUXvX8uWi5gyc9J12&#10;+5a/e/v0yZqzmITrhPEOWn6CyG+2jx9t+tDAyh+86QAZkbjY9KHlh5RCU1VRHsCKuPABHD0qj1Yk&#10;cnFfdSh6YremWtX1VdV77AJ6CTHS7d30yLeFXymQ6ZVSERIzLafaUrFY7H221XYjmj2KcNDyXIb4&#10;hyqs0I6SzlR3Ign2AfUvVFZL9NGrtJDeVl4pLaFoIDXL+ic1bw4iQNFCzYlhblP8f7Ty5XGHTHct&#10;v+bMCUsjGr+Mn8aP41c2fh6/0ec6N6kPsSHsrdvh2Ythh1nxoNAyZXR4TvMvPSBVbCgtPs0thiEx&#10;SZdXq9W6XtMk5OWtmigyVcCYnoG3LB9abrTL6kUjji9iorQEvUDIySVNRZRTOhnIYONegyJFlGwq&#10;p+wS3BpkR0Fb0L1fZkHEVZA5RGlj5qC6pPxj0Bmbw6Ds198GzuiS0bs0B1rtPP4uaxoupaoJf1E9&#10;ac2y7313KiMp7aAlKcrOC5238Ee/hD/8dtvvAAAA//8DAFBLAwQUAAYACAAAACEAchs7W9wAAAAL&#10;AQAADwAAAGRycy9kb3ducmV2LnhtbEyPQU/DMAyF70j8h8hI3LakQ+1Y13QakxBnNi67pY3XVjRO&#10;abKt/HuMhMRu9ntPz5+LzeR6ccExdJ40JHMFAqn2tqNGw8fhdfYMIkRD1vSeUMM3BtiU93eFya2/&#10;0jte9rERXEIhNxraGIdcylC36EyY+wGJvZMfnYm8jo20o7lyuevlQqlMOtMRX2jNgLsW68/92Wk4&#10;vDk1VbHbIX0t1fb4kmZ0TLV+fJi2axARp/gfhl98RoeSmSp/JhtEr2GWLFYc5eEpTUBwYpUtWan+&#10;FFkW8vaH8gcAAP//AwBQSwECLQAUAAYACAAAACEAtoM4kv4AAADhAQAAEwAAAAAAAAAAAAAAAAAA&#10;AAAAW0NvbnRlbnRfVHlwZXNdLnhtbFBLAQItABQABgAIAAAAIQA4/SH/1gAAAJQBAAALAAAAAAAA&#10;AAAAAAAAAC8BAABfcmVscy8ucmVsc1BLAQItABQABgAIAAAAIQCzZnssygEAAL4DAAAOAAAAAAAA&#10;AAAAAAAAAC4CAABkcnMvZTJvRG9jLnhtbFBLAQItABQABgAIAAAAIQByGztb3AAAAAsBAAAPAAAA&#10;AAAAAAAAAAAAACQEAABkcnMvZG93bnJldi54bWxQSwUGAAAAAAQABADzAAAALQUAAAAA&#10;" strokecolor="black [3200]" strokeweight=".5pt">
                  <v:stroke joinstyle="miter"/>
                </v:line>
              </w:pict>
            </mc:Fallback>
          </mc:AlternateContent>
        </w:r>
      </w:p>
      <w:p w14:paraId="622A7EF2" w14:textId="77777777" w:rsidR="00323289" w:rsidRDefault="00323289" w:rsidP="00323289">
        <w:pPr>
          <w:pStyle w:val="ab"/>
        </w:pPr>
      </w:p>
      <w:p w14:paraId="487F8A3E" w14:textId="712D296A" w:rsidR="00BA373C" w:rsidRDefault="00BA373C">
        <w:pPr>
          <w:pStyle w:val="ab"/>
          <w:jc w:val="center"/>
        </w:pPr>
        <w:r>
          <w:fldChar w:fldCharType="begin"/>
        </w:r>
        <w:r>
          <w:instrText xml:space="preserve"> PAGE   \* MERGEFORMAT </w:instrText>
        </w:r>
        <w:r>
          <w:fldChar w:fldCharType="separate"/>
        </w:r>
        <w:r w:rsidR="001500FF">
          <w:rPr>
            <w:noProof/>
            <w:rtl/>
          </w:rPr>
          <w:t>2</w:t>
        </w:r>
        <w:r>
          <w:rPr>
            <w:noProof/>
          </w:rPr>
          <w:fldChar w:fldCharType="end"/>
        </w:r>
      </w:p>
    </w:sdtContent>
  </w:sdt>
  <w:p w14:paraId="49651C13" w14:textId="77777777" w:rsidR="00BA373C" w:rsidRDefault="00BA373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B643B" w14:textId="77777777" w:rsidR="00015362" w:rsidRDefault="00015362" w:rsidP="00A251DD">
      <w:pPr>
        <w:spacing w:line="240" w:lineRule="auto"/>
      </w:pPr>
      <w:r>
        <w:separator/>
      </w:r>
    </w:p>
  </w:footnote>
  <w:footnote w:type="continuationSeparator" w:id="0">
    <w:p w14:paraId="76FE0F7D" w14:textId="77777777" w:rsidR="00015362" w:rsidRDefault="00015362" w:rsidP="00A251DD">
      <w:pPr>
        <w:spacing w:line="240" w:lineRule="auto"/>
      </w:pPr>
      <w:r>
        <w:continuationSeparator/>
      </w:r>
    </w:p>
  </w:footnote>
  <w:footnote w:id="1">
    <w:p w14:paraId="0D7C5007" w14:textId="03260E6B" w:rsidR="00A52617" w:rsidRPr="00355EB1" w:rsidRDefault="00A52617" w:rsidP="00A52617">
      <w:pPr>
        <w:pStyle w:val="a4"/>
        <w:spacing w:before="60"/>
        <w:ind w:left="19"/>
        <w:jc w:val="both"/>
        <w:rPr>
          <w:sz w:val="18"/>
          <w:szCs w:val="18"/>
          <w:rtl/>
        </w:rPr>
      </w:pPr>
      <w:r w:rsidRPr="00355EB1">
        <w:rPr>
          <w:rStyle w:val="a6"/>
        </w:rPr>
        <w:footnoteRef/>
      </w:r>
      <w:r w:rsidRPr="00355EB1">
        <w:rPr>
          <w:rtl/>
        </w:rPr>
        <w:t xml:space="preserve"> התחזית </w:t>
      </w:r>
      <w:r>
        <w:rPr>
          <w:rFonts w:hint="cs"/>
          <w:rtl/>
        </w:rPr>
        <w:t>הוצגה</w:t>
      </w:r>
      <w:r w:rsidRPr="00355EB1">
        <w:rPr>
          <w:rtl/>
        </w:rPr>
        <w:t xml:space="preserve"> לוועדה המוניטרית ב-</w:t>
      </w:r>
      <w:r w:rsidR="000859EA">
        <w:rPr>
          <w:rFonts w:hint="cs"/>
          <w:rtl/>
        </w:rPr>
        <w:t>7</w:t>
      </w:r>
      <w:r>
        <w:rPr>
          <w:rFonts w:hint="cs"/>
          <w:rtl/>
        </w:rPr>
        <w:t>/</w:t>
      </w:r>
      <w:r w:rsidR="000859EA">
        <w:rPr>
          <w:rFonts w:hint="cs"/>
          <w:rtl/>
        </w:rPr>
        <w:t>4</w:t>
      </w:r>
      <w:r>
        <w:rPr>
          <w:rFonts w:hint="cs"/>
          <w:rtl/>
        </w:rPr>
        <w:t>/202</w:t>
      </w:r>
      <w:r w:rsidR="000859EA">
        <w:rPr>
          <w:rFonts w:hint="cs"/>
          <w:rtl/>
        </w:rPr>
        <w:t>4</w:t>
      </w:r>
      <w:r w:rsidRPr="00355EB1">
        <w:rPr>
          <w:rtl/>
        </w:rPr>
        <w:t xml:space="preserve">, לקראת החלטת הריבית </w:t>
      </w:r>
      <w:r>
        <w:rPr>
          <w:rFonts w:hint="cs"/>
          <w:rtl/>
        </w:rPr>
        <w:t>שהתקבלה</w:t>
      </w:r>
      <w:r w:rsidRPr="00355EB1">
        <w:rPr>
          <w:rtl/>
        </w:rPr>
        <w:t xml:space="preserve"> ב-</w:t>
      </w:r>
      <w:r w:rsidR="000859EA">
        <w:rPr>
          <w:rFonts w:hint="cs"/>
          <w:rtl/>
        </w:rPr>
        <w:t>8</w:t>
      </w:r>
      <w:r>
        <w:rPr>
          <w:rFonts w:hint="cs"/>
          <w:rtl/>
        </w:rPr>
        <w:t>/</w:t>
      </w:r>
      <w:r w:rsidR="000859EA">
        <w:rPr>
          <w:rFonts w:hint="cs"/>
          <w:rtl/>
        </w:rPr>
        <w:t>4</w:t>
      </w:r>
      <w:r>
        <w:rPr>
          <w:rFonts w:hint="cs"/>
          <w:rtl/>
        </w:rPr>
        <w:t>/2024</w:t>
      </w:r>
      <w:r w:rsidRPr="00355EB1">
        <w:rPr>
          <w:rtl/>
        </w:rPr>
        <w:t>.</w:t>
      </w:r>
    </w:p>
  </w:footnote>
  <w:footnote w:id="2">
    <w:p w14:paraId="48B78CE1" w14:textId="77777777" w:rsidR="00712048" w:rsidRPr="00355EB1" w:rsidRDefault="00712048" w:rsidP="00381932">
      <w:pPr>
        <w:pStyle w:val="a4"/>
        <w:spacing w:before="60"/>
        <w:ind w:left="5"/>
        <w:jc w:val="both"/>
        <w:rPr>
          <w:rtl/>
        </w:rPr>
      </w:pPr>
      <w:r w:rsidRPr="00355EB1">
        <w:rPr>
          <w:vertAlign w:val="superscript"/>
        </w:rPr>
        <w:footnoteRef/>
      </w:r>
      <w:r w:rsidRPr="00355EB1">
        <w:rPr>
          <w:rtl/>
        </w:rPr>
        <w:t xml:space="preserve"> הסבר על התחזיות המקרו-כלכליות שחטיבת המחקר מגבשת, וכן סקירה של המודלים שהן מושתתות עליהם, מופיעים בדוח האינפלציה 31 (לרבעון השני של 2010), סעיף 3ג. נייר העבודה על מודל ה-</w:t>
      </w:r>
      <w:r w:rsidRPr="00355EB1">
        <w:t>DSGE</w:t>
      </w:r>
      <w:r w:rsidRPr="00355EB1">
        <w:rPr>
          <w:rtl/>
        </w:rPr>
        <w:t xml:space="preserve"> זמין באתר האינטרנט של בנק ישראל. כותרתו</w:t>
      </w:r>
    </w:p>
    <w:p w14:paraId="44A45CDF" w14:textId="77777777" w:rsidR="00712048" w:rsidRPr="0070314E" w:rsidRDefault="001500FF" w:rsidP="00144A95">
      <w:pPr>
        <w:pStyle w:val="a4"/>
        <w:bidi w:val="0"/>
        <w:spacing w:before="60"/>
        <w:ind w:left="14"/>
        <w:rPr>
          <w:sz w:val="22"/>
          <w:szCs w:val="22"/>
        </w:rPr>
      </w:pPr>
      <w:hyperlink r:id="rId1" w:history="1">
        <w:r w:rsidR="00712048" w:rsidRPr="00B8762E">
          <w:rPr>
            <w:rStyle w:val="Hyperlink"/>
          </w:rPr>
          <w:t>MOISE: A DSGE Model for the Israeli Economy, Discussion Paper No. 2012.06</w:t>
        </w:r>
      </w:hyperlink>
      <w:r w:rsidR="00712048" w:rsidRPr="0070314E">
        <w:t>.</w:t>
      </w:r>
    </w:p>
  </w:footnote>
  <w:footnote w:id="3">
    <w:p w14:paraId="1551DB24" w14:textId="63F2848C" w:rsidR="00815F31" w:rsidRDefault="00815F31" w:rsidP="00815F31">
      <w:pPr>
        <w:pStyle w:val="a4"/>
      </w:pPr>
      <w:r w:rsidRPr="00B27CD2">
        <w:rPr>
          <w:rStyle w:val="a6"/>
        </w:rPr>
        <w:footnoteRef/>
      </w:r>
      <w:r w:rsidR="00575C72">
        <w:rPr>
          <w:rtl/>
        </w:rPr>
        <w:t xml:space="preserve"> </w:t>
      </w:r>
      <w:r w:rsidRPr="00B27CD2">
        <w:rPr>
          <w:rFonts w:hint="cs"/>
          <w:rtl/>
        </w:rPr>
        <w:t>שיעור האבטלה הרחב כולל, נוסף על הבלתי מועסקים</w:t>
      </w:r>
      <w:r w:rsidRPr="00A029D9">
        <w:rPr>
          <w:rFonts w:hint="cs"/>
          <w:rtl/>
        </w:rPr>
        <w:t>, גם את מי שנעדרו זמנית מעבודתם מסיבות כלכליות (כולל עובדים בחל"ת).</w:t>
      </w:r>
      <w:r w:rsidR="00171678">
        <w:rPr>
          <w:rFonts w:hint="cs"/>
          <w:rtl/>
        </w:rPr>
        <w:t xml:space="preserve"> הוא אינו כולל עובדים שנעדרו מעבודתם בשל שירות מילואים.</w:t>
      </w:r>
    </w:p>
  </w:footnote>
  <w:footnote w:id="4">
    <w:p w14:paraId="475EECF9" w14:textId="45F4F43B" w:rsidR="00942E2E" w:rsidRDefault="00942E2E" w:rsidP="008A1A71">
      <w:pPr>
        <w:pStyle w:val="a4"/>
      </w:pPr>
      <w:r>
        <w:rPr>
          <w:rStyle w:val="a6"/>
        </w:rPr>
        <w:footnoteRef/>
      </w:r>
      <w:r>
        <w:rPr>
          <w:rtl/>
        </w:rPr>
        <w:t xml:space="preserve"> </w:t>
      </w:r>
      <w:r>
        <w:rPr>
          <w:rFonts w:hint="cs"/>
          <w:rtl/>
        </w:rPr>
        <w:t xml:space="preserve">מערכת הביטחון תוקצבה בהנחה שכלל </w:t>
      </w:r>
      <w:r w:rsidRPr="00BA3B7B">
        <w:rPr>
          <w:rtl/>
        </w:rPr>
        <w:t xml:space="preserve">הסיוע </w:t>
      </w:r>
      <w:r w:rsidR="008A1A71">
        <w:rPr>
          <w:rFonts w:hint="cs"/>
          <w:rtl/>
        </w:rPr>
        <w:t>מממשלת ארצות הברית</w:t>
      </w:r>
      <w:r w:rsidR="008A1A71" w:rsidRPr="00BA3B7B">
        <w:rPr>
          <w:rtl/>
        </w:rPr>
        <w:t xml:space="preserve"> </w:t>
      </w:r>
      <w:r w:rsidRPr="00BA3B7B">
        <w:rPr>
          <w:rtl/>
        </w:rPr>
        <w:t xml:space="preserve">בסך </w:t>
      </w:r>
      <w:r>
        <w:rPr>
          <w:rFonts w:hint="cs"/>
          <w:rtl/>
        </w:rPr>
        <w:t xml:space="preserve">8.7 </w:t>
      </w:r>
      <w:r w:rsidRPr="00BA3B7B">
        <w:rPr>
          <w:rtl/>
        </w:rPr>
        <w:t>מיליארד</w:t>
      </w:r>
      <w:r>
        <w:rPr>
          <w:rFonts w:hint="cs"/>
          <w:rtl/>
        </w:rPr>
        <w:t>י דולרים (כ-1.6 אחוז תוצר)</w:t>
      </w:r>
      <w:r w:rsidRPr="00BA3B7B">
        <w:rPr>
          <w:rtl/>
        </w:rPr>
        <w:t xml:space="preserve"> יועבר </w:t>
      </w:r>
      <w:r>
        <w:rPr>
          <w:rFonts w:hint="cs"/>
          <w:rtl/>
        </w:rPr>
        <w:t xml:space="preserve">לישראל </w:t>
      </w:r>
      <w:r w:rsidRPr="00BA3B7B">
        <w:rPr>
          <w:rtl/>
        </w:rPr>
        <w:t>במהלך שנת 2024</w:t>
      </w:r>
      <w:r>
        <w:rPr>
          <w:rFonts w:hint="cs"/>
          <w:rtl/>
        </w:rPr>
        <w:t xml:space="preserve">, אך </w:t>
      </w:r>
      <w:r w:rsidR="008A1A71">
        <w:rPr>
          <w:rFonts w:hint="cs"/>
          <w:rtl/>
        </w:rPr>
        <w:t xml:space="preserve">הסיוע </w:t>
      </w:r>
      <w:r>
        <w:rPr>
          <w:rFonts w:hint="cs"/>
          <w:rtl/>
        </w:rPr>
        <w:t>טרם אושר בארה"ב</w:t>
      </w:r>
      <w:r w:rsidR="008A1A71">
        <w:rPr>
          <w:rFonts w:hint="cs"/>
          <w:rtl/>
        </w:rPr>
        <w:t>.</w:t>
      </w:r>
      <w:r>
        <w:rPr>
          <w:rFonts w:hint="cs"/>
          <w:rtl/>
        </w:rPr>
        <w:t xml:space="preserve"> ככל שמערכת הביטחון </w:t>
      </w:r>
      <w:r w:rsidR="008A1A71">
        <w:rPr>
          <w:rFonts w:hint="cs"/>
          <w:rtl/>
        </w:rPr>
        <w:t>ת</w:t>
      </w:r>
      <w:r>
        <w:rPr>
          <w:rFonts w:hint="cs"/>
          <w:rtl/>
        </w:rPr>
        <w:t>תחייב תקציבית לרכש שימומן באמצעות מענק זה</w:t>
      </w:r>
      <w:r w:rsidR="008A1A71">
        <w:rPr>
          <w:rFonts w:hint="cs"/>
          <w:rtl/>
        </w:rPr>
        <w:t>, והמענק לא יתקבל, הדבר יגדיל את הגירעון</w:t>
      </w:r>
      <w:r w:rsidRPr="00BA3B7B">
        <w:rPr>
          <w:rtl/>
        </w:rPr>
        <w:t>.</w:t>
      </w:r>
    </w:p>
  </w:footnote>
  <w:footnote w:id="5">
    <w:p w14:paraId="52D48CE7" w14:textId="02DE0026" w:rsidR="00B406D5" w:rsidRPr="00E720F3" w:rsidRDefault="00B406D5" w:rsidP="00AA64DE">
      <w:pPr>
        <w:pStyle w:val="a4"/>
        <w:rPr>
          <w:rtl/>
        </w:rPr>
      </w:pPr>
      <w:r w:rsidRPr="00E720F3">
        <w:rPr>
          <w:rStyle w:val="a6"/>
        </w:rPr>
        <w:footnoteRef/>
      </w:r>
      <w:r w:rsidRPr="00E720F3">
        <w:rPr>
          <w:rtl/>
        </w:rPr>
        <w:t xml:space="preserve"> </w:t>
      </w:r>
      <w:r w:rsidR="00E720F3">
        <w:rPr>
          <w:rStyle w:val="ui-provider"/>
          <w:rtl/>
        </w:rPr>
        <w:t>פיצויים בגין נזקים ישירים ועקיפים מכוח חוק מס רכוש וקרן פיצויים התשכ"א – 1961</w:t>
      </w:r>
      <w:r w:rsidR="00E720F3">
        <w:rPr>
          <w:rStyle w:val="ui-provider"/>
          <w:rFonts w:hint="cs"/>
          <w:rtl/>
        </w:rPr>
        <w:t xml:space="preserve"> </w:t>
      </w:r>
      <w:r w:rsidR="00E720F3">
        <w:rPr>
          <w:rStyle w:val="ui-provider"/>
          <w:rtl/>
        </w:rPr>
        <w:t xml:space="preserve">לא נחשבים להוצאות בתקציב המדינה, אלא כהוצאה חוץ-תקציבית. משום שהקרן </w:t>
      </w:r>
      <w:r w:rsidR="00AA64DE">
        <w:rPr>
          <w:rStyle w:val="ui-provider"/>
          <w:rFonts w:hint="cs"/>
          <w:rtl/>
        </w:rPr>
        <w:t xml:space="preserve">היא </w:t>
      </w:r>
      <w:r w:rsidR="00E720F3">
        <w:rPr>
          <w:rStyle w:val="ui-provider"/>
          <w:rtl/>
        </w:rPr>
        <w:t>רישומית בלבד, עלויות אלו אינן מגדילות את הגרעון התקציבי בזמן הוצאתן, אך הממשלה כן נדרשת לממן אותן באמצעות גיוס חוב או הפחתת יתרות המזומנים של הממשלה בבנקים. הג</w:t>
      </w:r>
      <w:r w:rsidR="008A1A71">
        <w:rPr>
          <w:rStyle w:val="ui-provider"/>
          <w:rFonts w:hint="cs"/>
          <w:rtl/>
        </w:rPr>
        <w:t>י</w:t>
      </w:r>
      <w:r w:rsidR="00E720F3">
        <w:rPr>
          <w:rStyle w:val="ui-provider"/>
          <w:rtl/>
        </w:rPr>
        <w:t xml:space="preserve">רעון התקציבי </w:t>
      </w:r>
      <w:r w:rsidR="00E720F3">
        <w:rPr>
          <w:rStyle w:val="ui-provider"/>
          <w:rFonts w:hint="cs"/>
          <w:rtl/>
        </w:rPr>
        <w:t>מושפע דרך צד ההכנסות בעת ה</w:t>
      </w:r>
      <w:r w:rsidR="00E720F3">
        <w:rPr>
          <w:rStyle w:val="ui-provider"/>
          <w:rtl/>
        </w:rPr>
        <w:t>הפרשה של חלק מתקבולי מס הרכישה לקרן. כדי לממן את הוצאות הקרן מעבר ליתרה שהייתה בה ערב המלחמה החליטה הממשלה להגדיל את ההפרשה לקרן והיא צפויה להסתכם בכ-5 ו-7 מיליארדי ש"ח בשנים 2024 ו-2025, בהתאמ</w:t>
      </w:r>
      <w:r w:rsidR="00AA64DE">
        <w:rPr>
          <w:rStyle w:val="ui-provider"/>
          <w:rFonts w:hint="cs"/>
          <w:rtl/>
        </w:rPr>
        <w:t xml:space="preserve">ה. סכומים אלו </w:t>
      </w:r>
      <w:r w:rsidR="00E720F3">
        <w:rPr>
          <w:rStyle w:val="ui-provider"/>
          <w:rFonts w:hint="cs"/>
          <w:rtl/>
        </w:rPr>
        <w:t>מגולמים בתחזית הגרעון הנוכחית.</w:t>
      </w:r>
    </w:p>
  </w:footnote>
  <w:footnote w:id="6">
    <w:p w14:paraId="1FB5E865" w14:textId="7BC6FE59" w:rsidR="00942E2E" w:rsidRDefault="00942E2E" w:rsidP="008A1A71">
      <w:pPr>
        <w:pStyle w:val="a4"/>
      </w:pPr>
      <w:r>
        <w:rPr>
          <w:rStyle w:val="a6"/>
        </w:rPr>
        <w:footnoteRef/>
      </w:r>
      <w:r>
        <w:rPr>
          <w:rtl/>
        </w:rPr>
        <w:t xml:space="preserve"> </w:t>
      </w:r>
      <w:r>
        <w:rPr>
          <w:rFonts w:hint="cs"/>
          <w:rtl/>
        </w:rPr>
        <w:t xml:space="preserve">הגדולות שבהן כוללות משיכת דיבידנדים מחברות ממשלתיות, </w:t>
      </w:r>
      <w:r w:rsidR="00B406D5">
        <w:rPr>
          <w:rFonts w:hint="cs"/>
          <w:rtl/>
        </w:rPr>
        <w:t xml:space="preserve">ומיסוי זמני של </w:t>
      </w:r>
      <w:r>
        <w:rPr>
          <w:rFonts w:hint="cs"/>
          <w:rtl/>
        </w:rPr>
        <w:t xml:space="preserve">דמי הבראה </w:t>
      </w:r>
      <w:r w:rsidR="008A1A71">
        <w:rPr>
          <w:rFonts w:hint="cs"/>
          <w:rtl/>
        </w:rPr>
        <w:t xml:space="preserve">לעובדים </w:t>
      </w:r>
      <w:r w:rsidR="00B406D5">
        <w:rPr>
          <w:rFonts w:hint="cs"/>
          <w:rtl/>
        </w:rPr>
        <w:t>ו</w:t>
      </w:r>
      <w:r>
        <w:rPr>
          <w:rFonts w:hint="cs"/>
          <w:rtl/>
        </w:rPr>
        <w:t xml:space="preserve">של המערכת הבנקאית.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779"/>
    <w:multiLevelType w:val="hybridMultilevel"/>
    <w:tmpl w:val="71D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52EEB"/>
    <w:multiLevelType w:val="hybridMultilevel"/>
    <w:tmpl w:val="606A40E0"/>
    <w:lvl w:ilvl="0" w:tplc="2BE8CFF8">
      <w:start w:val="1"/>
      <w:numFmt w:val="bullet"/>
      <w:lvlText w:val="•"/>
      <w:lvlJc w:val="left"/>
      <w:pPr>
        <w:tabs>
          <w:tab w:val="num" w:pos="720"/>
        </w:tabs>
        <w:ind w:left="720" w:hanging="360"/>
      </w:pPr>
      <w:rPr>
        <w:rFonts w:ascii="Arial" w:hAnsi="Arial" w:hint="default"/>
      </w:rPr>
    </w:lvl>
    <w:lvl w:ilvl="1" w:tplc="0B8A09B2" w:tentative="1">
      <w:start w:val="1"/>
      <w:numFmt w:val="bullet"/>
      <w:lvlText w:val="•"/>
      <w:lvlJc w:val="left"/>
      <w:pPr>
        <w:tabs>
          <w:tab w:val="num" w:pos="1440"/>
        </w:tabs>
        <w:ind w:left="1440" w:hanging="360"/>
      </w:pPr>
      <w:rPr>
        <w:rFonts w:ascii="Arial" w:hAnsi="Arial" w:hint="default"/>
      </w:rPr>
    </w:lvl>
    <w:lvl w:ilvl="2" w:tplc="62829F0E" w:tentative="1">
      <w:start w:val="1"/>
      <w:numFmt w:val="bullet"/>
      <w:lvlText w:val="•"/>
      <w:lvlJc w:val="left"/>
      <w:pPr>
        <w:tabs>
          <w:tab w:val="num" w:pos="2160"/>
        </w:tabs>
        <w:ind w:left="2160" w:hanging="360"/>
      </w:pPr>
      <w:rPr>
        <w:rFonts w:ascii="Arial" w:hAnsi="Arial" w:hint="default"/>
      </w:rPr>
    </w:lvl>
    <w:lvl w:ilvl="3" w:tplc="5CA487DA" w:tentative="1">
      <w:start w:val="1"/>
      <w:numFmt w:val="bullet"/>
      <w:lvlText w:val="•"/>
      <w:lvlJc w:val="left"/>
      <w:pPr>
        <w:tabs>
          <w:tab w:val="num" w:pos="2880"/>
        </w:tabs>
        <w:ind w:left="2880" w:hanging="360"/>
      </w:pPr>
      <w:rPr>
        <w:rFonts w:ascii="Arial" w:hAnsi="Arial" w:hint="default"/>
      </w:rPr>
    </w:lvl>
    <w:lvl w:ilvl="4" w:tplc="280E071E" w:tentative="1">
      <w:start w:val="1"/>
      <w:numFmt w:val="bullet"/>
      <w:lvlText w:val="•"/>
      <w:lvlJc w:val="left"/>
      <w:pPr>
        <w:tabs>
          <w:tab w:val="num" w:pos="3600"/>
        </w:tabs>
        <w:ind w:left="3600" w:hanging="360"/>
      </w:pPr>
      <w:rPr>
        <w:rFonts w:ascii="Arial" w:hAnsi="Arial" w:hint="default"/>
      </w:rPr>
    </w:lvl>
    <w:lvl w:ilvl="5" w:tplc="84C4E618" w:tentative="1">
      <w:start w:val="1"/>
      <w:numFmt w:val="bullet"/>
      <w:lvlText w:val="•"/>
      <w:lvlJc w:val="left"/>
      <w:pPr>
        <w:tabs>
          <w:tab w:val="num" w:pos="4320"/>
        </w:tabs>
        <w:ind w:left="4320" w:hanging="360"/>
      </w:pPr>
      <w:rPr>
        <w:rFonts w:ascii="Arial" w:hAnsi="Arial" w:hint="default"/>
      </w:rPr>
    </w:lvl>
    <w:lvl w:ilvl="6" w:tplc="D4DA3CDA" w:tentative="1">
      <w:start w:val="1"/>
      <w:numFmt w:val="bullet"/>
      <w:lvlText w:val="•"/>
      <w:lvlJc w:val="left"/>
      <w:pPr>
        <w:tabs>
          <w:tab w:val="num" w:pos="5040"/>
        </w:tabs>
        <w:ind w:left="5040" w:hanging="360"/>
      </w:pPr>
      <w:rPr>
        <w:rFonts w:ascii="Arial" w:hAnsi="Arial" w:hint="default"/>
      </w:rPr>
    </w:lvl>
    <w:lvl w:ilvl="7" w:tplc="CFEE6846" w:tentative="1">
      <w:start w:val="1"/>
      <w:numFmt w:val="bullet"/>
      <w:lvlText w:val="•"/>
      <w:lvlJc w:val="left"/>
      <w:pPr>
        <w:tabs>
          <w:tab w:val="num" w:pos="5760"/>
        </w:tabs>
        <w:ind w:left="5760" w:hanging="360"/>
      </w:pPr>
      <w:rPr>
        <w:rFonts w:ascii="Arial" w:hAnsi="Arial" w:hint="default"/>
      </w:rPr>
    </w:lvl>
    <w:lvl w:ilvl="8" w:tplc="A18031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42543E"/>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15:restartNumberingAfterBreak="0">
    <w:nsid w:val="2B1F0AC6"/>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B10071"/>
    <w:multiLevelType w:val="hybridMultilevel"/>
    <w:tmpl w:val="3DE8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14135"/>
    <w:multiLevelType w:val="hybridMultilevel"/>
    <w:tmpl w:val="79B21FE0"/>
    <w:lvl w:ilvl="0" w:tplc="24448BC0">
      <w:start w:val="1"/>
      <w:numFmt w:val="bullet"/>
      <w:lvlText w:val="•"/>
      <w:lvlJc w:val="left"/>
      <w:pPr>
        <w:tabs>
          <w:tab w:val="num" w:pos="720"/>
        </w:tabs>
        <w:ind w:left="720" w:hanging="360"/>
      </w:pPr>
      <w:rPr>
        <w:rFonts w:ascii="Arial" w:hAnsi="Arial" w:hint="default"/>
      </w:rPr>
    </w:lvl>
    <w:lvl w:ilvl="1" w:tplc="C5584D9E" w:tentative="1">
      <w:start w:val="1"/>
      <w:numFmt w:val="bullet"/>
      <w:lvlText w:val="•"/>
      <w:lvlJc w:val="left"/>
      <w:pPr>
        <w:tabs>
          <w:tab w:val="num" w:pos="1440"/>
        </w:tabs>
        <w:ind w:left="1440" w:hanging="360"/>
      </w:pPr>
      <w:rPr>
        <w:rFonts w:ascii="Arial" w:hAnsi="Arial" w:hint="default"/>
      </w:rPr>
    </w:lvl>
    <w:lvl w:ilvl="2" w:tplc="4046138A" w:tentative="1">
      <w:start w:val="1"/>
      <w:numFmt w:val="bullet"/>
      <w:lvlText w:val="•"/>
      <w:lvlJc w:val="left"/>
      <w:pPr>
        <w:tabs>
          <w:tab w:val="num" w:pos="2160"/>
        </w:tabs>
        <w:ind w:left="2160" w:hanging="360"/>
      </w:pPr>
      <w:rPr>
        <w:rFonts w:ascii="Arial" w:hAnsi="Arial" w:hint="default"/>
      </w:rPr>
    </w:lvl>
    <w:lvl w:ilvl="3" w:tplc="149E6F2A" w:tentative="1">
      <w:start w:val="1"/>
      <w:numFmt w:val="bullet"/>
      <w:lvlText w:val="•"/>
      <w:lvlJc w:val="left"/>
      <w:pPr>
        <w:tabs>
          <w:tab w:val="num" w:pos="2880"/>
        </w:tabs>
        <w:ind w:left="2880" w:hanging="360"/>
      </w:pPr>
      <w:rPr>
        <w:rFonts w:ascii="Arial" w:hAnsi="Arial" w:hint="default"/>
      </w:rPr>
    </w:lvl>
    <w:lvl w:ilvl="4" w:tplc="327660BE" w:tentative="1">
      <w:start w:val="1"/>
      <w:numFmt w:val="bullet"/>
      <w:lvlText w:val="•"/>
      <w:lvlJc w:val="left"/>
      <w:pPr>
        <w:tabs>
          <w:tab w:val="num" w:pos="3600"/>
        </w:tabs>
        <w:ind w:left="3600" w:hanging="360"/>
      </w:pPr>
      <w:rPr>
        <w:rFonts w:ascii="Arial" w:hAnsi="Arial" w:hint="default"/>
      </w:rPr>
    </w:lvl>
    <w:lvl w:ilvl="5" w:tplc="AE8EF01E" w:tentative="1">
      <w:start w:val="1"/>
      <w:numFmt w:val="bullet"/>
      <w:lvlText w:val="•"/>
      <w:lvlJc w:val="left"/>
      <w:pPr>
        <w:tabs>
          <w:tab w:val="num" w:pos="4320"/>
        </w:tabs>
        <w:ind w:left="4320" w:hanging="360"/>
      </w:pPr>
      <w:rPr>
        <w:rFonts w:ascii="Arial" w:hAnsi="Arial" w:hint="default"/>
      </w:rPr>
    </w:lvl>
    <w:lvl w:ilvl="6" w:tplc="5DC4A6FA" w:tentative="1">
      <w:start w:val="1"/>
      <w:numFmt w:val="bullet"/>
      <w:lvlText w:val="•"/>
      <w:lvlJc w:val="left"/>
      <w:pPr>
        <w:tabs>
          <w:tab w:val="num" w:pos="5040"/>
        </w:tabs>
        <w:ind w:left="5040" w:hanging="360"/>
      </w:pPr>
      <w:rPr>
        <w:rFonts w:ascii="Arial" w:hAnsi="Arial" w:hint="default"/>
      </w:rPr>
    </w:lvl>
    <w:lvl w:ilvl="7" w:tplc="5E18154E" w:tentative="1">
      <w:start w:val="1"/>
      <w:numFmt w:val="bullet"/>
      <w:lvlText w:val="•"/>
      <w:lvlJc w:val="left"/>
      <w:pPr>
        <w:tabs>
          <w:tab w:val="num" w:pos="5760"/>
        </w:tabs>
        <w:ind w:left="5760" w:hanging="360"/>
      </w:pPr>
      <w:rPr>
        <w:rFonts w:ascii="Arial" w:hAnsi="Arial" w:hint="default"/>
      </w:rPr>
    </w:lvl>
    <w:lvl w:ilvl="8" w:tplc="D20A5F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91493A"/>
    <w:multiLevelType w:val="hybridMultilevel"/>
    <w:tmpl w:val="B156C040"/>
    <w:lvl w:ilvl="0" w:tplc="26CCA3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01312"/>
    <w:multiLevelType w:val="hybridMultilevel"/>
    <w:tmpl w:val="92741338"/>
    <w:lvl w:ilvl="0" w:tplc="AF560170">
      <w:start w:val="1"/>
      <w:numFmt w:val="hebrew1"/>
      <w:pStyle w:val="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F4B4E"/>
    <w:multiLevelType w:val="hybridMultilevel"/>
    <w:tmpl w:val="0D98E67C"/>
    <w:lvl w:ilvl="0" w:tplc="A656BCE6">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1182A"/>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880D8D"/>
    <w:multiLevelType w:val="hybridMultilevel"/>
    <w:tmpl w:val="0EBC955C"/>
    <w:lvl w:ilvl="0" w:tplc="52781684">
      <w:start w:val="1"/>
      <w:numFmt w:val="bullet"/>
      <w:lvlText w:val=""/>
      <w:lvlJc w:val="left"/>
      <w:pPr>
        <w:tabs>
          <w:tab w:val="num" w:pos="720"/>
        </w:tabs>
        <w:ind w:left="720" w:hanging="360"/>
      </w:pPr>
      <w:rPr>
        <w:rFonts w:ascii="Wingdings" w:hAnsi="Wingdings" w:hint="default"/>
      </w:rPr>
    </w:lvl>
    <w:lvl w:ilvl="1" w:tplc="4694F5E0" w:tentative="1">
      <w:start w:val="1"/>
      <w:numFmt w:val="bullet"/>
      <w:lvlText w:val=""/>
      <w:lvlJc w:val="left"/>
      <w:pPr>
        <w:tabs>
          <w:tab w:val="num" w:pos="1440"/>
        </w:tabs>
        <w:ind w:left="1440" w:hanging="360"/>
      </w:pPr>
      <w:rPr>
        <w:rFonts w:ascii="Wingdings" w:hAnsi="Wingdings" w:hint="default"/>
      </w:rPr>
    </w:lvl>
    <w:lvl w:ilvl="2" w:tplc="3E1E5FC0" w:tentative="1">
      <w:start w:val="1"/>
      <w:numFmt w:val="bullet"/>
      <w:lvlText w:val=""/>
      <w:lvlJc w:val="left"/>
      <w:pPr>
        <w:tabs>
          <w:tab w:val="num" w:pos="2160"/>
        </w:tabs>
        <w:ind w:left="2160" w:hanging="360"/>
      </w:pPr>
      <w:rPr>
        <w:rFonts w:ascii="Wingdings" w:hAnsi="Wingdings" w:hint="default"/>
      </w:rPr>
    </w:lvl>
    <w:lvl w:ilvl="3" w:tplc="A520394C" w:tentative="1">
      <w:start w:val="1"/>
      <w:numFmt w:val="bullet"/>
      <w:lvlText w:val=""/>
      <w:lvlJc w:val="left"/>
      <w:pPr>
        <w:tabs>
          <w:tab w:val="num" w:pos="2880"/>
        </w:tabs>
        <w:ind w:left="2880" w:hanging="360"/>
      </w:pPr>
      <w:rPr>
        <w:rFonts w:ascii="Wingdings" w:hAnsi="Wingdings" w:hint="default"/>
      </w:rPr>
    </w:lvl>
    <w:lvl w:ilvl="4" w:tplc="61D49950" w:tentative="1">
      <w:start w:val="1"/>
      <w:numFmt w:val="bullet"/>
      <w:lvlText w:val=""/>
      <w:lvlJc w:val="left"/>
      <w:pPr>
        <w:tabs>
          <w:tab w:val="num" w:pos="3600"/>
        </w:tabs>
        <w:ind w:left="3600" w:hanging="360"/>
      </w:pPr>
      <w:rPr>
        <w:rFonts w:ascii="Wingdings" w:hAnsi="Wingdings" w:hint="default"/>
      </w:rPr>
    </w:lvl>
    <w:lvl w:ilvl="5" w:tplc="3E5EFFF8" w:tentative="1">
      <w:start w:val="1"/>
      <w:numFmt w:val="bullet"/>
      <w:lvlText w:val=""/>
      <w:lvlJc w:val="left"/>
      <w:pPr>
        <w:tabs>
          <w:tab w:val="num" w:pos="4320"/>
        </w:tabs>
        <w:ind w:left="4320" w:hanging="360"/>
      </w:pPr>
      <w:rPr>
        <w:rFonts w:ascii="Wingdings" w:hAnsi="Wingdings" w:hint="default"/>
      </w:rPr>
    </w:lvl>
    <w:lvl w:ilvl="6" w:tplc="81CA9148" w:tentative="1">
      <w:start w:val="1"/>
      <w:numFmt w:val="bullet"/>
      <w:lvlText w:val=""/>
      <w:lvlJc w:val="left"/>
      <w:pPr>
        <w:tabs>
          <w:tab w:val="num" w:pos="5040"/>
        </w:tabs>
        <w:ind w:left="5040" w:hanging="360"/>
      </w:pPr>
      <w:rPr>
        <w:rFonts w:ascii="Wingdings" w:hAnsi="Wingdings" w:hint="default"/>
      </w:rPr>
    </w:lvl>
    <w:lvl w:ilvl="7" w:tplc="1B2A5C36" w:tentative="1">
      <w:start w:val="1"/>
      <w:numFmt w:val="bullet"/>
      <w:lvlText w:val=""/>
      <w:lvlJc w:val="left"/>
      <w:pPr>
        <w:tabs>
          <w:tab w:val="num" w:pos="5760"/>
        </w:tabs>
        <w:ind w:left="5760" w:hanging="360"/>
      </w:pPr>
      <w:rPr>
        <w:rFonts w:ascii="Wingdings" w:hAnsi="Wingdings" w:hint="default"/>
      </w:rPr>
    </w:lvl>
    <w:lvl w:ilvl="8" w:tplc="ED0A5E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1"/>
  </w:num>
  <w:num w:numId="6">
    <w:abstractNumId w:val="5"/>
  </w:num>
  <w:num w:numId="7">
    <w:abstractNumId w:val="4"/>
  </w:num>
  <w:num w:numId="8">
    <w:abstractNumId w:val="6"/>
  </w:num>
  <w:num w:numId="9">
    <w:abstractNumId w:val="7"/>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DD"/>
    <w:rsid w:val="00003BF9"/>
    <w:rsid w:val="000068E0"/>
    <w:rsid w:val="0000735D"/>
    <w:rsid w:val="00007FF1"/>
    <w:rsid w:val="000105DB"/>
    <w:rsid w:val="00010A1A"/>
    <w:rsid w:val="00010B76"/>
    <w:rsid w:val="00012770"/>
    <w:rsid w:val="000128C4"/>
    <w:rsid w:val="00012A0F"/>
    <w:rsid w:val="00013915"/>
    <w:rsid w:val="00013CBE"/>
    <w:rsid w:val="000140A1"/>
    <w:rsid w:val="0001410B"/>
    <w:rsid w:val="00014482"/>
    <w:rsid w:val="00014671"/>
    <w:rsid w:val="00015362"/>
    <w:rsid w:val="00015441"/>
    <w:rsid w:val="0001548A"/>
    <w:rsid w:val="000158A4"/>
    <w:rsid w:val="00017721"/>
    <w:rsid w:val="00017851"/>
    <w:rsid w:val="00017EFE"/>
    <w:rsid w:val="000212A4"/>
    <w:rsid w:val="00022535"/>
    <w:rsid w:val="000257BE"/>
    <w:rsid w:val="00025840"/>
    <w:rsid w:val="00025BAC"/>
    <w:rsid w:val="000262FD"/>
    <w:rsid w:val="0003083C"/>
    <w:rsid w:val="00030942"/>
    <w:rsid w:val="000313DA"/>
    <w:rsid w:val="00032C99"/>
    <w:rsid w:val="00033DC4"/>
    <w:rsid w:val="0003499A"/>
    <w:rsid w:val="00034CD4"/>
    <w:rsid w:val="00036836"/>
    <w:rsid w:val="00040971"/>
    <w:rsid w:val="000415D1"/>
    <w:rsid w:val="00041D77"/>
    <w:rsid w:val="0004226C"/>
    <w:rsid w:val="0004294A"/>
    <w:rsid w:val="00043DA5"/>
    <w:rsid w:val="000445E4"/>
    <w:rsid w:val="000447A2"/>
    <w:rsid w:val="00044FB3"/>
    <w:rsid w:val="000452DE"/>
    <w:rsid w:val="000470AB"/>
    <w:rsid w:val="00054A7E"/>
    <w:rsid w:val="00054B8E"/>
    <w:rsid w:val="00054D64"/>
    <w:rsid w:val="00055A8E"/>
    <w:rsid w:val="00056509"/>
    <w:rsid w:val="0006073C"/>
    <w:rsid w:val="00062EAF"/>
    <w:rsid w:val="00065EC0"/>
    <w:rsid w:val="00067100"/>
    <w:rsid w:val="000673EB"/>
    <w:rsid w:val="00067AA9"/>
    <w:rsid w:val="000708EC"/>
    <w:rsid w:val="00070AA2"/>
    <w:rsid w:val="0007215C"/>
    <w:rsid w:val="000745EE"/>
    <w:rsid w:val="00074ECD"/>
    <w:rsid w:val="000755D5"/>
    <w:rsid w:val="000762F0"/>
    <w:rsid w:val="00077396"/>
    <w:rsid w:val="00082E87"/>
    <w:rsid w:val="0008540A"/>
    <w:rsid w:val="00085837"/>
    <w:rsid w:val="000859EA"/>
    <w:rsid w:val="00086742"/>
    <w:rsid w:val="000867F7"/>
    <w:rsid w:val="00092791"/>
    <w:rsid w:val="0009311A"/>
    <w:rsid w:val="000935EE"/>
    <w:rsid w:val="0009452A"/>
    <w:rsid w:val="0009461B"/>
    <w:rsid w:val="00095FA6"/>
    <w:rsid w:val="000968B9"/>
    <w:rsid w:val="00096ADD"/>
    <w:rsid w:val="00096F65"/>
    <w:rsid w:val="000A01A6"/>
    <w:rsid w:val="000A1B1E"/>
    <w:rsid w:val="000A2727"/>
    <w:rsid w:val="000A2AAD"/>
    <w:rsid w:val="000A5003"/>
    <w:rsid w:val="000A6550"/>
    <w:rsid w:val="000B0206"/>
    <w:rsid w:val="000B3B04"/>
    <w:rsid w:val="000B473B"/>
    <w:rsid w:val="000B5619"/>
    <w:rsid w:val="000B5696"/>
    <w:rsid w:val="000B58F8"/>
    <w:rsid w:val="000B60B3"/>
    <w:rsid w:val="000B6DF5"/>
    <w:rsid w:val="000C0301"/>
    <w:rsid w:val="000C0B04"/>
    <w:rsid w:val="000C11E4"/>
    <w:rsid w:val="000C19F1"/>
    <w:rsid w:val="000C5153"/>
    <w:rsid w:val="000C534D"/>
    <w:rsid w:val="000C538C"/>
    <w:rsid w:val="000C689C"/>
    <w:rsid w:val="000C77FE"/>
    <w:rsid w:val="000C7C73"/>
    <w:rsid w:val="000D0802"/>
    <w:rsid w:val="000D237D"/>
    <w:rsid w:val="000D2878"/>
    <w:rsid w:val="000D29F8"/>
    <w:rsid w:val="000D47DD"/>
    <w:rsid w:val="000D4B60"/>
    <w:rsid w:val="000D4DCC"/>
    <w:rsid w:val="000D4FC3"/>
    <w:rsid w:val="000D6502"/>
    <w:rsid w:val="000D6FB4"/>
    <w:rsid w:val="000D7DD6"/>
    <w:rsid w:val="000E0089"/>
    <w:rsid w:val="000E4249"/>
    <w:rsid w:val="000E5174"/>
    <w:rsid w:val="000E69AF"/>
    <w:rsid w:val="000F0E4C"/>
    <w:rsid w:val="000F17FB"/>
    <w:rsid w:val="000F39B8"/>
    <w:rsid w:val="000F3A26"/>
    <w:rsid w:val="000F6745"/>
    <w:rsid w:val="000F69F9"/>
    <w:rsid w:val="000F7C42"/>
    <w:rsid w:val="00101D7A"/>
    <w:rsid w:val="001051A0"/>
    <w:rsid w:val="00105616"/>
    <w:rsid w:val="00110528"/>
    <w:rsid w:val="001117B5"/>
    <w:rsid w:val="00111D8F"/>
    <w:rsid w:val="001144BD"/>
    <w:rsid w:val="001159E6"/>
    <w:rsid w:val="00117332"/>
    <w:rsid w:val="001176D1"/>
    <w:rsid w:val="001200AB"/>
    <w:rsid w:val="00122671"/>
    <w:rsid w:val="00124B07"/>
    <w:rsid w:val="001268A3"/>
    <w:rsid w:val="0013035F"/>
    <w:rsid w:val="00130E3C"/>
    <w:rsid w:val="001314C5"/>
    <w:rsid w:val="00132753"/>
    <w:rsid w:val="00133B32"/>
    <w:rsid w:val="0013425B"/>
    <w:rsid w:val="001347E8"/>
    <w:rsid w:val="001358FB"/>
    <w:rsid w:val="001420AD"/>
    <w:rsid w:val="00143ED4"/>
    <w:rsid w:val="00144A95"/>
    <w:rsid w:val="00146C52"/>
    <w:rsid w:val="001475E5"/>
    <w:rsid w:val="001500FF"/>
    <w:rsid w:val="00150315"/>
    <w:rsid w:val="00150D3D"/>
    <w:rsid w:val="0015263E"/>
    <w:rsid w:val="00152F61"/>
    <w:rsid w:val="00154401"/>
    <w:rsid w:val="001550CC"/>
    <w:rsid w:val="00155C82"/>
    <w:rsid w:val="00157BF3"/>
    <w:rsid w:val="00163C33"/>
    <w:rsid w:val="001649ED"/>
    <w:rsid w:val="00165837"/>
    <w:rsid w:val="00167735"/>
    <w:rsid w:val="00170AFB"/>
    <w:rsid w:val="00171678"/>
    <w:rsid w:val="001719A0"/>
    <w:rsid w:val="0017281C"/>
    <w:rsid w:val="00173067"/>
    <w:rsid w:val="00176724"/>
    <w:rsid w:val="00176A2E"/>
    <w:rsid w:val="0018075E"/>
    <w:rsid w:val="00180DC9"/>
    <w:rsid w:val="0018118A"/>
    <w:rsid w:val="0018141F"/>
    <w:rsid w:val="001815FD"/>
    <w:rsid w:val="001821F0"/>
    <w:rsid w:val="001833B6"/>
    <w:rsid w:val="001903F5"/>
    <w:rsid w:val="00191669"/>
    <w:rsid w:val="00192453"/>
    <w:rsid w:val="00193186"/>
    <w:rsid w:val="00193D57"/>
    <w:rsid w:val="00193E4E"/>
    <w:rsid w:val="0019583F"/>
    <w:rsid w:val="00195AAA"/>
    <w:rsid w:val="0019656F"/>
    <w:rsid w:val="001A0240"/>
    <w:rsid w:val="001A02AE"/>
    <w:rsid w:val="001A1544"/>
    <w:rsid w:val="001A20FB"/>
    <w:rsid w:val="001A40FC"/>
    <w:rsid w:val="001A5266"/>
    <w:rsid w:val="001B17B9"/>
    <w:rsid w:val="001B39D0"/>
    <w:rsid w:val="001B3D16"/>
    <w:rsid w:val="001B4D0A"/>
    <w:rsid w:val="001B6940"/>
    <w:rsid w:val="001B719D"/>
    <w:rsid w:val="001B7292"/>
    <w:rsid w:val="001B7808"/>
    <w:rsid w:val="001C0757"/>
    <w:rsid w:val="001C1D05"/>
    <w:rsid w:val="001C1E1D"/>
    <w:rsid w:val="001C2B37"/>
    <w:rsid w:val="001C45BD"/>
    <w:rsid w:val="001C47C8"/>
    <w:rsid w:val="001C5E76"/>
    <w:rsid w:val="001C6A74"/>
    <w:rsid w:val="001C76DE"/>
    <w:rsid w:val="001C7879"/>
    <w:rsid w:val="001D0D81"/>
    <w:rsid w:val="001D1A64"/>
    <w:rsid w:val="001D239A"/>
    <w:rsid w:val="001D3322"/>
    <w:rsid w:val="001D42FA"/>
    <w:rsid w:val="001D5AC0"/>
    <w:rsid w:val="001D5F16"/>
    <w:rsid w:val="001D7178"/>
    <w:rsid w:val="001E0411"/>
    <w:rsid w:val="001E051E"/>
    <w:rsid w:val="001E08D0"/>
    <w:rsid w:val="001E0C4B"/>
    <w:rsid w:val="001E324D"/>
    <w:rsid w:val="001E758C"/>
    <w:rsid w:val="001E79B3"/>
    <w:rsid w:val="001F0108"/>
    <w:rsid w:val="001F0FC3"/>
    <w:rsid w:val="001F10AD"/>
    <w:rsid w:val="001F1F21"/>
    <w:rsid w:val="001F34DF"/>
    <w:rsid w:val="001F5B92"/>
    <w:rsid w:val="001F7D01"/>
    <w:rsid w:val="001F7E2B"/>
    <w:rsid w:val="002018FB"/>
    <w:rsid w:val="0020252E"/>
    <w:rsid w:val="002034BD"/>
    <w:rsid w:val="002053EB"/>
    <w:rsid w:val="0021202B"/>
    <w:rsid w:val="00213F5E"/>
    <w:rsid w:val="0021472D"/>
    <w:rsid w:val="00215275"/>
    <w:rsid w:val="0021595C"/>
    <w:rsid w:val="002169A4"/>
    <w:rsid w:val="00217B7E"/>
    <w:rsid w:val="00220023"/>
    <w:rsid w:val="00221AFB"/>
    <w:rsid w:val="00221B34"/>
    <w:rsid w:val="00223474"/>
    <w:rsid w:val="002242D8"/>
    <w:rsid w:val="0022586C"/>
    <w:rsid w:val="00226794"/>
    <w:rsid w:val="0022714E"/>
    <w:rsid w:val="002273CE"/>
    <w:rsid w:val="002307B5"/>
    <w:rsid w:val="002311A2"/>
    <w:rsid w:val="00232498"/>
    <w:rsid w:val="002334F9"/>
    <w:rsid w:val="002339D3"/>
    <w:rsid w:val="00234C56"/>
    <w:rsid w:val="002353C4"/>
    <w:rsid w:val="00236DAC"/>
    <w:rsid w:val="00237A13"/>
    <w:rsid w:val="00241C40"/>
    <w:rsid w:val="00243AC3"/>
    <w:rsid w:val="002445CA"/>
    <w:rsid w:val="00244886"/>
    <w:rsid w:val="00244AEA"/>
    <w:rsid w:val="002452EC"/>
    <w:rsid w:val="00245574"/>
    <w:rsid w:val="00251690"/>
    <w:rsid w:val="00257CF1"/>
    <w:rsid w:val="0026071E"/>
    <w:rsid w:val="00260A4C"/>
    <w:rsid w:val="00263190"/>
    <w:rsid w:val="002631D1"/>
    <w:rsid w:val="002632B5"/>
    <w:rsid w:val="00263D5A"/>
    <w:rsid w:val="0026430D"/>
    <w:rsid w:val="00264718"/>
    <w:rsid w:val="00264C50"/>
    <w:rsid w:val="0026727B"/>
    <w:rsid w:val="00267439"/>
    <w:rsid w:val="002710CE"/>
    <w:rsid w:val="00272036"/>
    <w:rsid w:val="002757E1"/>
    <w:rsid w:val="00276CBE"/>
    <w:rsid w:val="00280159"/>
    <w:rsid w:val="002819E1"/>
    <w:rsid w:val="00281C96"/>
    <w:rsid w:val="00282A45"/>
    <w:rsid w:val="002861E0"/>
    <w:rsid w:val="00286475"/>
    <w:rsid w:val="00286EFF"/>
    <w:rsid w:val="0028734E"/>
    <w:rsid w:val="00287F40"/>
    <w:rsid w:val="0029108E"/>
    <w:rsid w:val="002924F8"/>
    <w:rsid w:val="00292B85"/>
    <w:rsid w:val="002932E2"/>
    <w:rsid w:val="00293BB8"/>
    <w:rsid w:val="00293F9A"/>
    <w:rsid w:val="002A2351"/>
    <w:rsid w:val="002A30ED"/>
    <w:rsid w:val="002A5586"/>
    <w:rsid w:val="002A5928"/>
    <w:rsid w:val="002A713A"/>
    <w:rsid w:val="002B1436"/>
    <w:rsid w:val="002B3DEA"/>
    <w:rsid w:val="002B4557"/>
    <w:rsid w:val="002B587C"/>
    <w:rsid w:val="002B5F95"/>
    <w:rsid w:val="002B6066"/>
    <w:rsid w:val="002B7B3A"/>
    <w:rsid w:val="002C05DF"/>
    <w:rsid w:val="002C065A"/>
    <w:rsid w:val="002C12DE"/>
    <w:rsid w:val="002C1D27"/>
    <w:rsid w:val="002C7EA3"/>
    <w:rsid w:val="002D0BB4"/>
    <w:rsid w:val="002D105E"/>
    <w:rsid w:val="002D1BB8"/>
    <w:rsid w:val="002D5271"/>
    <w:rsid w:val="002E1040"/>
    <w:rsid w:val="002E1A40"/>
    <w:rsid w:val="002E316C"/>
    <w:rsid w:val="002E3377"/>
    <w:rsid w:val="002F0052"/>
    <w:rsid w:val="002F00E8"/>
    <w:rsid w:val="002F0D08"/>
    <w:rsid w:val="002F110F"/>
    <w:rsid w:val="002F2250"/>
    <w:rsid w:val="002F25A2"/>
    <w:rsid w:val="002F29C7"/>
    <w:rsid w:val="002F3141"/>
    <w:rsid w:val="002F3A66"/>
    <w:rsid w:val="002F4E49"/>
    <w:rsid w:val="002F5EBE"/>
    <w:rsid w:val="002F6FFF"/>
    <w:rsid w:val="002F77A4"/>
    <w:rsid w:val="0030255D"/>
    <w:rsid w:val="00303E52"/>
    <w:rsid w:val="00304DFB"/>
    <w:rsid w:val="00306B84"/>
    <w:rsid w:val="0030729B"/>
    <w:rsid w:val="00307801"/>
    <w:rsid w:val="0031113C"/>
    <w:rsid w:val="00312603"/>
    <w:rsid w:val="0031343B"/>
    <w:rsid w:val="00315C97"/>
    <w:rsid w:val="00316DDC"/>
    <w:rsid w:val="003173E6"/>
    <w:rsid w:val="00323289"/>
    <w:rsid w:val="003274F3"/>
    <w:rsid w:val="00327728"/>
    <w:rsid w:val="00327A45"/>
    <w:rsid w:val="0033327F"/>
    <w:rsid w:val="0033506D"/>
    <w:rsid w:val="00335826"/>
    <w:rsid w:val="00335955"/>
    <w:rsid w:val="003360FF"/>
    <w:rsid w:val="0033619A"/>
    <w:rsid w:val="00337410"/>
    <w:rsid w:val="00337C55"/>
    <w:rsid w:val="00340038"/>
    <w:rsid w:val="00341759"/>
    <w:rsid w:val="00341DF7"/>
    <w:rsid w:val="00343198"/>
    <w:rsid w:val="0034469C"/>
    <w:rsid w:val="00345189"/>
    <w:rsid w:val="0034582B"/>
    <w:rsid w:val="00350563"/>
    <w:rsid w:val="00350BA7"/>
    <w:rsid w:val="00350FB8"/>
    <w:rsid w:val="00351CE5"/>
    <w:rsid w:val="003543AE"/>
    <w:rsid w:val="00355639"/>
    <w:rsid w:val="00355EB1"/>
    <w:rsid w:val="003624AB"/>
    <w:rsid w:val="003640D4"/>
    <w:rsid w:val="003651E3"/>
    <w:rsid w:val="00365460"/>
    <w:rsid w:val="00365506"/>
    <w:rsid w:val="00365AAC"/>
    <w:rsid w:val="00366339"/>
    <w:rsid w:val="00367741"/>
    <w:rsid w:val="00371F33"/>
    <w:rsid w:val="00372E78"/>
    <w:rsid w:val="003732FA"/>
    <w:rsid w:val="00373624"/>
    <w:rsid w:val="003745EA"/>
    <w:rsid w:val="0037526C"/>
    <w:rsid w:val="003766A8"/>
    <w:rsid w:val="00376A5D"/>
    <w:rsid w:val="00376B00"/>
    <w:rsid w:val="0038049A"/>
    <w:rsid w:val="00380DE8"/>
    <w:rsid w:val="00381932"/>
    <w:rsid w:val="00382F39"/>
    <w:rsid w:val="00383148"/>
    <w:rsid w:val="00383329"/>
    <w:rsid w:val="00390F27"/>
    <w:rsid w:val="00396AEF"/>
    <w:rsid w:val="00396E2F"/>
    <w:rsid w:val="00397F63"/>
    <w:rsid w:val="003A0896"/>
    <w:rsid w:val="003A0CD9"/>
    <w:rsid w:val="003A124E"/>
    <w:rsid w:val="003A2A0F"/>
    <w:rsid w:val="003A36CA"/>
    <w:rsid w:val="003A3BF9"/>
    <w:rsid w:val="003A3C31"/>
    <w:rsid w:val="003A4C5D"/>
    <w:rsid w:val="003A588B"/>
    <w:rsid w:val="003A5BC1"/>
    <w:rsid w:val="003A6331"/>
    <w:rsid w:val="003A7E80"/>
    <w:rsid w:val="003B0C32"/>
    <w:rsid w:val="003B2D4B"/>
    <w:rsid w:val="003B4B53"/>
    <w:rsid w:val="003B5362"/>
    <w:rsid w:val="003B62F9"/>
    <w:rsid w:val="003B6751"/>
    <w:rsid w:val="003B7B44"/>
    <w:rsid w:val="003C1488"/>
    <w:rsid w:val="003C2650"/>
    <w:rsid w:val="003C2DE9"/>
    <w:rsid w:val="003C33E7"/>
    <w:rsid w:val="003C478C"/>
    <w:rsid w:val="003C58CE"/>
    <w:rsid w:val="003C6C39"/>
    <w:rsid w:val="003C6E73"/>
    <w:rsid w:val="003C7EBC"/>
    <w:rsid w:val="003D0100"/>
    <w:rsid w:val="003D0AED"/>
    <w:rsid w:val="003D25DD"/>
    <w:rsid w:val="003D3956"/>
    <w:rsid w:val="003D6CE2"/>
    <w:rsid w:val="003E0F39"/>
    <w:rsid w:val="003E14C2"/>
    <w:rsid w:val="003E2DF1"/>
    <w:rsid w:val="003E5059"/>
    <w:rsid w:val="003E5AE8"/>
    <w:rsid w:val="003E6A91"/>
    <w:rsid w:val="003E7653"/>
    <w:rsid w:val="003E7B78"/>
    <w:rsid w:val="003F31F6"/>
    <w:rsid w:val="003F5CAB"/>
    <w:rsid w:val="003F73A6"/>
    <w:rsid w:val="0040135F"/>
    <w:rsid w:val="00402038"/>
    <w:rsid w:val="00403216"/>
    <w:rsid w:val="004052CC"/>
    <w:rsid w:val="00406545"/>
    <w:rsid w:val="00406B00"/>
    <w:rsid w:val="00410C67"/>
    <w:rsid w:val="0041290A"/>
    <w:rsid w:val="00413A72"/>
    <w:rsid w:val="00413F44"/>
    <w:rsid w:val="004147F2"/>
    <w:rsid w:val="00414F4F"/>
    <w:rsid w:val="0041600E"/>
    <w:rsid w:val="0041677C"/>
    <w:rsid w:val="00420C53"/>
    <w:rsid w:val="004219D5"/>
    <w:rsid w:val="00423299"/>
    <w:rsid w:val="0042559D"/>
    <w:rsid w:val="00426231"/>
    <w:rsid w:val="0042647D"/>
    <w:rsid w:val="00427420"/>
    <w:rsid w:val="004306DE"/>
    <w:rsid w:val="004316BD"/>
    <w:rsid w:val="0043206E"/>
    <w:rsid w:val="00433379"/>
    <w:rsid w:val="004358E2"/>
    <w:rsid w:val="0043619E"/>
    <w:rsid w:val="004376E3"/>
    <w:rsid w:val="00437F72"/>
    <w:rsid w:val="00440741"/>
    <w:rsid w:val="00441F2D"/>
    <w:rsid w:val="00442969"/>
    <w:rsid w:val="00444F60"/>
    <w:rsid w:val="00445288"/>
    <w:rsid w:val="004458EC"/>
    <w:rsid w:val="00447D68"/>
    <w:rsid w:val="00452DA2"/>
    <w:rsid w:val="00454359"/>
    <w:rsid w:val="0045469A"/>
    <w:rsid w:val="00454F55"/>
    <w:rsid w:val="0045622C"/>
    <w:rsid w:val="004603E6"/>
    <w:rsid w:val="00461719"/>
    <w:rsid w:val="00463ECF"/>
    <w:rsid w:val="004644B0"/>
    <w:rsid w:val="00465CBD"/>
    <w:rsid w:val="00467AE9"/>
    <w:rsid w:val="00467AFD"/>
    <w:rsid w:val="00467FDB"/>
    <w:rsid w:val="00470459"/>
    <w:rsid w:val="00471E2A"/>
    <w:rsid w:val="00473861"/>
    <w:rsid w:val="004748E8"/>
    <w:rsid w:val="00476E30"/>
    <w:rsid w:val="00476F0E"/>
    <w:rsid w:val="0048514F"/>
    <w:rsid w:val="00486D74"/>
    <w:rsid w:val="00487B1F"/>
    <w:rsid w:val="00492A5E"/>
    <w:rsid w:val="0049713C"/>
    <w:rsid w:val="00497E0E"/>
    <w:rsid w:val="004A0499"/>
    <w:rsid w:val="004A246E"/>
    <w:rsid w:val="004A41CE"/>
    <w:rsid w:val="004A4A37"/>
    <w:rsid w:val="004A6F1A"/>
    <w:rsid w:val="004B13AC"/>
    <w:rsid w:val="004B266D"/>
    <w:rsid w:val="004B2DCD"/>
    <w:rsid w:val="004B2E27"/>
    <w:rsid w:val="004B384E"/>
    <w:rsid w:val="004B3D10"/>
    <w:rsid w:val="004B5115"/>
    <w:rsid w:val="004B54DD"/>
    <w:rsid w:val="004B56A9"/>
    <w:rsid w:val="004B578E"/>
    <w:rsid w:val="004B5EA5"/>
    <w:rsid w:val="004B7E5F"/>
    <w:rsid w:val="004C0C7D"/>
    <w:rsid w:val="004C1076"/>
    <w:rsid w:val="004C1A9C"/>
    <w:rsid w:val="004C2770"/>
    <w:rsid w:val="004C2D6F"/>
    <w:rsid w:val="004C3ED1"/>
    <w:rsid w:val="004C4864"/>
    <w:rsid w:val="004C7610"/>
    <w:rsid w:val="004D1634"/>
    <w:rsid w:val="004D486C"/>
    <w:rsid w:val="004D4BAA"/>
    <w:rsid w:val="004D7246"/>
    <w:rsid w:val="004E0101"/>
    <w:rsid w:val="004E06F7"/>
    <w:rsid w:val="004E08B1"/>
    <w:rsid w:val="004E0D63"/>
    <w:rsid w:val="004E1BA1"/>
    <w:rsid w:val="004E521B"/>
    <w:rsid w:val="004F08D7"/>
    <w:rsid w:val="004F14DA"/>
    <w:rsid w:val="004F1F25"/>
    <w:rsid w:val="004F3032"/>
    <w:rsid w:val="004F3F40"/>
    <w:rsid w:val="004F4595"/>
    <w:rsid w:val="004F5221"/>
    <w:rsid w:val="00500B27"/>
    <w:rsid w:val="00501332"/>
    <w:rsid w:val="00502E51"/>
    <w:rsid w:val="0050560C"/>
    <w:rsid w:val="00505F20"/>
    <w:rsid w:val="00510260"/>
    <w:rsid w:val="00510508"/>
    <w:rsid w:val="00515FE6"/>
    <w:rsid w:val="00516AE9"/>
    <w:rsid w:val="00517BCE"/>
    <w:rsid w:val="005202C6"/>
    <w:rsid w:val="0052216A"/>
    <w:rsid w:val="0052249C"/>
    <w:rsid w:val="00522EDD"/>
    <w:rsid w:val="0053356D"/>
    <w:rsid w:val="00533955"/>
    <w:rsid w:val="00537316"/>
    <w:rsid w:val="0053737C"/>
    <w:rsid w:val="005378F8"/>
    <w:rsid w:val="00537DE1"/>
    <w:rsid w:val="0054008A"/>
    <w:rsid w:val="0054059F"/>
    <w:rsid w:val="0054134D"/>
    <w:rsid w:val="00541635"/>
    <w:rsid w:val="00541CA6"/>
    <w:rsid w:val="0054398A"/>
    <w:rsid w:val="00543E06"/>
    <w:rsid w:val="005441FA"/>
    <w:rsid w:val="0054461F"/>
    <w:rsid w:val="00544C70"/>
    <w:rsid w:val="00544E14"/>
    <w:rsid w:val="00545014"/>
    <w:rsid w:val="00546CEA"/>
    <w:rsid w:val="005472FB"/>
    <w:rsid w:val="0055098B"/>
    <w:rsid w:val="00550ACA"/>
    <w:rsid w:val="005511F1"/>
    <w:rsid w:val="00551773"/>
    <w:rsid w:val="005535E1"/>
    <w:rsid w:val="00553654"/>
    <w:rsid w:val="005537CF"/>
    <w:rsid w:val="00553972"/>
    <w:rsid w:val="005558E7"/>
    <w:rsid w:val="005574AB"/>
    <w:rsid w:val="0055790B"/>
    <w:rsid w:val="00557CBE"/>
    <w:rsid w:val="00560675"/>
    <w:rsid w:val="005630F0"/>
    <w:rsid w:val="00567014"/>
    <w:rsid w:val="00567985"/>
    <w:rsid w:val="005679E3"/>
    <w:rsid w:val="00567CCC"/>
    <w:rsid w:val="0057071C"/>
    <w:rsid w:val="00573622"/>
    <w:rsid w:val="00573A21"/>
    <w:rsid w:val="00574112"/>
    <w:rsid w:val="0057566B"/>
    <w:rsid w:val="00575C72"/>
    <w:rsid w:val="005762E9"/>
    <w:rsid w:val="005771C7"/>
    <w:rsid w:val="00581F0A"/>
    <w:rsid w:val="0058279A"/>
    <w:rsid w:val="00586109"/>
    <w:rsid w:val="00586CE4"/>
    <w:rsid w:val="0059098E"/>
    <w:rsid w:val="00590F40"/>
    <w:rsid w:val="00591271"/>
    <w:rsid w:val="005913BA"/>
    <w:rsid w:val="00591893"/>
    <w:rsid w:val="005919F9"/>
    <w:rsid w:val="0059244F"/>
    <w:rsid w:val="0059537B"/>
    <w:rsid w:val="005964B4"/>
    <w:rsid w:val="00597143"/>
    <w:rsid w:val="005A0A93"/>
    <w:rsid w:val="005A6615"/>
    <w:rsid w:val="005B1801"/>
    <w:rsid w:val="005B33D3"/>
    <w:rsid w:val="005B355D"/>
    <w:rsid w:val="005B4214"/>
    <w:rsid w:val="005B44F6"/>
    <w:rsid w:val="005B560B"/>
    <w:rsid w:val="005B5B0F"/>
    <w:rsid w:val="005B5F62"/>
    <w:rsid w:val="005B6B14"/>
    <w:rsid w:val="005B771A"/>
    <w:rsid w:val="005B79A3"/>
    <w:rsid w:val="005B7F80"/>
    <w:rsid w:val="005C08D8"/>
    <w:rsid w:val="005C0A7D"/>
    <w:rsid w:val="005C1024"/>
    <w:rsid w:val="005C2941"/>
    <w:rsid w:val="005C2AD8"/>
    <w:rsid w:val="005C4B6C"/>
    <w:rsid w:val="005D00A1"/>
    <w:rsid w:val="005D1B1D"/>
    <w:rsid w:val="005D21CB"/>
    <w:rsid w:val="005D367E"/>
    <w:rsid w:val="005D37B0"/>
    <w:rsid w:val="005D3AC3"/>
    <w:rsid w:val="005E17F0"/>
    <w:rsid w:val="005E1DA2"/>
    <w:rsid w:val="005E404D"/>
    <w:rsid w:val="005E40B0"/>
    <w:rsid w:val="005E5EB2"/>
    <w:rsid w:val="005E6A01"/>
    <w:rsid w:val="005E7263"/>
    <w:rsid w:val="005F487B"/>
    <w:rsid w:val="005F4886"/>
    <w:rsid w:val="006012B7"/>
    <w:rsid w:val="00601A3E"/>
    <w:rsid w:val="0060236D"/>
    <w:rsid w:val="006036C9"/>
    <w:rsid w:val="00604324"/>
    <w:rsid w:val="0060584F"/>
    <w:rsid w:val="00606390"/>
    <w:rsid w:val="006068AC"/>
    <w:rsid w:val="00607051"/>
    <w:rsid w:val="006073A7"/>
    <w:rsid w:val="00607EFC"/>
    <w:rsid w:val="00611B2B"/>
    <w:rsid w:val="00612446"/>
    <w:rsid w:val="00613239"/>
    <w:rsid w:val="00613C19"/>
    <w:rsid w:val="00615A4C"/>
    <w:rsid w:val="0062006E"/>
    <w:rsid w:val="00620140"/>
    <w:rsid w:val="006213F8"/>
    <w:rsid w:val="0062164F"/>
    <w:rsid w:val="006269B4"/>
    <w:rsid w:val="006330EA"/>
    <w:rsid w:val="00634529"/>
    <w:rsid w:val="006367CB"/>
    <w:rsid w:val="00641969"/>
    <w:rsid w:val="00642A0C"/>
    <w:rsid w:val="00643144"/>
    <w:rsid w:val="006447F6"/>
    <w:rsid w:val="00644C01"/>
    <w:rsid w:val="00646CF2"/>
    <w:rsid w:val="00653AF8"/>
    <w:rsid w:val="006541F7"/>
    <w:rsid w:val="00654323"/>
    <w:rsid w:val="006546A6"/>
    <w:rsid w:val="006560AE"/>
    <w:rsid w:val="00657C22"/>
    <w:rsid w:val="006608F8"/>
    <w:rsid w:val="00661BCD"/>
    <w:rsid w:val="00664256"/>
    <w:rsid w:val="0066439E"/>
    <w:rsid w:val="006649F5"/>
    <w:rsid w:val="00666B1B"/>
    <w:rsid w:val="00667FF8"/>
    <w:rsid w:val="006716F3"/>
    <w:rsid w:val="0067205C"/>
    <w:rsid w:val="00673313"/>
    <w:rsid w:val="00674640"/>
    <w:rsid w:val="00674C9B"/>
    <w:rsid w:val="0067553C"/>
    <w:rsid w:val="0067628A"/>
    <w:rsid w:val="00676ED4"/>
    <w:rsid w:val="00676FC1"/>
    <w:rsid w:val="0068012A"/>
    <w:rsid w:val="00681EAC"/>
    <w:rsid w:val="0068257B"/>
    <w:rsid w:val="0068311A"/>
    <w:rsid w:val="00684843"/>
    <w:rsid w:val="00684AD2"/>
    <w:rsid w:val="00685253"/>
    <w:rsid w:val="00685BD4"/>
    <w:rsid w:val="00685D09"/>
    <w:rsid w:val="006873DD"/>
    <w:rsid w:val="00690A6C"/>
    <w:rsid w:val="00690B4B"/>
    <w:rsid w:val="00691F15"/>
    <w:rsid w:val="00692EF5"/>
    <w:rsid w:val="00694CC2"/>
    <w:rsid w:val="00695D4C"/>
    <w:rsid w:val="00696560"/>
    <w:rsid w:val="00697541"/>
    <w:rsid w:val="006A162E"/>
    <w:rsid w:val="006A20AC"/>
    <w:rsid w:val="006A24EE"/>
    <w:rsid w:val="006A2882"/>
    <w:rsid w:val="006A321B"/>
    <w:rsid w:val="006A3F0D"/>
    <w:rsid w:val="006A40A0"/>
    <w:rsid w:val="006A42FE"/>
    <w:rsid w:val="006A4DC0"/>
    <w:rsid w:val="006A73EF"/>
    <w:rsid w:val="006A74F2"/>
    <w:rsid w:val="006B3F36"/>
    <w:rsid w:val="006B49D7"/>
    <w:rsid w:val="006B578F"/>
    <w:rsid w:val="006B6D5C"/>
    <w:rsid w:val="006C0104"/>
    <w:rsid w:val="006C05BB"/>
    <w:rsid w:val="006C25EA"/>
    <w:rsid w:val="006C5D9F"/>
    <w:rsid w:val="006D0304"/>
    <w:rsid w:val="006D0782"/>
    <w:rsid w:val="006D099E"/>
    <w:rsid w:val="006D2089"/>
    <w:rsid w:val="006D4195"/>
    <w:rsid w:val="006D41BA"/>
    <w:rsid w:val="006D5AA9"/>
    <w:rsid w:val="006D5ADF"/>
    <w:rsid w:val="006D64E5"/>
    <w:rsid w:val="006E07C5"/>
    <w:rsid w:val="006E15ED"/>
    <w:rsid w:val="006E173B"/>
    <w:rsid w:val="006E1E5E"/>
    <w:rsid w:val="006E31C4"/>
    <w:rsid w:val="006E497F"/>
    <w:rsid w:val="006E4F43"/>
    <w:rsid w:val="006E71D7"/>
    <w:rsid w:val="006E780D"/>
    <w:rsid w:val="006E7831"/>
    <w:rsid w:val="006F14DE"/>
    <w:rsid w:val="006F2115"/>
    <w:rsid w:val="006F2C9F"/>
    <w:rsid w:val="006F3388"/>
    <w:rsid w:val="006F3C9A"/>
    <w:rsid w:val="006F577D"/>
    <w:rsid w:val="0070019E"/>
    <w:rsid w:val="00700B68"/>
    <w:rsid w:val="0070101A"/>
    <w:rsid w:val="00701595"/>
    <w:rsid w:val="00701B76"/>
    <w:rsid w:val="00704DC9"/>
    <w:rsid w:val="007053C5"/>
    <w:rsid w:val="00707422"/>
    <w:rsid w:val="007119A6"/>
    <w:rsid w:val="00711D44"/>
    <w:rsid w:val="00712048"/>
    <w:rsid w:val="007139A2"/>
    <w:rsid w:val="00713DD3"/>
    <w:rsid w:val="007144A9"/>
    <w:rsid w:val="0071630A"/>
    <w:rsid w:val="00716916"/>
    <w:rsid w:val="00721525"/>
    <w:rsid w:val="0072259F"/>
    <w:rsid w:val="00723B64"/>
    <w:rsid w:val="00723BDC"/>
    <w:rsid w:val="0072498F"/>
    <w:rsid w:val="00727300"/>
    <w:rsid w:val="0072765F"/>
    <w:rsid w:val="00731B7B"/>
    <w:rsid w:val="00732806"/>
    <w:rsid w:val="00733581"/>
    <w:rsid w:val="007344A7"/>
    <w:rsid w:val="00735776"/>
    <w:rsid w:val="00736FDD"/>
    <w:rsid w:val="00740ACA"/>
    <w:rsid w:val="00741AE3"/>
    <w:rsid w:val="007434EB"/>
    <w:rsid w:val="0074361E"/>
    <w:rsid w:val="00744B08"/>
    <w:rsid w:val="007467F7"/>
    <w:rsid w:val="00750946"/>
    <w:rsid w:val="0075296A"/>
    <w:rsid w:val="00753449"/>
    <w:rsid w:val="0075457F"/>
    <w:rsid w:val="00756A56"/>
    <w:rsid w:val="007600B9"/>
    <w:rsid w:val="00761879"/>
    <w:rsid w:val="00762018"/>
    <w:rsid w:val="00762FD8"/>
    <w:rsid w:val="00766607"/>
    <w:rsid w:val="007670A4"/>
    <w:rsid w:val="00767519"/>
    <w:rsid w:val="00770243"/>
    <w:rsid w:val="0077139F"/>
    <w:rsid w:val="00771849"/>
    <w:rsid w:val="00774A66"/>
    <w:rsid w:val="007772BD"/>
    <w:rsid w:val="00780CCE"/>
    <w:rsid w:val="00780F21"/>
    <w:rsid w:val="00781748"/>
    <w:rsid w:val="00783198"/>
    <w:rsid w:val="0078477A"/>
    <w:rsid w:val="007847A5"/>
    <w:rsid w:val="00786C15"/>
    <w:rsid w:val="00790309"/>
    <w:rsid w:val="00792CF4"/>
    <w:rsid w:val="0079353F"/>
    <w:rsid w:val="0079570B"/>
    <w:rsid w:val="0079635F"/>
    <w:rsid w:val="007A117C"/>
    <w:rsid w:val="007A33B1"/>
    <w:rsid w:val="007A3A69"/>
    <w:rsid w:val="007A419C"/>
    <w:rsid w:val="007A4BA0"/>
    <w:rsid w:val="007A53CE"/>
    <w:rsid w:val="007A54B2"/>
    <w:rsid w:val="007A59DE"/>
    <w:rsid w:val="007A62EA"/>
    <w:rsid w:val="007B03CA"/>
    <w:rsid w:val="007B145F"/>
    <w:rsid w:val="007B4447"/>
    <w:rsid w:val="007B54A3"/>
    <w:rsid w:val="007B5A0E"/>
    <w:rsid w:val="007B5A12"/>
    <w:rsid w:val="007B6C40"/>
    <w:rsid w:val="007B7A92"/>
    <w:rsid w:val="007C1271"/>
    <w:rsid w:val="007C1CB4"/>
    <w:rsid w:val="007C2160"/>
    <w:rsid w:val="007C33A9"/>
    <w:rsid w:val="007C367E"/>
    <w:rsid w:val="007C39C8"/>
    <w:rsid w:val="007C3FC2"/>
    <w:rsid w:val="007C4846"/>
    <w:rsid w:val="007C56EF"/>
    <w:rsid w:val="007D21BB"/>
    <w:rsid w:val="007D41AC"/>
    <w:rsid w:val="007D5AC1"/>
    <w:rsid w:val="007D6960"/>
    <w:rsid w:val="007E14C5"/>
    <w:rsid w:val="007E1A9B"/>
    <w:rsid w:val="007E34C0"/>
    <w:rsid w:val="007E498F"/>
    <w:rsid w:val="007E7102"/>
    <w:rsid w:val="007F0B49"/>
    <w:rsid w:val="007F4931"/>
    <w:rsid w:val="007F620D"/>
    <w:rsid w:val="007F68D5"/>
    <w:rsid w:val="007F7044"/>
    <w:rsid w:val="007F78C3"/>
    <w:rsid w:val="0080085C"/>
    <w:rsid w:val="00802906"/>
    <w:rsid w:val="00805D9C"/>
    <w:rsid w:val="0081170E"/>
    <w:rsid w:val="00811C41"/>
    <w:rsid w:val="00812427"/>
    <w:rsid w:val="00813517"/>
    <w:rsid w:val="00813F30"/>
    <w:rsid w:val="00815F31"/>
    <w:rsid w:val="00816772"/>
    <w:rsid w:val="00817B97"/>
    <w:rsid w:val="0082045C"/>
    <w:rsid w:val="008209B7"/>
    <w:rsid w:val="00821D95"/>
    <w:rsid w:val="00822AEA"/>
    <w:rsid w:val="00822D64"/>
    <w:rsid w:val="00823853"/>
    <w:rsid w:val="00825824"/>
    <w:rsid w:val="00826171"/>
    <w:rsid w:val="00826A08"/>
    <w:rsid w:val="00826FED"/>
    <w:rsid w:val="008270C5"/>
    <w:rsid w:val="008271A6"/>
    <w:rsid w:val="0082739B"/>
    <w:rsid w:val="008274D9"/>
    <w:rsid w:val="00830C95"/>
    <w:rsid w:val="0083181A"/>
    <w:rsid w:val="008330F4"/>
    <w:rsid w:val="0083619F"/>
    <w:rsid w:val="00844EEE"/>
    <w:rsid w:val="008462F6"/>
    <w:rsid w:val="00846A78"/>
    <w:rsid w:val="00850166"/>
    <w:rsid w:val="0085486B"/>
    <w:rsid w:val="00854A84"/>
    <w:rsid w:val="00855605"/>
    <w:rsid w:val="008558EA"/>
    <w:rsid w:val="00855C26"/>
    <w:rsid w:val="008563F7"/>
    <w:rsid w:val="0085675B"/>
    <w:rsid w:val="00856EF5"/>
    <w:rsid w:val="00860218"/>
    <w:rsid w:val="00860E1A"/>
    <w:rsid w:val="00860EB9"/>
    <w:rsid w:val="008640BD"/>
    <w:rsid w:val="00865D9A"/>
    <w:rsid w:val="00866D7A"/>
    <w:rsid w:val="00867D9B"/>
    <w:rsid w:val="00870C7A"/>
    <w:rsid w:val="0087156B"/>
    <w:rsid w:val="00871B3E"/>
    <w:rsid w:val="008724E5"/>
    <w:rsid w:val="008728B3"/>
    <w:rsid w:val="008745CD"/>
    <w:rsid w:val="00874BF4"/>
    <w:rsid w:val="008776D7"/>
    <w:rsid w:val="00877955"/>
    <w:rsid w:val="00880CC0"/>
    <w:rsid w:val="008817C4"/>
    <w:rsid w:val="008818DF"/>
    <w:rsid w:val="008826F8"/>
    <w:rsid w:val="008836C3"/>
    <w:rsid w:val="00886200"/>
    <w:rsid w:val="00887F9E"/>
    <w:rsid w:val="008902AC"/>
    <w:rsid w:val="008910C2"/>
    <w:rsid w:val="00891205"/>
    <w:rsid w:val="0089217D"/>
    <w:rsid w:val="00892D77"/>
    <w:rsid w:val="008936C0"/>
    <w:rsid w:val="00895A26"/>
    <w:rsid w:val="0089734F"/>
    <w:rsid w:val="008A0A61"/>
    <w:rsid w:val="008A1A6F"/>
    <w:rsid w:val="008A1A71"/>
    <w:rsid w:val="008A209C"/>
    <w:rsid w:val="008A329A"/>
    <w:rsid w:val="008A5725"/>
    <w:rsid w:val="008A5B9F"/>
    <w:rsid w:val="008A65A9"/>
    <w:rsid w:val="008A7FBE"/>
    <w:rsid w:val="008B11B0"/>
    <w:rsid w:val="008B1F76"/>
    <w:rsid w:val="008B3CDD"/>
    <w:rsid w:val="008B6C2F"/>
    <w:rsid w:val="008B753E"/>
    <w:rsid w:val="008C1A0E"/>
    <w:rsid w:val="008C21F0"/>
    <w:rsid w:val="008C2F5D"/>
    <w:rsid w:val="008C3002"/>
    <w:rsid w:val="008C3866"/>
    <w:rsid w:val="008C6A45"/>
    <w:rsid w:val="008C76E9"/>
    <w:rsid w:val="008C7D05"/>
    <w:rsid w:val="008D07C4"/>
    <w:rsid w:val="008D08C4"/>
    <w:rsid w:val="008D1F2F"/>
    <w:rsid w:val="008D2BE4"/>
    <w:rsid w:val="008D477D"/>
    <w:rsid w:val="008D5444"/>
    <w:rsid w:val="008D5C57"/>
    <w:rsid w:val="008D65BD"/>
    <w:rsid w:val="008D75B2"/>
    <w:rsid w:val="008E1A53"/>
    <w:rsid w:val="008E2B5B"/>
    <w:rsid w:val="008E35AF"/>
    <w:rsid w:val="008E3FE2"/>
    <w:rsid w:val="008E40AF"/>
    <w:rsid w:val="008E4101"/>
    <w:rsid w:val="008E457A"/>
    <w:rsid w:val="008E654C"/>
    <w:rsid w:val="008F2131"/>
    <w:rsid w:val="008F473E"/>
    <w:rsid w:val="008F50AB"/>
    <w:rsid w:val="008F51A2"/>
    <w:rsid w:val="008F602C"/>
    <w:rsid w:val="008F7D03"/>
    <w:rsid w:val="00900E75"/>
    <w:rsid w:val="009011FC"/>
    <w:rsid w:val="009025C2"/>
    <w:rsid w:val="00910070"/>
    <w:rsid w:val="009102B7"/>
    <w:rsid w:val="00910C95"/>
    <w:rsid w:val="00911ACF"/>
    <w:rsid w:val="00912170"/>
    <w:rsid w:val="009124F0"/>
    <w:rsid w:val="00913512"/>
    <w:rsid w:val="009139B0"/>
    <w:rsid w:val="00914C85"/>
    <w:rsid w:val="00914CAC"/>
    <w:rsid w:val="0091535A"/>
    <w:rsid w:val="00915693"/>
    <w:rsid w:val="009167D2"/>
    <w:rsid w:val="00917E4B"/>
    <w:rsid w:val="00920316"/>
    <w:rsid w:val="009209BE"/>
    <w:rsid w:val="0092279B"/>
    <w:rsid w:val="00923BE7"/>
    <w:rsid w:val="00924243"/>
    <w:rsid w:val="00924A2E"/>
    <w:rsid w:val="009250A8"/>
    <w:rsid w:val="00925767"/>
    <w:rsid w:val="00926DCB"/>
    <w:rsid w:val="00930EE2"/>
    <w:rsid w:val="0093180B"/>
    <w:rsid w:val="00932136"/>
    <w:rsid w:val="009323D8"/>
    <w:rsid w:val="009325F4"/>
    <w:rsid w:val="00932943"/>
    <w:rsid w:val="009332EC"/>
    <w:rsid w:val="009341F9"/>
    <w:rsid w:val="00934A8B"/>
    <w:rsid w:val="009364DF"/>
    <w:rsid w:val="00941B01"/>
    <w:rsid w:val="00942742"/>
    <w:rsid w:val="00942E2E"/>
    <w:rsid w:val="00943B1D"/>
    <w:rsid w:val="0094477A"/>
    <w:rsid w:val="009451E2"/>
    <w:rsid w:val="00946443"/>
    <w:rsid w:val="00946E60"/>
    <w:rsid w:val="00947318"/>
    <w:rsid w:val="0095078B"/>
    <w:rsid w:val="0095129D"/>
    <w:rsid w:val="00952155"/>
    <w:rsid w:val="00953531"/>
    <w:rsid w:val="009542B2"/>
    <w:rsid w:val="00954547"/>
    <w:rsid w:val="00954696"/>
    <w:rsid w:val="00955B7B"/>
    <w:rsid w:val="0095792E"/>
    <w:rsid w:val="0096462D"/>
    <w:rsid w:val="0096472E"/>
    <w:rsid w:val="00972ABE"/>
    <w:rsid w:val="009730D5"/>
    <w:rsid w:val="009742CE"/>
    <w:rsid w:val="009771C8"/>
    <w:rsid w:val="009778D0"/>
    <w:rsid w:val="0098016F"/>
    <w:rsid w:val="00983156"/>
    <w:rsid w:val="0098468A"/>
    <w:rsid w:val="00985794"/>
    <w:rsid w:val="00990CF2"/>
    <w:rsid w:val="00991F74"/>
    <w:rsid w:val="00993084"/>
    <w:rsid w:val="00994035"/>
    <w:rsid w:val="00994834"/>
    <w:rsid w:val="0099498F"/>
    <w:rsid w:val="00994B2C"/>
    <w:rsid w:val="00996A2C"/>
    <w:rsid w:val="009970EF"/>
    <w:rsid w:val="009972D4"/>
    <w:rsid w:val="00997416"/>
    <w:rsid w:val="009975AA"/>
    <w:rsid w:val="009A05D6"/>
    <w:rsid w:val="009A3CF5"/>
    <w:rsid w:val="009A53D6"/>
    <w:rsid w:val="009A55FB"/>
    <w:rsid w:val="009A765F"/>
    <w:rsid w:val="009B1625"/>
    <w:rsid w:val="009B2BEB"/>
    <w:rsid w:val="009B2C88"/>
    <w:rsid w:val="009B459F"/>
    <w:rsid w:val="009B4B0E"/>
    <w:rsid w:val="009B5AF6"/>
    <w:rsid w:val="009D267E"/>
    <w:rsid w:val="009D3119"/>
    <w:rsid w:val="009D32C2"/>
    <w:rsid w:val="009D420F"/>
    <w:rsid w:val="009D525A"/>
    <w:rsid w:val="009D7285"/>
    <w:rsid w:val="009D76D3"/>
    <w:rsid w:val="009D782A"/>
    <w:rsid w:val="009D7AC6"/>
    <w:rsid w:val="009E054D"/>
    <w:rsid w:val="009E1F0A"/>
    <w:rsid w:val="009E4BC2"/>
    <w:rsid w:val="009E7FFE"/>
    <w:rsid w:val="009F0382"/>
    <w:rsid w:val="009F0C7E"/>
    <w:rsid w:val="009F3C3E"/>
    <w:rsid w:val="009F437B"/>
    <w:rsid w:val="009F55FB"/>
    <w:rsid w:val="009F5A81"/>
    <w:rsid w:val="009F6246"/>
    <w:rsid w:val="009F6A0A"/>
    <w:rsid w:val="009F6FC5"/>
    <w:rsid w:val="009F7B78"/>
    <w:rsid w:val="00A00870"/>
    <w:rsid w:val="00A01994"/>
    <w:rsid w:val="00A029D9"/>
    <w:rsid w:val="00A02DF4"/>
    <w:rsid w:val="00A038DC"/>
    <w:rsid w:val="00A04520"/>
    <w:rsid w:val="00A1173F"/>
    <w:rsid w:val="00A133B1"/>
    <w:rsid w:val="00A13C8F"/>
    <w:rsid w:val="00A13E1D"/>
    <w:rsid w:val="00A14010"/>
    <w:rsid w:val="00A148A1"/>
    <w:rsid w:val="00A15184"/>
    <w:rsid w:val="00A161F8"/>
    <w:rsid w:val="00A174C4"/>
    <w:rsid w:val="00A17954"/>
    <w:rsid w:val="00A20DED"/>
    <w:rsid w:val="00A2178D"/>
    <w:rsid w:val="00A2301A"/>
    <w:rsid w:val="00A23497"/>
    <w:rsid w:val="00A23D88"/>
    <w:rsid w:val="00A24DCF"/>
    <w:rsid w:val="00A251DD"/>
    <w:rsid w:val="00A25BC5"/>
    <w:rsid w:val="00A261BC"/>
    <w:rsid w:val="00A2693F"/>
    <w:rsid w:val="00A26B44"/>
    <w:rsid w:val="00A26CCB"/>
    <w:rsid w:val="00A271FF"/>
    <w:rsid w:val="00A27E9B"/>
    <w:rsid w:val="00A330A2"/>
    <w:rsid w:val="00A33713"/>
    <w:rsid w:val="00A33F93"/>
    <w:rsid w:val="00A35354"/>
    <w:rsid w:val="00A35C26"/>
    <w:rsid w:val="00A36C86"/>
    <w:rsid w:val="00A37A44"/>
    <w:rsid w:val="00A41ABC"/>
    <w:rsid w:val="00A41C39"/>
    <w:rsid w:val="00A4269D"/>
    <w:rsid w:val="00A44834"/>
    <w:rsid w:val="00A45B8F"/>
    <w:rsid w:val="00A46A4C"/>
    <w:rsid w:val="00A46DB6"/>
    <w:rsid w:val="00A4715E"/>
    <w:rsid w:val="00A4743D"/>
    <w:rsid w:val="00A4770F"/>
    <w:rsid w:val="00A52547"/>
    <w:rsid w:val="00A52617"/>
    <w:rsid w:val="00A53201"/>
    <w:rsid w:val="00A549ED"/>
    <w:rsid w:val="00A54EFB"/>
    <w:rsid w:val="00A551AA"/>
    <w:rsid w:val="00A56081"/>
    <w:rsid w:val="00A56CCB"/>
    <w:rsid w:val="00A66E95"/>
    <w:rsid w:val="00A670F4"/>
    <w:rsid w:val="00A72ACB"/>
    <w:rsid w:val="00A7429B"/>
    <w:rsid w:val="00A7602C"/>
    <w:rsid w:val="00A76B70"/>
    <w:rsid w:val="00A774F1"/>
    <w:rsid w:val="00A80E39"/>
    <w:rsid w:val="00A80F08"/>
    <w:rsid w:val="00A8223B"/>
    <w:rsid w:val="00A82C59"/>
    <w:rsid w:val="00A82FCD"/>
    <w:rsid w:val="00A83A47"/>
    <w:rsid w:val="00A83AC1"/>
    <w:rsid w:val="00A83EA7"/>
    <w:rsid w:val="00A865DF"/>
    <w:rsid w:val="00A86B23"/>
    <w:rsid w:val="00A86E56"/>
    <w:rsid w:val="00A87DFD"/>
    <w:rsid w:val="00A91966"/>
    <w:rsid w:val="00A932C7"/>
    <w:rsid w:val="00A9347C"/>
    <w:rsid w:val="00A93B74"/>
    <w:rsid w:val="00A94003"/>
    <w:rsid w:val="00A945B1"/>
    <w:rsid w:val="00A94E44"/>
    <w:rsid w:val="00A96B61"/>
    <w:rsid w:val="00AA0583"/>
    <w:rsid w:val="00AA1AE0"/>
    <w:rsid w:val="00AA2245"/>
    <w:rsid w:val="00AA2B90"/>
    <w:rsid w:val="00AA4A40"/>
    <w:rsid w:val="00AA55ED"/>
    <w:rsid w:val="00AA6062"/>
    <w:rsid w:val="00AA64DE"/>
    <w:rsid w:val="00AA71B5"/>
    <w:rsid w:val="00AA7DF9"/>
    <w:rsid w:val="00AB109C"/>
    <w:rsid w:val="00AB2767"/>
    <w:rsid w:val="00AB35D1"/>
    <w:rsid w:val="00AB56E6"/>
    <w:rsid w:val="00AC03E6"/>
    <w:rsid w:val="00AC07A8"/>
    <w:rsid w:val="00AC14C9"/>
    <w:rsid w:val="00AC26E3"/>
    <w:rsid w:val="00AC52B9"/>
    <w:rsid w:val="00AC6F88"/>
    <w:rsid w:val="00AD224A"/>
    <w:rsid w:val="00AD3281"/>
    <w:rsid w:val="00AD336E"/>
    <w:rsid w:val="00AD3B92"/>
    <w:rsid w:val="00AD4C35"/>
    <w:rsid w:val="00AD5083"/>
    <w:rsid w:val="00AD5091"/>
    <w:rsid w:val="00AE5498"/>
    <w:rsid w:val="00AE6197"/>
    <w:rsid w:val="00AE7341"/>
    <w:rsid w:val="00AE73F6"/>
    <w:rsid w:val="00AF12C9"/>
    <w:rsid w:val="00AF1B74"/>
    <w:rsid w:val="00AF424C"/>
    <w:rsid w:val="00AF6C0F"/>
    <w:rsid w:val="00AF7261"/>
    <w:rsid w:val="00AF777E"/>
    <w:rsid w:val="00AF797B"/>
    <w:rsid w:val="00AF7A53"/>
    <w:rsid w:val="00AF7D21"/>
    <w:rsid w:val="00B00419"/>
    <w:rsid w:val="00B00AB1"/>
    <w:rsid w:val="00B042EA"/>
    <w:rsid w:val="00B04FE8"/>
    <w:rsid w:val="00B06721"/>
    <w:rsid w:val="00B103C5"/>
    <w:rsid w:val="00B133F5"/>
    <w:rsid w:val="00B144DA"/>
    <w:rsid w:val="00B146B4"/>
    <w:rsid w:val="00B15F8C"/>
    <w:rsid w:val="00B1740F"/>
    <w:rsid w:val="00B2293F"/>
    <w:rsid w:val="00B27CD2"/>
    <w:rsid w:val="00B3243D"/>
    <w:rsid w:val="00B32672"/>
    <w:rsid w:val="00B34B24"/>
    <w:rsid w:val="00B34F35"/>
    <w:rsid w:val="00B35A80"/>
    <w:rsid w:val="00B406D5"/>
    <w:rsid w:val="00B40C3E"/>
    <w:rsid w:val="00B41DCF"/>
    <w:rsid w:val="00B437E7"/>
    <w:rsid w:val="00B47017"/>
    <w:rsid w:val="00B51362"/>
    <w:rsid w:val="00B5153C"/>
    <w:rsid w:val="00B52BA4"/>
    <w:rsid w:val="00B56081"/>
    <w:rsid w:val="00B561C6"/>
    <w:rsid w:val="00B5670A"/>
    <w:rsid w:val="00B5787B"/>
    <w:rsid w:val="00B57EF2"/>
    <w:rsid w:val="00B60F8D"/>
    <w:rsid w:val="00B62F13"/>
    <w:rsid w:val="00B64662"/>
    <w:rsid w:val="00B6610E"/>
    <w:rsid w:val="00B66D67"/>
    <w:rsid w:val="00B72989"/>
    <w:rsid w:val="00B74379"/>
    <w:rsid w:val="00B7706C"/>
    <w:rsid w:val="00B772AC"/>
    <w:rsid w:val="00B775BE"/>
    <w:rsid w:val="00B81CF8"/>
    <w:rsid w:val="00B81E10"/>
    <w:rsid w:val="00B81FD3"/>
    <w:rsid w:val="00B83ECC"/>
    <w:rsid w:val="00B85529"/>
    <w:rsid w:val="00B85694"/>
    <w:rsid w:val="00B8762E"/>
    <w:rsid w:val="00B9024D"/>
    <w:rsid w:val="00B9169C"/>
    <w:rsid w:val="00B93525"/>
    <w:rsid w:val="00B93B5E"/>
    <w:rsid w:val="00B949E6"/>
    <w:rsid w:val="00B94D48"/>
    <w:rsid w:val="00BA0EFA"/>
    <w:rsid w:val="00BA14F9"/>
    <w:rsid w:val="00BA1BAE"/>
    <w:rsid w:val="00BA26A8"/>
    <w:rsid w:val="00BA276F"/>
    <w:rsid w:val="00BA2E6A"/>
    <w:rsid w:val="00BA373C"/>
    <w:rsid w:val="00BA3AAE"/>
    <w:rsid w:val="00BA3B7B"/>
    <w:rsid w:val="00BA3E92"/>
    <w:rsid w:val="00BA730D"/>
    <w:rsid w:val="00BB23F2"/>
    <w:rsid w:val="00BB4308"/>
    <w:rsid w:val="00BB518C"/>
    <w:rsid w:val="00BB5854"/>
    <w:rsid w:val="00BB5A75"/>
    <w:rsid w:val="00BB6435"/>
    <w:rsid w:val="00BB6DAA"/>
    <w:rsid w:val="00BB70D6"/>
    <w:rsid w:val="00BB73C9"/>
    <w:rsid w:val="00BB7406"/>
    <w:rsid w:val="00BC4BFF"/>
    <w:rsid w:val="00BC56B1"/>
    <w:rsid w:val="00BC5719"/>
    <w:rsid w:val="00BC6BFC"/>
    <w:rsid w:val="00BC7121"/>
    <w:rsid w:val="00BC71D1"/>
    <w:rsid w:val="00BC7ED1"/>
    <w:rsid w:val="00BD151B"/>
    <w:rsid w:val="00BD1545"/>
    <w:rsid w:val="00BD4FC6"/>
    <w:rsid w:val="00BD5B7F"/>
    <w:rsid w:val="00BD7917"/>
    <w:rsid w:val="00BD7D43"/>
    <w:rsid w:val="00BE14CE"/>
    <w:rsid w:val="00BE1EFE"/>
    <w:rsid w:val="00BE23A5"/>
    <w:rsid w:val="00BE23A8"/>
    <w:rsid w:val="00BE3151"/>
    <w:rsid w:val="00BE3A87"/>
    <w:rsid w:val="00BE47B8"/>
    <w:rsid w:val="00BE4E97"/>
    <w:rsid w:val="00BE6899"/>
    <w:rsid w:val="00BE6911"/>
    <w:rsid w:val="00BE69F8"/>
    <w:rsid w:val="00BE7D71"/>
    <w:rsid w:val="00BF205F"/>
    <w:rsid w:val="00BF46A3"/>
    <w:rsid w:val="00BF550F"/>
    <w:rsid w:val="00BF5708"/>
    <w:rsid w:val="00BF7A70"/>
    <w:rsid w:val="00C02388"/>
    <w:rsid w:val="00C06C50"/>
    <w:rsid w:val="00C10C78"/>
    <w:rsid w:val="00C10D20"/>
    <w:rsid w:val="00C10E34"/>
    <w:rsid w:val="00C119C6"/>
    <w:rsid w:val="00C1405D"/>
    <w:rsid w:val="00C1516E"/>
    <w:rsid w:val="00C1535A"/>
    <w:rsid w:val="00C15681"/>
    <w:rsid w:val="00C15E8E"/>
    <w:rsid w:val="00C17166"/>
    <w:rsid w:val="00C17E34"/>
    <w:rsid w:val="00C2069A"/>
    <w:rsid w:val="00C21328"/>
    <w:rsid w:val="00C21DF5"/>
    <w:rsid w:val="00C21E5E"/>
    <w:rsid w:val="00C2267B"/>
    <w:rsid w:val="00C23353"/>
    <w:rsid w:val="00C307F5"/>
    <w:rsid w:val="00C31F5A"/>
    <w:rsid w:val="00C33232"/>
    <w:rsid w:val="00C3355B"/>
    <w:rsid w:val="00C339FC"/>
    <w:rsid w:val="00C34366"/>
    <w:rsid w:val="00C3465D"/>
    <w:rsid w:val="00C34F9E"/>
    <w:rsid w:val="00C362F3"/>
    <w:rsid w:val="00C365BD"/>
    <w:rsid w:val="00C41B0A"/>
    <w:rsid w:val="00C437C9"/>
    <w:rsid w:val="00C444B4"/>
    <w:rsid w:val="00C45063"/>
    <w:rsid w:val="00C458C6"/>
    <w:rsid w:val="00C46E15"/>
    <w:rsid w:val="00C47075"/>
    <w:rsid w:val="00C47183"/>
    <w:rsid w:val="00C50453"/>
    <w:rsid w:val="00C510CB"/>
    <w:rsid w:val="00C51B4C"/>
    <w:rsid w:val="00C53805"/>
    <w:rsid w:val="00C54C1C"/>
    <w:rsid w:val="00C551E5"/>
    <w:rsid w:val="00C553C1"/>
    <w:rsid w:val="00C55823"/>
    <w:rsid w:val="00C5592C"/>
    <w:rsid w:val="00C55F55"/>
    <w:rsid w:val="00C560E9"/>
    <w:rsid w:val="00C5625E"/>
    <w:rsid w:val="00C56EFE"/>
    <w:rsid w:val="00C57509"/>
    <w:rsid w:val="00C600D6"/>
    <w:rsid w:val="00C604C3"/>
    <w:rsid w:val="00C61DD4"/>
    <w:rsid w:val="00C622EE"/>
    <w:rsid w:val="00C63991"/>
    <w:rsid w:val="00C6452C"/>
    <w:rsid w:val="00C655EF"/>
    <w:rsid w:val="00C667DD"/>
    <w:rsid w:val="00C67005"/>
    <w:rsid w:val="00C71252"/>
    <w:rsid w:val="00C7137B"/>
    <w:rsid w:val="00C7473D"/>
    <w:rsid w:val="00C75BB1"/>
    <w:rsid w:val="00C766D5"/>
    <w:rsid w:val="00C770F3"/>
    <w:rsid w:val="00C77E55"/>
    <w:rsid w:val="00C80A30"/>
    <w:rsid w:val="00C82182"/>
    <w:rsid w:val="00C825DE"/>
    <w:rsid w:val="00C82DCD"/>
    <w:rsid w:val="00C841D7"/>
    <w:rsid w:val="00C85D79"/>
    <w:rsid w:val="00C86273"/>
    <w:rsid w:val="00C86DF3"/>
    <w:rsid w:val="00C874E7"/>
    <w:rsid w:val="00C90122"/>
    <w:rsid w:val="00C910EE"/>
    <w:rsid w:val="00C91A73"/>
    <w:rsid w:val="00C92646"/>
    <w:rsid w:val="00C93A33"/>
    <w:rsid w:val="00C94178"/>
    <w:rsid w:val="00C96086"/>
    <w:rsid w:val="00CA3698"/>
    <w:rsid w:val="00CA372A"/>
    <w:rsid w:val="00CA7616"/>
    <w:rsid w:val="00CB18B2"/>
    <w:rsid w:val="00CB30C6"/>
    <w:rsid w:val="00CB5F93"/>
    <w:rsid w:val="00CB6EDF"/>
    <w:rsid w:val="00CC0F8A"/>
    <w:rsid w:val="00CC1493"/>
    <w:rsid w:val="00CC1692"/>
    <w:rsid w:val="00CC231D"/>
    <w:rsid w:val="00CC24D4"/>
    <w:rsid w:val="00CC2C35"/>
    <w:rsid w:val="00CC68CA"/>
    <w:rsid w:val="00CD1489"/>
    <w:rsid w:val="00CD3399"/>
    <w:rsid w:val="00CD46B8"/>
    <w:rsid w:val="00CD5084"/>
    <w:rsid w:val="00CD5CE1"/>
    <w:rsid w:val="00CD64ED"/>
    <w:rsid w:val="00CD7B40"/>
    <w:rsid w:val="00CE3F44"/>
    <w:rsid w:val="00CE5036"/>
    <w:rsid w:val="00CE5A49"/>
    <w:rsid w:val="00CE5F5F"/>
    <w:rsid w:val="00CE63E3"/>
    <w:rsid w:val="00CE687D"/>
    <w:rsid w:val="00CF06A4"/>
    <w:rsid w:val="00CF0A11"/>
    <w:rsid w:val="00CF1951"/>
    <w:rsid w:val="00CF2164"/>
    <w:rsid w:val="00CF2BAE"/>
    <w:rsid w:val="00CF334C"/>
    <w:rsid w:val="00CF3DA6"/>
    <w:rsid w:val="00CF491E"/>
    <w:rsid w:val="00CF536F"/>
    <w:rsid w:val="00CF608A"/>
    <w:rsid w:val="00CF6763"/>
    <w:rsid w:val="00CF7BF4"/>
    <w:rsid w:val="00D00F18"/>
    <w:rsid w:val="00D00FF6"/>
    <w:rsid w:val="00D02596"/>
    <w:rsid w:val="00D03947"/>
    <w:rsid w:val="00D03A7D"/>
    <w:rsid w:val="00D04FD1"/>
    <w:rsid w:val="00D0605F"/>
    <w:rsid w:val="00D07A72"/>
    <w:rsid w:val="00D11871"/>
    <w:rsid w:val="00D127EC"/>
    <w:rsid w:val="00D12CDE"/>
    <w:rsid w:val="00D13441"/>
    <w:rsid w:val="00D13F6F"/>
    <w:rsid w:val="00D140CA"/>
    <w:rsid w:val="00D15283"/>
    <w:rsid w:val="00D16ECA"/>
    <w:rsid w:val="00D21D10"/>
    <w:rsid w:val="00D222E8"/>
    <w:rsid w:val="00D22CED"/>
    <w:rsid w:val="00D23A7B"/>
    <w:rsid w:val="00D2444F"/>
    <w:rsid w:val="00D250D7"/>
    <w:rsid w:val="00D265DA"/>
    <w:rsid w:val="00D302C3"/>
    <w:rsid w:val="00D31644"/>
    <w:rsid w:val="00D355BA"/>
    <w:rsid w:val="00D36507"/>
    <w:rsid w:val="00D37339"/>
    <w:rsid w:val="00D376F7"/>
    <w:rsid w:val="00D37A78"/>
    <w:rsid w:val="00D404CC"/>
    <w:rsid w:val="00D414FA"/>
    <w:rsid w:val="00D43F68"/>
    <w:rsid w:val="00D4458B"/>
    <w:rsid w:val="00D4596F"/>
    <w:rsid w:val="00D45B5B"/>
    <w:rsid w:val="00D46FDA"/>
    <w:rsid w:val="00D501DF"/>
    <w:rsid w:val="00D50CB8"/>
    <w:rsid w:val="00D50E0E"/>
    <w:rsid w:val="00D51319"/>
    <w:rsid w:val="00D53E2A"/>
    <w:rsid w:val="00D54CD2"/>
    <w:rsid w:val="00D54F1E"/>
    <w:rsid w:val="00D566AE"/>
    <w:rsid w:val="00D6071B"/>
    <w:rsid w:val="00D650B0"/>
    <w:rsid w:val="00D658DC"/>
    <w:rsid w:val="00D67202"/>
    <w:rsid w:val="00D73A39"/>
    <w:rsid w:val="00D754D1"/>
    <w:rsid w:val="00D75B11"/>
    <w:rsid w:val="00D7636E"/>
    <w:rsid w:val="00D777C9"/>
    <w:rsid w:val="00D77DE3"/>
    <w:rsid w:val="00D82264"/>
    <w:rsid w:val="00D823DA"/>
    <w:rsid w:val="00D87029"/>
    <w:rsid w:val="00D87E53"/>
    <w:rsid w:val="00D91580"/>
    <w:rsid w:val="00D91C88"/>
    <w:rsid w:val="00D9263A"/>
    <w:rsid w:val="00D941F9"/>
    <w:rsid w:val="00D948C6"/>
    <w:rsid w:val="00D95F4F"/>
    <w:rsid w:val="00DA105A"/>
    <w:rsid w:val="00DA4C7E"/>
    <w:rsid w:val="00DA7A06"/>
    <w:rsid w:val="00DA7DCB"/>
    <w:rsid w:val="00DB066B"/>
    <w:rsid w:val="00DB07DF"/>
    <w:rsid w:val="00DB0B53"/>
    <w:rsid w:val="00DB2B75"/>
    <w:rsid w:val="00DB2D65"/>
    <w:rsid w:val="00DB3290"/>
    <w:rsid w:val="00DC08AE"/>
    <w:rsid w:val="00DC0F67"/>
    <w:rsid w:val="00DC1A7C"/>
    <w:rsid w:val="00DC2028"/>
    <w:rsid w:val="00DC241A"/>
    <w:rsid w:val="00DC2A45"/>
    <w:rsid w:val="00DC31D4"/>
    <w:rsid w:val="00DC3ECA"/>
    <w:rsid w:val="00DC45F9"/>
    <w:rsid w:val="00DC4E14"/>
    <w:rsid w:val="00DC517D"/>
    <w:rsid w:val="00DC549B"/>
    <w:rsid w:val="00DC67D3"/>
    <w:rsid w:val="00DD0E28"/>
    <w:rsid w:val="00DD10D7"/>
    <w:rsid w:val="00DD1128"/>
    <w:rsid w:val="00DD1A2D"/>
    <w:rsid w:val="00DD1EBC"/>
    <w:rsid w:val="00DD2707"/>
    <w:rsid w:val="00DD34B1"/>
    <w:rsid w:val="00DD3AEC"/>
    <w:rsid w:val="00DD5483"/>
    <w:rsid w:val="00DD6535"/>
    <w:rsid w:val="00DD6E3D"/>
    <w:rsid w:val="00DD7A97"/>
    <w:rsid w:val="00DE0A89"/>
    <w:rsid w:val="00DE3B09"/>
    <w:rsid w:val="00DE4867"/>
    <w:rsid w:val="00DE5941"/>
    <w:rsid w:val="00DE60AD"/>
    <w:rsid w:val="00DE7B72"/>
    <w:rsid w:val="00DF0484"/>
    <w:rsid w:val="00DF3C8D"/>
    <w:rsid w:val="00DF55CE"/>
    <w:rsid w:val="00DF5779"/>
    <w:rsid w:val="00DF72BD"/>
    <w:rsid w:val="00DF7482"/>
    <w:rsid w:val="00DF7907"/>
    <w:rsid w:val="00DF79C7"/>
    <w:rsid w:val="00DF7E2D"/>
    <w:rsid w:val="00E00263"/>
    <w:rsid w:val="00E01680"/>
    <w:rsid w:val="00E02031"/>
    <w:rsid w:val="00E02CD4"/>
    <w:rsid w:val="00E0308D"/>
    <w:rsid w:val="00E03120"/>
    <w:rsid w:val="00E036EF"/>
    <w:rsid w:val="00E0453B"/>
    <w:rsid w:val="00E117C8"/>
    <w:rsid w:val="00E11F0A"/>
    <w:rsid w:val="00E13802"/>
    <w:rsid w:val="00E14D0B"/>
    <w:rsid w:val="00E17705"/>
    <w:rsid w:val="00E2052A"/>
    <w:rsid w:val="00E21C77"/>
    <w:rsid w:val="00E22D5E"/>
    <w:rsid w:val="00E2305E"/>
    <w:rsid w:val="00E23659"/>
    <w:rsid w:val="00E2463A"/>
    <w:rsid w:val="00E26B45"/>
    <w:rsid w:val="00E271D6"/>
    <w:rsid w:val="00E27540"/>
    <w:rsid w:val="00E3041D"/>
    <w:rsid w:val="00E3066A"/>
    <w:rsid w:val="00E31A7C"/>
    <w:rsid w:val="00E327D3"/>
    <w:rsid w:val="00E328ED"/>
    <w:rsid w:val="00E35F44"/>
    <w:rsid w:val="00E360AE"/>
    <w:rsid w:val="00E36186"/>
    <w:rsid w:val="00E37BEF"/>
    <w:rsid w:val="00E40DA8"/>
    <w:rsid w:val="00E4144C"/>
    <w:rsid w:val="00E41A26"/>
    <w:rsid w:val="00E41A60"/>
    <w:rsid w:val="00E4242C"/>
    <w:rsid w:val="00E4522D"/>
    <w:rsid w:val="00E4568D"/>
    <w:rsid w:val="00E46173"/>
    <w:rsid w:val="00E464E4"/>
    <w:rsid w:val="00E46C2B"/>
    <w:rsid w:val="00E51155"/>
    <w:rsid w:val="00E55323"/>
    <w:rsid w:val="00E56812"/>
    <w:rsid w:val="00E571A3"/>
    <w:rsid w:val="00E572B5"/>
    <w:rsid w:val="00E574A2"/>
    <w:rsid w:val="00E57BF7"/>
    <w:rsid w:val="00E605F7"/>
    <w:rsid w:val="00E61DD3"/>
    <w:rsid w:val="00E635CA"/>
    <w:rsid w:val="00E63E07"/>
    <w:rsid w:val="00E64880"/>
    <w:rsid w:val="00E6536D"/>
    <w:rsid w:val="00E6643B"/>
    <w:rsid w:val="00E67AAC"/>
    <w:rsid w:val="00E701D5"/>
    <w:rsid w:val="00E720F3"/>
    <w:rsid w:val="00E72901"/>
    <w:rsid w:val="00E73509"/>
    <w:rsid w:val="00E74767"/>
    <w:rsid w:val="00E802B7"/>
    <w:rsid w:val="00E8064F"/>
    <w:rsid w:val="00E80FBF"/>
    <w:rsid w:val="00E824F2"/>
    <w:rsid w:val="00E826E1"/>
    <w:rsid w:val="00E85E77"/>
    <w:rsid w:val="00E86578"/>
    <w:rsid w:val="00E86A08"/>
    <w:rsid w:val="00E8785C"/>
    <w:rsid w:val="00E87C51"/>
    <w:rsid w:val="00E900CD"/>
    <w:rsid w:val="00E91DE8"/>
    <w:rsid w:val="00E9218E"/>
    <w:rsid w:val="00E930C6"/>
    <w:rsid w:val="00E93C56"/>
    <w:rsid w:val="00E95A3B"/>
    <w:rsid w:val="00E96334"/>
    <w:rsid w:val="00E97515"/>
    <w:rsid w:val="00EA036E"/>
    <w:rsid w:val="00EA469C"/>
    <w:rsid w:val="00EA498D"/>
    <w:rsid w:val="00EA57B8"/>
    <w:rsid w:val="00EB0A3C"/>
    <w:rsid w:val="00EB4508"/>
    <w:rsid w:val="00EB79AD"/>
    <w:rsid w:val="00EC0F35"/>
    <w:rsid w:val="00EC0FBA"/>
    <w:rsid w:val="00EC4842"/>
    <w:rsid w:val="00EC56BA"/>
    <w:rsid w:val="00EC6CB4"/>
    <w:rsid w:val="00EC7616"/>
    <w:rsid w:val="00ED034A"/>
    <w:rsid w:val="00ED0EEB"/>
    <w:rsid w:val="00ED2A4B"/>
    <w:rsid w:val="00ED359A"/>
    <w:rsid w:val="00ED3EEE"/>
    <w:rsid w:val="00ED58BE"/>
    <w:rsid w:val="00ED68E4"/>
    <w:rsid w:val="00ED7744"/>
    <w:rsid w:val="00EE0EF0"/>
    <w:rsid w:val="00EE21B2"/>
    <w:rsid w:val="00EE3A4C"/>
    <w:rsid w:val="00EE3A55"/>
    <w:rsid w:val="00EE4300"/>
    <w:rsid w:val="00EE4FE2"/>
    <w:rsid w:val="00EE5112"/>
    <w:rsid w:val="00EE7A5F"/>
    <w:rsid w:val="00EE7E32"/>
    <w:rsid w:val="00EF0DBC"/>
    <w:rsid w:val="00EF0E24"/>
    <w:rsid w:val="00EF2D31"/>
    <w:rsid w:val="00EF3094"/>
    <w:rsid w:val="00EF33E7"/>
    <w:rsid w:val="00EF581B"/>
    <w:rsid w:val="00EF6712"/>
    <w:rsid w:val="00EF69AA"/>
    <w:rsid w:val="00EF72C5"/>
    <w:rsid w:val="00F002D8"/>
    <w:rsid w:val="00F00C6A"/>
    <w:rsid w:val="00F029EA"/>
    <w:rsid w:val="00F04810"/>
    <w:rsid w:val="00F05890"/>
    <w:rsid w:val="00F10B18"/>
    <w:rsid w:val="00F11097"/>
    <w:rsid w:val="00F118CF"/>
    <w:rsid w:val="00F12558"/>
    <w:rsid w:val="00F14430"/>
    <w:rsid w:val="00F158D4"/>
    <w:rsid w:val="00F1631B"/>
    <w:rsid w:val="00F2052C"/>
    <w:rsid w:val="00F2124E"/>
    <w:rsid w:val="00F23F78"/>
    <w:rsid w:val="00F249DC"/>
    <w:rsid w:val="00F24C58"/>
    <w:rsid w:val="00F2549B"/>
    <w:rsid w:val="00F26264"/>
    <w:rsid w:val="00F31649"/>
    <w:rsid w:val="00F31AAD"/>
    <w:rsid w:val="00F338D5"/>
    <w:rsid w:val="00F34FA5"/>
    <w:rsid w:val="00F359D2"/>
    <w:rsid w:val="00F37AD1"/>
    <w:rsid w:val="00F41D34"/>
    <w:rsid w:val="00F445DC"/>
    <w:rsid w:val="00F46341"/>
    <w:rsid w:val="00F466F2"/>
    <w:rsid w:val="00F472F5"/>
    <w:rsid w:val="00F50EB9"/>
    <w:rsid w:val="00F51AFB"/>
    <w:rsid w:val="00F52CA7"/>
    <w:rsid w:val="00F52D11"/>
    <w:rsid w:val="00F54DF4"/>
    <w:rsid w:val="00F54FE3"/>
    <w:rsid w:val="00F55021"/>
    <w:rsid w:val="00F57344"/>
    <w:rsid w:val="00F602B0"/>
    <w:rsid w:val="00F61FB2"/>
    <w:rsid w:val="00F62318"/>
    <w:rsid w:val="00F627BC"/>
    <w:rsid w:val="00F62C44"/>
    <w:rsid w:val="00F632D7"/>
    <w:rsid w:val="00F64964"/>
    <w:rsid w:val="00F64AE5"/>
    <w:rsid w:val="00F666D0"/>
    <w:rsid w:val="00F66943"/>
    <w:rsid w:val="00F670E2"/>
    <w:rsid w:val="00F675CA"/>
    <w:rsid w:val="00F7196D"/>
    <w:rsid w:val="00F72BFD"/>
    <w:rsid w:val="00F758C2"/>
    <w:rsid w:val="00F8106B"/>
    <w:rsid w:val="00F81789"/>
    <w:rsid w:val="00F81978"/>
    <w:rsid w:val="00F82C71"/>
    <w:rsid w:val="00F82ED9"/>
    <w:rsid w:val="00F830CF"/>
    <w:rsid w:val="00F833D0"/>
    <w:rsid w:val="00F85901"/>
    <w:rsid w:val="00F86749"/>
    <w:rsid w:val="00F86B04"/>
    <w:rsid w:val="00F86CC6"/>
    <w:rsid w:val="00F87CAB"/>
    <w:rsid w:val="00F9077C"/>
    <w:rsid w:val="00F92E0B"/>
    <w:rsid w:val="00F9447E"/>
    <w:rsid w:val="00F947BE"/>
    <w:rsid w:val="00F94EF7"/>
    <w:rsid w:val="00F97862"/>
    <w:rsid w:val="00FA0197"/>
    <w:rsid w:val="00FA0AB8"/>
    <w:rsid w:val="00FA0F94"/>
    <w:rsid w:val="00FA106B"/>
    <w:rsid w:val="00FA30DF"/>
    <w:rsid w:val="00FA4BBB"/>
    <w:rsid w:val="00FA6784"/>
    <w:rsid w:val="00FA6787"/>
    <w:rsid w:val="00FB17BA"/>
    <w:rsid w:val="00FB26A1"/>
    <w:rsid w:val="00FB3139"/>
    <w:rsid w:val="00FB4821"/>
    <w:rsid w:val="00FB6051"/>
    <w:rsid w:val="00FB7697"/>
    <w:rsid w:val="00FC041B"/>
    <w:rsid w:val="00FC0F18"/>
    <w:rsid w:val="00FC1463"/>
    <w:rsid w:val="00FC171A"/>
    <w:rsid w:val="00FC3488"/>
    <w:rsid w:val="00FC70E3"/>
    <w:rsid w:val="00FC71EB"/>
    <w:rsid w:val="00FD03E6"/>
    <w:rsid w:val="00FD0D9D"/>
    <w:rsid w:val="00FD110E"/>
    <w:rsid w:val="00FD3386"/>
    <w:rsid w:val="00FD51E1"/>
    <w:rsid w:val="00FD6208"/>
    <w:rsid w:val="00FD6D11"/>
    <w:rsid w:val="00FE01B4"/>
    <w:rsid w:val="00FE08AF"/>
    <w:rsid w:val="00FE2FA3"/>
    <w:rsid w:val="00FE3FC9"/>
    <w:rsid w:val="00FE5EC9"/>
    <w:rsid w:val="00FE6249"/>
    <w:rsid w:val="00FE69FD"/>
    <w:rsid w:val="00FE706E"/>
    <w:rsid w:val="00FE7278"/>
    <w:rsid w:val="00FF023A"/>
    <w:rsid w:val="00FF0C2C"/>
    <w:rsid w:val="00FF0CF3"/>
    <w:rsid w:val="00FF11F5"/>
    <w:rsid w:val="00FF2E38"/>
    <w:rsid w:val="00FF2E75"/>
    <w:rsid w:val="00FF318F"/>
    <w:rsid w:val="00FF4119"/>
    <w:rsid w:val="00FF4914"/>
    <w:rsid w:val="00FF4C8E"/>
    <w:rsid w:val="00FF5688"/>
    <w:rsid w:val="00FF75A8"/>
    <w:rsid w:val="00FF79F0"/>
    <w:rsid w:val="00FF7C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DEABF"/>
  <w15:docId w15:val="{07960FE9-E0E2-4BCA-BBD1-E8AB34B4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0C95"/>
    <w:pPr>
      <w:bidi/>
      <w:spacing w:before="120" w:after="0" w:line="360" w:lineRule="auto"/>
      <w:contextualSpacing/>
    </w:pPr>
    <w:rPr>
      <w:rFonts w:ascii="David" w:hAnsi="David" w:cs="David"/>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A251DD"/>
    <w:pPr>
      <w:spacing w:line="240" w:lineRule="auto"/>
    </w:pPr>
    <w:rPr>
      <w:sz w:val="20"/>
      <w:szCs w:val="20"/>
    </w:rPr>
  </w:style>
  <w:style w:type="character" w:customStyle="1" w:styleId="a5">
    <w:name w:val="טקסט הערת שוליים תו"/>
    <w:basedOn w:val="a1"/>
    <w:link w:val="a4"/>
    <w:uiPriority w:val="99"/>
    <w:semiHidden/>
    <w:rsid w:val="00A251DD"/>
    <w:rPr>
      <w:sz w:val="20"/>
      <w:szCs w:val="20"/>
    </w:rPr>
  </w:style>
  <w:style w:type="character" w:styleId="a6">
    <w:name w:val="footnote reference"/>
    <w:aliases w:val="Footnote Reference Superscript,Footnote symbol,Footnote Reference Number,Footnote Reference_LVL6,Footnote Reference_LVL61,Footnote Reference_LVL62,Footnote Reference_LVL63,Footnote Reference_LVL64,fr,SUPERS,EN Footnote Reference"/>
    <w:basedOn w:val="a1"/>
    <w:uiPriority w:val="99"/>
    <w:unhideWhenUsed/>
    <w:rsid w:val="00A251DD"/>
    <w:rPr>
      <w:vertAlign w:val="superscript"/>
    </w:rPr>
  </w:style>
  <w:style w:type="table" w:customStyle="1" w:styleId="2">
    <w:name w:val="טבלת רשת2"/>
    <w:basedOn w:val="a2"/>
    <w:next w:val="a7"/>
    <w:rsid w:val="00A251D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2"/>
    <w:uiPriority w:val="39"/>
    <w:rsid w:val="00A2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251DD"/>
    <w:pPr>
      <w:bidi/>
      <w:spacing w:after="0" w:line="240" w:lineRule="auto"/>
    </w:pPr>
  </w:style>
  <w:style w:type="paragraph" w:styleId="a9">
    <w:name w:val="header"/>
    <w:basedOn w:val="a0"/>
    <w:link w:val="aa"/>
    <w:uiPriority w:val="99"/>
    <w:unhideWhenUsed/>
    <w:rsid w:val="00F445DC"/>
    <w:pPr>
      <w:tabs>
        <w:tab w:val="center" w:pos="4153"/>
        <w:tab w:val="right" w:pos="8306"/>
      </w:tabs>
      <w:spacing w:line="240" w:lineRule="auto"/>
    </w:pPr>
  </w:style>
  <w:style w:type="character" w:customStyle="1" w:styleId="aa">
    <w:name w:val="כותרת עליונה תו"/>
    <w:basedOn w:val="a1"/>
    <w:link w:val="a9"/>
    <w:uiPriority w:val="99"/>
    <w:rsid w:val="00F445DC"/>
  </w:style>
  <w:style w:type="paragraph" w:styleId="ab">
    <w:name w:val="footer"/>
    <w:basedOn w:val="a0"/>
    <w:link w:val="ac"/>
    <w:uiPriority w:val="99"/>
    <w:unhideWhenUsed/>
    <w:rsid w:val="00F445DC"/>
    <w:pPr>
      <w:tabs>
        <w:tab w:val="center" w:pos="4153"/>
        <w:tab w:val="right" w:pos="8306"/>
      </w:tabs>
      <w:spacing w:line="240" w:lineRule="auto"/>
    </w:pPr>
  </w:style>
  <w:style w:type="character" w:customStyle="1" w:styleId="ac">
    <w:name w:val="כותרת תחתונה תו"/>
    <w:basedOn w:val="a1"/>
    <w:link w:val="ab"/>
    <w:uiPriority w:val="99"/>
    <w:rsid w:val="00F445DC"/>
  </w:style>
  <w:style w:type="paragraph" w:styleId="ad">
    <w:name w:val="Balloon Text"/>
    <w:basedOn w:val="a0"/>
    <w:link w:val="ae"/>
    <w:uiPriority w:val="99"/>
    <w:semiHidden/>
    <w:unhideWhenUsed/>
    <w:rsid w:val="009975AA"/>
    <w:pPr>
      <w:spacing w:line="240" w:lineRule="auto"/>
    </w:pPr>
    <w:rPr>
      <w:rFonts w:ascii="Tahoma" w:hAnsi="Tahoma" w:cs="Tahoma"/>
      <w:sz w:val="18"/>
      <w:szCs w:val="18"/>
    </w:rPr>
  </w:style>
  <w:style w:type="character" w:customStyle="1" w:styleId="ae">
    <w:name w:val="טקסט בלונים תו"/>
    <w:basedOn w:val="a1"/>
    <w:link w:val="ad"/>
    <w:uiPriority w:val="99"/>
    <w:semiHidden/>
    <w:rsid w:val="009975AA"/>
    <w:rPr>
      <w:rFonts w:ascii="Tahoma" w:hAnsi="Tahoma" w:cs="Tahoma"/>
      <w:sz w:val="18"/>
      <w:szCs w:val="18"/>
    </w:rPr>
  </w:style>
  <w:style w:type="character" w:styleId="Hyperlink">
    <w:name w:val="Hyperlink"/>
    <w:basedOn w:val="a1"/>
    <w:uiPriority w:val="99"/>
    <w:unhideWhenUsed/>
    <w:rsid w:val="00B8762E"/>
    <w:rPr>
      <w:color w:val="0563C1" w:themeColor="hyperlink"/>
      <w:u w:val="single"/>
    </w:rPr>
  </w:style>
  <w:style w:type="character" w:styleId="FollowedHyperlink">
    <w:name w:val="FollowedHyperlink"/>
    <w:basedOn w:val="a1"/>
    <w:uiPriority w:val="99"/>
    <w:semiHidden/>
    <w:unhideWhenUsed/>
    <w:rsid w:val="00B8762E"/>
    <w:rPr>
      <w:color w:val="954F72" w:themeColor="followedHyperlink"/>
      <w:u w:val="single"/>
    </w:rPr>
  </w:style>
  <w:style w:type="character" w:styleId="af">
    <w:name w:val="annotation reference"/>
    <w:basedOn w:val="a1"/>
    <w:uiPriority w:val="99"/>
    <w:semiHidden/>
    <w:unhideWhenUsed/>
    <w:rsid w:val="00433379"/>
    <w:rPr>
      <w:sz w:val="16"/>
      <w:szCs w:val="16"/>
    </w:rPr>
  </w:style>
  <w:style w:type="paragraph" w:styleId="af0">
    <w:name w:val="annotation text"/>
    <w:basedOn w:val="a0"/>
    <w:link w:val="af1"/>
    <w:uiPriority w:val="99"/>
    <w:unhideWhenUsed/>
    <w:rsid w:val="00433379"/>
    <w:pPr>
      <w:spacing w:after="200" w:line="240" w:lineRule="auto"/>
    </w:pPr>
    <w:rPr>
      <w:sz w:val="20"/>
      <w:szCs w:val="20"/>
    </w:rPr>
  </w:style>
  <w:style w:type="character" w:customStyle="1" w:styleId="af1">
    <w:name w:val="טקסט הערה תו"/>
    <w:basedOn w:val="a1"/>
    <w:link w:val="af0"/>
    <w:uiPriority w:val="99"/>
    <w:rsid w:val="00433379"/>
    <w:rPr>
      <w:sz w:val="20"/>
      <w:szCs w:val="20"/>
    </w:rPr>
  </w:style>
  <w:style w:type="paragraph" w:styleId="af2">
    <w:name w:val="List Paragraph"/>
    <w:basedOn w:val="a0"/>
    <w:uiPriority w:val="34"/>
    <w:qFormat/>
    <w:rsid w:val="00433379"/>
    <w:pPr>
      <w:ind w:left="720"/>
    </w:pPr>
  </w:style>
  <w:style w:type="paragraph" w:styleId="NormalWeb">
    <w:name w:val="Normal (Web)"/>
    <w:basedOn w:val="a0"/>
    <w:uiPriority w:val="99"/>
    <w:unhideWhenUsed/>
    <w:rsid w:val="00D265DA"/>
    <w:pPr>
      <w:bidi w:val="0"/>
      <w:spacing w:before="100" w:beforeAutospacing="1" w:after="100" w:afterAutospacing="1" w:line="240" w:lineRule="auto"/>
    </w:pPr>
    <w:rPr>
      <w:rFonts w:ascii="Times New Roman" w:eastAsia="Times New Roman" w:hAnsi="Times New Roman" w:cs="Times New Roman"/>
    </w:rPr>
  </w:style>
  <w:style w:type="paragraph" w:styleId="af3">
    <w:name w:val="annotation subject"/>
    <w:basedOn w:val="af0"/>
    <w:next w:val="af0"/>
    <w:link w:val="af4"/>
    <w:uiPriority w:val="99"/>
    <w:semiHidden/>
    <w:unhideWhenUsed/>
    <w:rsid w:val="00A2178D"/>
    <w:pPr>
      <w:spacing w:after="160"/>
    </w:pPr>
    <w:rPr>
      <w:b/>
      <w:bCs/>
    </w:rPr>
  </w:style>
  <w:style w:type="character" w:customStyle="1" w:styleId="af4">
    <w:name w:val="נושא הערה תו"/>
    <w:basedOn w:val="af1"/>
    <w:link w:val="af3"/>
    <w:uiPriority w:val="99"/>
    <w:semiHidden/>
    <w:rsid w:val="00A2178D"/>
    <w:rPr>
      <w:b/>
      <w:bCs/>
      <w:sz w:val="20"/>
      <w:szCs w:val="20"/>
    </w:rPr>
  </w:style>
  <w:style w:type="paragraph" w:styleId="af5">
    <w:name w:val="Revision"/>
    <w:hidden/>
    <w:uiPriority w:val="99"/>
    <w:semiHidden/>
    <w:rsid w:val="007A54B2"/>
    <w:pPr>
      <w:spacing w:after="0" w:line="240" w:lineRule="auto"/>
    </w:pPr>
  </w:style>
  <w:style w:type="table" w:customStyle="1" w:styleId="21">
    <w:name w:val="טבלת רשת21"/>
    <w:basedOn w:val="a2"/>
    <w:next w:val="a7"/>
    <w:rsid w:val="003B2D4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כותרת ראשית"/>
    <w:basedOn w:val="a0"/>
    <w:next w:val="a0"/>
    <w:link w:val="af7"/>
    <w:qFormat/>
    <w:rsid w:val="00910C95"/>
    <w:pPr>
      <w:spacing w:after="240"/>
      <w:ind w:left="23"/>
      <w:jc w:val="center"/>
      <w:outlineLvl w:val="0"/>
    </w:pPr>
    <w:rPr>
      <w:b/>
      <w:bCs/>
      <w:spacing w:val="5"/>
      <w:kern w:val="28"/>
      <w:sz w:val="28"/>
      <w:szCs w:val="28"/>
    </w:rPr>
  </w:style>
  <w:style w:type="paragraph" w:customStyle="1" w:styleId="a">
    <w:name w:val="כותרת משנה ממוספרת"/>
    <w:basedOn w:val="a0"/>
    <w:next w:val="a0"/>
    <w:link w:val="af8"/>
    <w:qFormat/>
    <w:rsid w:val="00910C95"/>
    <w:pPr>
      <w:keepNext/>
      <w:numPr>
        <w:numId w:val="9"/>
      </w:numPr>
      <w:spacing w:before="240" w:after="120"/>
      <w:jc w:val="both"/>
    </w:pPr>
    <w:rPr>
      <w:rFonts w:eastAsia="Times New Roman"/>
      <w:bCs/>
      <w:sz w:val="28"/>
    </w:rPr>
  </w:style>
  <w:style w:type="character" w:customStyle="1" w:styleId="af7">
    <w:name w:val="כותרת ראשית תו"/>
    <w:basedOn w:val="a1"/>
    <w:link w:val="af6"/>
    <w:rsid w:val="00910C95"/>
    <w:rPr>
      <w:rFonts w:ascii="David" w:hAnsi="David" w:cs="David"/>
      <w:b/>
      <w:bCs/>
      <w:spacing w:val="5"/>
      <w:kern w:val="28"/>
      <w:sz w:val="28"/>
      <w:szCs w:val="28"/>
    </w:rPr>
  </w:style>
  <w:style w:type="paragraph" w:customStyle="1" w:styleId="1">
    <w:name w:val="כותרת משנה רמה 1"/>
    <w:basedOn w:val="a0"/>
    <w:next w:val="a0"/>
    <w:link w:val="10"/>
    <w:qFormat/>
    <w:rsid w:val="00597143"/>
    <w:pPr>
      <w:keepNext/>
      <w:spacing w:before="240" w:after="120"/>
      <w:ind w:left="23"/>
      <w:jc w:val="both"/>
      <w:outlineLvl w:val="0"/>
    </w:pPr>
    <w:rPr>
      <w:rFonts w:eastAsia="Calibri"/>
      <w:b/>
      <w:bCs/>
    </w:rPr>
  </w:style>
  <w:style w:type="character" w:customStyle="1" w:styleId="af8">
    <w:name w:val="כותרת משנה ממוספרת תו"/>
    <w:basedOn w:val="a1"/>
    <w:link w:val="a"/>
    <w:rsid w:val="00910C95"/>
    <w:rPr>
      <w:rFonts w:ascii="David" w:eastAsia="Times New Roman" w:hAnsi="David" w:cs="David"/>
      <w:bCs/>
      <w:sz w:val="28"/>
      <w:szCs w:val="24"/>
    </w:rPr>
  </w:style>
  <w:style w:type="character" w:customStyle="1" w:styleId="10">
    <w:name w:val="כותרת משנה רמה 1 תו"/>
    <w:basedOn w:val="a1"/>
    <w:link w:val="1"/>
    <w:rsid w:val="00597143"/>
    <w:rPr>
      <w:rFonts w:ascii="David" w:eastAsia="Calibri" w:hAnsi="David" w:cs="David"/>
      <w:b/>
      <w:bCs/>
      <w:sz w:val="24"/>
      <w:szCs w:val="24"/>
    </w:rPr>
  </w:style>
  <w:style w:type="character" w:customStyle="1" w:styleId="ui-provider">
    <w:name w:val="ui-provider"/>
    <w:basedOn w:val="a1"/>
    <w:rsid w:val="00E7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8805">
      <w:bodyDiv w:val="1"/>
      <w:marLeft w:val="0"/>
      <w:marRight w:val="0"/>
      <w:marTop w:val="0"/>
      <w:marBottom w:val="0"/>
      <w:divBdr>
        <w:top w:val="none" w:sz="0" w:space="0" w:color="auto"/>
        <w:left w:val="none" w:sz="0" w:space="0" w:color="auto"/>
        <w:bottom w:val="none" w:sz="0" w:space="0" w:color="auto"/>
        <w:right w:val="none" w:sz="0" w:space="0" w:color="auto"/>
      </w:divBdr>
      <w:divsChild>
        <w:div w:id="455561462">
          <w:marLeft w:val="0"/>
          <w:marRight w:val="547"/>
          <w:marTop w:val="0"/>
          <w:marBottom w:val="0"/>
          <w:divBdr>
            <w:top w:val="none" w:sz="0" w:space="0" w:color="auto"/>
            <w:left w:val="none" w:sz="0" w:space="0" w:color="auto"/>
            <w:bottom w:val="none" w:sz="0" w:space="0" w:color="auto"/>
            <w:right w:val="none" w:sz="0" w:space="0" w:color="auto"/>
          </w:divBdr>
        </w:div>
        <w:div w:id="620577236">
          <w:marLeft w:val="0"/>
          <w:marRight w:val="547"/>
          <w:marTop w:val="0"/>
          <w:marBottom w:val="0"/>
          <w:divBdr>
            <w:top w:val="none" w:sz="0" w:space="0" w:color="auto"/>
            <w:left w:val="none" w:sz="0" w:space="0" w:color="auto"/>
            <w:bottom w:val="none" w:sz="0" w:space="0" w:color="auto"/>
            <w:right w:val="none" w:sz="0" w:space="0" w:color="auto"/>
          </w:divBdr>
        </w:div>
        <w:div w:id="1532646472">
          <w:marLeft w:val="0"/>
          <w:marRight w:val="547"/>
          <w:marTop w:val="0"/>
          <w:marBottom w:val="0"/>
          <w:divBdr>
            <w:top w:val="none" w:sz="0" w:space="0" w:color="auto"/>
            <w:left w:val="none" w:sz="0" w:space="0" w:color="auto"/>
            <w:bottom w:val="none" w:sz="0" w:space="0" w:color="auto"/>
            <w:right w:val="none" w:sz="0" w:space="0" w:color="auto"/>
          </w:divBdr>
        </w:div>
      </w:divsChild>
    </w:div>
    <w:div w:id="307513870">
      <w:bodyDiv w:val="1"/>
      <w:marLeft w:val="0"/>
      <w:marRight w:val="0"/>
      <w:marTop w:val="0"/>
      <w:marBottom w:val="0"/>
      <w:divBdr>
        <w:top w:val="none" w:sz="0" w:space="0" w:color="auto"/>
        <w:left w:val="none" w:sz="0" w:space="0" w:color="auto"/>
        <w:bottom w:val="none" w:sz="0" w:space="0" w:color="auto"/>
        <w:right w:val="none" w:sz="0" w:space="0" w:color="auto"/>
      </w:divBdr>
      <w:divsChild>
        <w:div w:id="324937829">
          <w:marLeft w:val="0"/>
          <w:marRight w:val="360"/>
          <w:marTop w:val="240"/>
          <w:marBottom w:val="0"/>
          <w:divBdr>
            <w:top w:val="none" w:sz="0" w:space="0" w:color="auto"/>
            <w:left w:val="none" w:sz="0" w:space="0" w:color="auto"/>
            <w:bottom w:val="none" w:sz="0" w:space="0" w:color="auto"/>
            <w:right w:val="none" w:sz="0" w:space="0" w:color="auto"/>
          </w:divBdr>
        </w:div>
        <w:div w:id="587084012">
          <w:marLeft w:val="0"/>
          <w:marRight w:val="360"/>
          <w:marTop w:val="240"/>
          <w:marBottom w:val="0"/>
          <w:divBdr>
            <w:top w:val="none" w:sz="0" w:space="0" w:color="auto"/>
            <w:left w:val="none" w:sz="0" w:space="0" w:color="auto"/>
            <w:bottom w:val="none" w:sz="0" w:space="0" w:color="auto"/>
            <w:right w:val="none" w:sz="0" w:space="0" w:color="auto"/>
          </w:divBdr>
        </w:div>
        <w:div w:id="1092163676">
          <w:marLeft w:val="0"/>
          <w:marRight w:val="360"/>
          <w:marTop w:val="240"/>
          <w:marBottom w:val="0"/>
          <w:divBdr>
            <w:top w:val="none" w:sz="0" w:space="0" w:color="auto"/>
            <w:left w:val="none" w:sz="0" w:space="0" w:color="auto"/>
            <w:bottom w:val="none" w:sz="0" w:space="0" w:color="auto"/>
            <w:right w:val="none" w:sz="0" w:space="0" w:color="auto"/>
          </w:divBdr>
        </w:div>
        <w:div w:id="2147039727">
          <w:marLeft w:val="0"/>
          <w:marRight w:val="360"/>
          <w:marTop w:val="240"/>
          <w:marBottom w:val="0"/>
          <w:divBdr>
            <w:top w:val="none" w:sz="0" w:space="0" w:color="auto"/>
            <w:left w:val="none" w:sz="0" w:space="0" w:color="auto"/>
            <w:bottom w:val="none" w:sz="0" w:space="0" w:color="auto"/>
            <w:right w:val="none" w:sz="0" w:space="0" w:color="auto"/>
          </w:divBdr>
        </w:div>
      </w:divsChild>
    </w:div>
    <w:div w:id="323171424">
      <w:bodyDiv w:val="1"/>
      <w:marLeft w:val="0"/>
      <w:marRight w:val="0"/>
      <w:marTop w:val="0"/>
      <w:marBottom w:val="0"/>
      <w:divBdr>
        <w:top w:val="none" w:sz="0" w:space="0" w:color="auto"/>
        <w:left w:val="none" w:sz="0" w:space="0" w:color="auto"/>
        <w:bottom w:val="none" w:sz="0" w:space="0" w:color="auto"/>
        <w:right w:val="none" w:sz="0" w:space="0" w:color="auto"/>
      </w:divBdr>
    </w:div>
    <w:div w:id="478424487">
      <w:bodyDiv w:val="1"/>
      <w:marLeft w:val="0"/>
      <w:marRight w:val="0"/>
      <w:marTop w:val="0"/>
      <w:marBottom w:val="0"/>
      <w:divBdr>
        <w:top w:val="none" w:sz="0" w:space="0" w:color="auto"/>
        <w:left w:val="none" w:sz="0" w:space="0" w:color="auto"/>
        <w:bottom w:val="none" w:sz="0" w:space="0" w:color="auto"/>
        <w:right w:val="none" w:sz="0" w:space="0" w:color="auto"/>
      </w:divBdr>
      <w:divsChild>
        <w:div w:id="363599981">
          <w:marLeft w:val="0"/>
          <w:marRight w:val="360"/>
          <w:marTop w:val="240"/>
          <w:marBottom w:val="0"/>
          <w:divBdr>
            <w:top w:val="none" w:sz="0" w:space="0" w:color="auto"/>
            <w:left w:val="none" w:sz="0" w:space="0" w:color="auto"/>
            <w:bottom w:val="none" w:sz="0" w:space="0" w:color="auto"/>
            <w:right w:val="none" w:sz="0" w:space="0" w:color="auto"/>
          </w:divBdr>
        </w:div>
        <w:div w:id="596988834">
          <w:marLeft w:val="0"/>
          <w:marRight w:val="360"/>
          <w:marTop w:val="240"/>
          <w:marBottom w:val="0"/>
          <w:divBdr>
            <w:top w:val="none" w:sz="0" w:space="0" w:color="auto"/>
            <w:left w:val="none" w:sz="0" w:space="0" w:color="auto"/>
            <w:bottom w:val="none" w:sz="0" w:space="0" w:color="auto"/>
            <w:right w:val="none" w:sz="0" w:space="0" w:color="auto"/>
          </w:divBdr>
        </w:div>
      </w:divsChild>
    </w:div>
    <w:div w:id="498543810">
      <w:bodyDiv w:val="1"/>
      <w:marLeft w:val="0"/>
      <w:marRight w:val="0"/>
      <w:marTop w:val="0"/>
      <w:marBottom w:val="0"/>
      <w:divBdr>
        <w:top w:val="none" w:sz="0" w:space="0" w:color="auto"/>
        <w:left w:val="none" w:sz="0" w:space="0" w:color="auto"/>
        <w:bottom w:val="none" w:sz="0" w:space="0" w:color="auto"/>
        <w:right w:val="none" w:sz="0" w:space="0" w:color="auto"/>
      </w:divBdr>
    </w:div>
    <w:div w:id="518394452">
      <w:bodyDiv w:val="1"/>
      <w:marLeft w:val="0"/>
      <w:marRight w:val="0"/>
      <w:marTop w:val="0"/>
      <w:marBottom w:val="0"/>
      <w:divBdr>
        <w:top w:val="none" w:sz="0" w:space="0" w:color="auto"/>
        <w:left w:val="none" w:sz="0" w:space="0" w:color="auto"/>
        <w:bottom w:val="none" w:sz="0" w:space="0" w:color="auto"/>
        <w:right w:val="none" w:sz="0" w:space="0" w:color="auto"/>
      </w:divBdr>
    </w:div>
    <w:div w:id="576331894">
      <w:bodyDiv w:val="1"/>
      <w:marLeft w:val="0"/>
      <w:marRight w:val="0"/>
      <w:marTop w:val="0"/>
      <w:marBottom w:val="0"/>
      <w:divBdr>
        <w:top w:val="none" w:sz="0" w:space="0" w:color="auto"/>
        <w:left w:val="none" w:sz="0" w:space="0" w:color="auto"/>
        <w:bottom w:val="none" w:sz="0" w:space="0" w:color="auto"/>
        <w:right w:val="none" w:sz="0" w:space="0" w:color="auto"/>
      </w:divBdr>
    </w:div>
    <w:div w:id="579145395">
      <w:bodyDiv w:val="1"/>
      <w:marLeft w:val="0"/>
      <w:marRight w:val="0"/>
      <w:marTop w:val="0"/>
      <w:marBottom w:val="0"/>
      <w:divBdr>
        <w:top w:val="none" w:sz="0" w:space="0" w:color="auto"/>
        <w:left w:val="none" w:sz="0" w:space="0" w:color="auto"/>
        <w:bottom w:val="none" w:sz="0" w:space="0" w:color="auto"/>
        <w:right w:val="none" w:sz="0" w:space="0" w:color="auto"/>
      </w:divBdr>
      <w:divsChild>
        <w:div w:id="164781100">
          <w:marLeft w:val="0"/>
          <w:marRight w:val="360"/>
          <w:marTop w:val="240"/>
          <w:marBottom w:val="0"/>
          <w:divBdr>
            <w:top w:val="none" w:sz="0" w:space="0" w:color="auto"/>
            <w:left w:val="none" w:sz="0" w:space="0" w:color="auto"/>
            <w:bottom w:val="none" w:sz="0" w:space="0" w:color="auto"/>
            <w:right w:val="none" w:sz="0" w:space="0" w:color="auto"/>
          </w:divBdr>
        </w:div>
      </w:divsChild>
    </w:div>
    <w:div w:id="773748116">
      <w:bodyDiv w:val="1"/>
      <w:marLeft w:val="0"/>
      <w:marRight w:val="0"/>
      <w:marTop w:val="0"/>
      <w:marBottom w:val="0"/>
      <w:divBdr>
        <w:top w:val="none" w:sz="0" w:space="0" w:color="auto"/>
        <w:left w:val="none" w:sz="0" w:space="0" w:color="auto"/>
        <w:bottom w:val="none" w:sz="0" w:space="0" w:color="auto"/>
        <w:right w:val="none" w:sz="0" w:space="0" w:color="auto"/>
      </w:divBdr>
    </w:div>
    <w:div w:id="795442589">
      <w:bodyDiv w:val="1"/>
      <w:marLeft w:val="0"/>
      <w:marRight w:val="0"/>
      <w:marTop w:val="0"/>
      <w:marBottom w:val="0"/>
      <w:divBdr>
        <w:top w:val="none" w:sz="0" w:space="0" w:color="auto"/>
        <w:left w:val="none" w:sz="0" w:space="0" w:color="auto"/>
        <w:bottom w:val="none" w:sz="0" w:space="0" w:color="auto"/>
        <w:right w:val="none" w:sz="0" w:space="0" w:color="auto"/>
      </w:divBdr>
    </w:div>
    <w:div w:id="862748478">
      <w:bodyDiv w:val="1"/>
      <w:marLeft w:val="0"/>
      <w:marRight w:val="0"/>
      <w:marTop w:val="0"/>
      <w:marBottom w:val="0"/>
      <w:divBdr>
        <w:top w:val="none" w:sz="0" w:space="0" w:color="auto"/>
        <w:left w:val="none" w:sz="0" w:space="0" w:color="auto"/>
        <w:bottom w:val="none" w:sz="0" w:space="0" w:color="auto"/>
        <w:right w:val="none" w:sz="0" w:space="0" w:color="auto"/>
      </w:divBdr>
    </w:div>
    <w:div w:id="937177129">
      <w:bodyDiv w:val="1"/>
      <w:marLeft w:val="0"/>
      <w:marRight w:val="0"/>
      <w:marTop w:val="0"/>
      <w:marBottom w:val="0"/>
      <w:divBdr>
        <w:top w:val="none" w:sz="0" w:space="0" w:color="auto"/>
        <w:left w:val="none" w:sz="0" w:space="0" w:color="auto"/>
        <w:bottom w:val="none" w:sz="0" w:space="0" w:color="auto"/>
        <w:right w:val="none" w:sz="0" w:space="0" w:color="auto"/>
      </w:divBdr>
    </w:div>
    <w:div w:id="964585648">
      <w:bodyDiv w:val="1"/>
      <w:marLeft w:val="0"/>
      <w:marRight w:val="0"/>
      <w:marTop w:val="0"/>
      <w:marBottom w:val="0"/>
      <w:divBdr>
        <w:top w:val="none" w:sz="0" w:space="0" w:color="auto"/>
        <w:left w:val="none" w:sz="0" w:space="0" w:color="auto"/>
        <w:bottom w:val="none" w:sz="0" w:space="0" w:color="auto"/>
        <w:right w:val="none" w:sz="0" w:space="0" w:color="auto"/>
      </w:divBdr>
    </w:div>
    <w:div w:id="1061055014">
      <w:bodyDiv w:val="1"/>
      <w:marLeft w:val="0"/>
      <w:marRight w:val="0"/>
      <w:marTop w:val="0"/>
      <w:marBottom w:val="0"/>
      <w:divBdr>
        <w:top w:val="none" w:sz="0" w:space="0" w:color="auto"/>
        <w:left w:val="none" w:sz="0" w:space="0" w:color="auto"/>
        <w:bottom w:val="none" w:sz="0" w:space="0" w:color="auto"/>
        <w:right w:val="none" w:sz="0" w:space="0" w:color="auto"/>
      </w:divBdr>
      <w:divsChild>
        <w:div w:id="1770587945">
          <w:marLeft w:val="0"/>
          <w:marRight w:val="446"/>
          <w:marTop w:val="0"/>
          <w:marBottom w:val="0"/>
          <w:divBdr>
            <w:top w:val="none" w:sz="0" w:space="0" w:color="auto"/>
            <w:left w:val="none" w:sz="0" w:space="0" w:color="auto"/>
            <w:bottom w:val="none" w:sz="0" w:space="0" w:color="auto"/>
            <w:right w:val="none" w:sz="0" w:space="0" w:color="auto"/>
          </w:divBdr>
        </w:div>
      </w:divsChild>
    </w:div>
    <w:div w:id="1136025683">
      <w:bodyDiv w:val="1"/>
      <w:marLeft w:val="0"/>
      <w:marRight w:val="0"/>
      <w:marTop w:val="0"/>
      <w:marBottom w:val="0"/>
      <w:divBdr>
        <w:top w:val="none" w:sz="0" w:space="0" w:color="auto"/>
        <w:left w:val="none" w:sz="0" w:space="0" w:color="auto"/>
        <w:bottom w:val="none" w:sz="0" w:space="0" w:color="auto"/>
        <w:right w:val="none" w:sz="0" w:space="0" w:color="auto"/>
      </w:divBdr>
    </w:div>
    <w:div w:id="1220677449">
      <w:bodyDiv w:val="1"/>
      <w:marLeft w:val="0"/>
      <w:marRight w:val="0"/>
      <w:marTop w:val="0"/>
      <w:marBottom w:val="0"/>
      <w:divBdr>
        <w:top w:val="none" w:sz="0" w:space="0" w:color="auto"/>
        <w:left w:val="none" w:sz="0" w:space="0" w:color="auto"/>
        <w:bottom w:val="none" w:sz="0" w:space="0" w:color="auto"/>
        <w:right w:val="none" w:sz="0" w:space="0" w:color="auto"/>
      </w:divBdr>
    </w:div>
    <w:div w:id="1351033415">
      <w:bodyDiv w:val="1"/>
      <w:marLeft w:val="0"/>
      <w:marRight w:val="0"/>
      <w:marTop w:val="0"/>
      <w:marBottom w:val="0"/>
      <w:divBdr>
        <w:top w:val="none" w:sz="0" w:space="0" w:color="auto"/>
        <w:left w:val="none" w:sz="0" w:space="0" w:color="auto"/>
        <w:bottom w:val="none" w:sz="0" w:space="0" w:color="auto"/>
        <w:right w:val="none" w:sz="0" w:space="0" w:color="auto"/>
      </w:divBdr>
    </w:div>
    <w:div w:id="1549761150">
      <w:bodyDiv w:val="1"/>
      <w:marLeft w:val="0"/>
      <w:marRight w:val="0"/>
      <w:marTop w:val="0"/>
      <w:marBottom w:val="0"/>
      <w:divBdr>
        <w:top w:val="none" w:sz="0" w:space="0" w:color="auto"/>
        <w:left w:val="none" w:sz="0" w:space="0" w:color="auto"/>
        <w:bottom w:val="none" w:sz="0" w:space="0" w:color="auto"/>
        <w:right w:val="none" w:sz="0" w:space="0" w:color="auto"/>
      </w:divBdr>
    </w:div>
    <w:div w:id="1683240962">
      <w:bodyDiv w:val="1"/>
      <w:marLeft w:val="0"/>
      <w:marRight w:val="0"/>
      <w:marTop w:val="0"/>
      <w:marBottom w:val="0"/>
      <w:divBdr>
        <w:top w:val="none" w:sz="0" w:space="0" w:color="auto"/>
        <w:left w:val="none" w:sz="0" w:space="0" w:color="auto"/>
        <w:bottom w:val="none" w:sz="0" w:space="0" w:color="auto"/>
        <w:right w:val="none" w:sz="0" w:space="0" w:color="auto"/>
      </w:divBdr>
      <w:divsChild>
        <w:div w:id="209265836">
          <w:marLeft w:val="0"/>
          <w:marRight w:val="360"/>
          <w:marTop w:val="240"/>
          <w:marBottom w:val="0"/>
          <w:divBdr>
            <w:top w:val="none" w:sz="0" w:space="0" w:color="auto"/>
            <w:left w:val="none" w:sz="0" w:space="0" w:color="auto"/>
            <w:bottom w:val="none" w:sz="0" w:space="0" w:color="auto"/>
            <w:right w:val="none" w:sz="0" w:space="0" w:color="auto"/>
          </w:divBdr>
        </w:div>
        <w:div w:id="2061784408">
          <w:marLeft w:val="0"/>
          <w:marRight w:val="360"/>
          <w:marTop w:val="240"/>
          <w:marBottom w:val="0"/>
          <w:divBdr>
            <w:top w:val="none" w:sz="0" w:space="0" w:color="auto"/>
            <w:left w:val="none" w:sz="0" w:space="0" w:color="auto"/>
            <w:bottom w:val="none" w:sz="0" w:space="0" w:color="auto"/>
            <w:right w:val="none" w:sz="0" w:space="0" w:color="auto"/>
          </w:divBdr>
        </w:div>
      </w:divsChild>
    </w:div>
    <w:div w:id="1689798109">
      <w:bodyDiv w:val="1"/>
      <w:marLeft w:val="0"/>
      <w:marRight w:val="0"/>
      <w:marTop w:val="0"/>
      <w:marBottom w:val="0"/>
      <w:divBdr>
        <w:top w:val="none" w:sz="0" w:space="0" w:color="auto"/>
        <w:left w:val="none" w:sz="0" w:space="0" w:color="auto"/>
        <w:bottom w:val="none" w:sz="0" w:space="0" w:color="auto"/>
        <w:right w:val="none" w:sz="0" w:space="0" w:color="auto"/>
      </w:divBdr>
    </w:div>
    <w:div w:id="1781798376">
      <w:bodyDiv w:val="1"/>
      <w:marLeft w:val="0"/>
      <w:marRight w:val="0"/>
      <w:marTop w:val="0"/>
      <w:marBottom w:val="0"/>
      <w:divBdr>
        <w:top w:val="none" w:sz="0" w:space="0" w:color="auto"/>
        <w:left w:val="none" w:sz="0" w:space="0" w:color="auto"/>
        <w:bottom w:val="none" w:sz="0" w:space="0" w:color="auto"/>
        <w:right w:val="none" w:sz="0" w:space="0" w:color="auto"/>
      </w:divBdr>
    </w:div>
    <w:div w:id="1836340439">
      <w:bodyDiv w:val="1"/>
      <w:marLeft w:val="0"/>
      <w:marRight w:val="0"/>
      <w:marTop w:val="0"/>
      <w:marBottom w:val="0"/>
      <w:divBdr>
        <w:top w:val="none" w:sz="0" w:space="0" w:color="auto"/>
        <w:left w:val="none" w:sz="0" w:space="0" w:color="auto"/>
        <w:bottom w:val="none" w:sz="0" w:space="0" w:color="auto"/>
        <w:right w:val="none" w:sz="0" w:space="0" w:color="auto"/>
      </w:divBdr>
      <w:divsChild>
        <w:div w:id="458376209">
          <w:marLeft w:val="0"/>
          <w:marRight w:val="360"/>
          <w:marTop w:val="240"/>
          <w:marBottom w:val="0"/>
          <w:divBdr>
            <w:top w:val="none" w:sz="0" w:space="0" w:color="auto"/>
            <w:left w:val="none" w:sz="0" w:space="0" w:color="auto"/>
            <w:bottom w:val="none" w:sz="0" w:space="0" w:color="auto"/>
            <w:right w:val="none" w:sz="0" w:space="0" w:color="auto"/>
          </w:divBdr>
        </w:div>
      </w:divsChild>
    </w:div>
    <w:div w:id="1944454001">
      <w:bodyDiv w:val="1"/>
      <w:marLeft w:val="0"/>
      <w:marRight w:val="0"/>
      <w:marTop w:val="0"/>
      <w:marBottom w:val="0"/>
      <w:divBdr>
        <w:top w:val="none" w:sz="0" w:space="0" w:color="auto"/>
        <w:left w:val="none" w:sz="0" w:space="0" w:color="auto"/>
        <w:bottom w:val="none" w:sz="0" w:space="0" w:color="auto"/>
        <w:right w:val="none" w:sz="0" w:space="0" w:color="auto"/>
      </w:divBdr>
    </w:div>
    <w:div w:id="2054646251">
      <w:bodyDiv w:val="1"/>
      <w:marLeft w:val="0"/>
      <w:marRight w:val="0"/>
      <w:marTop w:val="0"/>
      <w:marBottom w:val="0"/>
      <w:divBdr>
        <w:top w:val="none" w:sz="0" w:space="0" w:color="auto"/>
        <w:left w:val="none" w:sz="0" w:space="0" w:color="auto"/>
        <w:bottom w:val="none" w:sz="0" w:space="0" w:color="auto"/>
        <w:right w:val="none" w:sz="0" w:space="0" w:color="auto"/>
      </w:divBdr>
    </w:div>
    <w:div w:id="2083721110">
      <w:bodyDiv w:val="1"/>
      <w:marLeft w:val="0"/>
      <w:marRight w:val="0"/>
      <w:marTop w:val="0"/>
      <w:marBottom w:val="0"/>
      <w:divBdr>
        <w:top w:val="none" w:sz="0" w:space="0" w:color="auto"/>
        <w:left w:val="none" w:sz="0" w:space="0" w:color="auto"/>
        <w:bottom w:val="none" w:sz="0" w:space="0" w:color="auto"/>
        <w:right w:val="none" w:sz="0" w:space="0" w:color="auto"/>
      </w:divBdr>
      <w:divsChild>
        <w:div w:id="517429874">
          <w:marLeft w:val="0"/>
          <w:marRight w:val="36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image" Target="media/image5.png"/><Relationship Id="rId3" Type="http://schemas.openxmlformats.org/officeDocument/2006/relationships/hyperlink" Target="https://www.boi.org.il/" TargetMode="External"/><Relationship Id="rId7" Type="http://schemas.openxmlformats.org/officeDocument/2006/relationships/hyperlink" Target="https://did.li/spotify-third-side-of-coin" TargetMode="External"/><Relationship Id="rId12" Type="http://schemas.openxmlformats.org/officeDocument/2006/relationships/hyperlink" Target="https://www.youtube.com/user/thebankofisrael" TargetMode="External"/><Relationship Id="rId2" Type="http://schemas.openxmlformats.org/officeDocument/2006/relationships/hyperlink" Target="https://www.boi.org.il/" TargetMode="External"/><Relationship Id="rId1" Type="http://schemas.openxmlformats.org/officeDocument/2006/relationships/image" Target="media/image2.png"/><Relationship Id="rId6" Type="http://schemas.openxmlformats.org/officeDocument/2006/relationships/image" Target="media/image3.png"/><Relationship Id="rId11" Type="http://schemas.openxmlformats.org/officeDocument/2006/relationships/hyperlink" Target="https://www.youtube.com/user/thebankofisrael" TargetMode="External"/><Relationship Id="rId5" Type="http://schemas.openxmlformats.org/officeDocument/2006/relationships/hyperlink" Target="https://www.facebook.com/bankisraelvc" TargetMode="External"/><Relationship Id="rId10" Type="http://schemas.microsoft.com/office/2007/relationships/hdphoto" Target="media/hdphoto1.wdp"/><Relationship Id="rId4" Type="http://schemas.openxmlformats.org/officeDocument/2006/relationships/hyperlink" Target="https://www.facebook.com/bankisraelvc" TargetMode="External"/><Relationship Id="rId9" Type="http://schemas.openxmlformats.org/officeDocument/2006/relationships/image" Target="media/image4.png"/><Relationship Id="rId14" Type="http://schemas.microsoft.com/office/2007/relationships/hdphoto" Target="media/hdphoto2.wdp"/></Relationships>
</file>

<file path=word/_rels/footnotes.xml.rels><?xml version="1.0" encoding="UTF-8" standalone="yes"?>
<Relationships xmlns="http://schemas.openxmlformats.org/package/2006/relationships"><Relationship Id="rId1" Type="http://schemas.openxmlformats.org/officeDocument/2006/relationships/hyperlink" Target="https://www.boi.org.il/media/ybvpydng/dp12065e.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2589-7E84-41F1-A47B-ADE74EF4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1723</Words>
  <Characters>8620</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חן ציון</dc:creator>
  <cp:keywords/>
  <dc:description/>
  <cp:lastModifiedBy>אילנית שרון</cp:lastModifiedBy>
  <cp:revision>2</cp:revision>
  <dcterms:created xsi:type="dcterms:W3CDTF">2024-05-28T03:44:00Z</dcterms:created>
  <dcterms:modified xsi:type="dcterms:W3CDTF">2024-05-28T03:44:00Z</dcterms:modified>
</cp:coreProperties>
</file>