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1"/>
        <w:bidiVisual/>
        <w:tblW w:w="8728" w:type="dxa"/>
        <w:tblLayout w:type="fixed"/>
        <w:tblLook w:val="0000" w:firstRow="0" w:lastRow="0" w:firstColumn="0" w:lastColumn="0" w:noHBand="0" w:noVBand="0"/>
        <w:tblCaption w:val="כותרת עליונה"/>
        <w:tblDescription w:val="כותרת עליונה"/>
      </w:tblPr>
      <w:tblGrid>
        <w:gridCol w:w="2916"/>
        <w:gridCol w:w="2835"/>
        <w:gridCol w:w="2977"/>
      </w:tblGrid>
      <w:tr w:rsidR="00F754CD" w:rsidRPr="00F754CD" w:rsidTr="00BD7ECC">
        <w:trPr>
          <w:trHeight w:val="1566"/>
          <w:tblHeader/>
        </w:trPr>
        <w:tc>
          <w:tcPr>
            <w:tcW w:w="2916" w:type="dxa"/>
            <w:tcBorders>
              <w:top w:val="nil"/>
              <w:left w:val="nil"/>
              <w:bottom w:val="nil"/>
              <w:right w:val="nil"/>
            </w:tcBorders>
            <w:vAlign w:val="center"/>
          </w:tcPr>
          <w:p w:rsidR="00B25344" w:rsidRPr="000D4675" w:rsidRDefault="00B25344" w:rsidP="00F754CD">
            <w:pPr>
              <w:spacing w:after="0"/>
              <w:rPr>
                <w:rFonts w:ascii="David" w:hAnsi="David" w:cs="David"/>
                <w:b/>
                <w:bCs/>
                <w:sz w:val="28"/>
                <w:szCs w:val="28"/>
                <w:rtl/>
              </w:rPr>
            </w:pPr>
            <w:r w:rsidRPr="000D4675">
              <w:rPr>
                <w:rFonts w:ascii="David" w:hAnsi="David" w:cs="David"/>
                <w:b/>
                <w:bCs/>
                <w:sz w:val="28"/>
                <w:szCs w:val="28"/>
                <w:rtl/>
              </w:rPr>
              <w:t>בנק ישראל</w:t>
            </w:r>
          </w:p>
          <w:p w:rsidR="00B25344" w:rsidRPr="000D4675" w:rsidRDefault="00B25344" w:rsidP="00F754CD">
            <w:pPr>
              <w:spacing w:after="0"/>
              <w:ind w:right="-101"/>
              <w:rPr>
                <w:rFonts w:ascii="David" w:hAnsi="David" w:cs="David"/>
                <w:rtl/>
              </w:rPr>
            </w:pPr>
            <w:r w:rsidRPr="00F84402">
              <w:rPr>
                <w:rFonts w:ascii="David" w:hAnsi="David" w:cs="David"/>
                <w:sz w:val="24"/>
                <w:szCs w:val="24"/>
                <w:rtl/>
              </w:rPr>
              <w:t>דוברות והסברה כלכלית</w:t>
            </w:r>
          </w:p>
        </w:tc>
        <w:tc>
          <w:tcPr>
            <w:tcW w:w="2835" w:type="dxa"/>
            <w:tcBorders>
              <w:top w:val="nil"/>
              <w:left w:val="nil"/>
              <w:bottom w:val="nil"/>
              <w:right w:val="nil"/>
            </w:tcBorders>
          </w:tcPr>
          <w:p w:rsidR="00B25344" w:rsidRPr="000D4675" w:rsidRDefault="00B25344" w:rsidP="00BD7ECC">
            <w:pPr>
              <w:spacing w:line="240" w:lineRule="auto"/>
              <w:jc w:val="center"/>
              <w:rPr>
                <w:rFonts w:ascii="David" w:hAnsi="David" w:cs="David"/>
              </w:rPr>
            </w:pPr>
            <w:r w:rsidRPr="000D4675">
              <w:rPr>
                <w:rFonts w:ascii="David" w:hAnsi="David" w:cs="David"/>
                <w:noProof/>
              </w:rPr>
              <w:drawing>
                <wp:inline distT="0" distB="0" distL="0" distR="0" wp14:anchorId="2236C54E" wp14:editId="2A3C1302">
                  <wp:extent cx="901405" cy="940175"/>
                  <wp:effectExtent l="0" t="0" r="0" b="0"/>
                  <wp:docPr id="9" name="תמונה 9"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297" cy="957794"/>
                          </a:xfrm>
                          <a:prstGeom prst="rect">
                            <a:avLst/>
                          </a:prstGeom>
                          <a:noFill/>
                        </pic:spPr>
                      </pic:pic>
                    </a:graphicData>
                  </a:graphic>
                </wp:inline>
              </w:drawing>
            </w:r>
          </w:p>
        </w:tc>
        <w:tc>
          <w:tcPr>
            <w:tcW w:w="2977" w:type="dxa"/>
            <w:tcBorders>
              <w:top w:val="nil"/>
              <w:left w:val="nil"/>
              <w:bottom w:val="nil"/>
              <w:right w:val="nil"/>
            </w:tcBorders>
            <w:vAlign w:val="center"/>
          </w:tcPr>
          <w:p w:rsidR="00B25344" w:rsidRPr="00F754CD" w:rsidRDefault="00B25344" w:rsidP="00F754CD">
            <w:pPr>
              <w:spacing w:line="240" w:lineRule="auto"/>
              <w:jc w:val="right"/>
              <w:rPr>
                <w:rFonts w:ascii="David" w:hAnsi="David" w:cs="David"/>
                <w:sz w:val="24"/>
                <w:szCs w:val="24"/>
                <w:rtl/>
              </w:rPr>
            </w:pPr>
            <w:r w:rsidRPr="00F754CD">
              <w:rPr>
                <w:rFonts w:ascii="David" w:hAnsi="David" w:cs="David"/>
                <w:sz w:val="24"/>
                <w:szCs w:val="24"/>
                <w:highlight w:val="yellow"/>
                <w:rtl/>
              </w:rPr>
              <w:t>‏‏</w:t>
            </w:r>
            <w:r w:rsidRPr="00F754CD">
              <w:rPr>
                <w:rFonts w:ascii="David" w:hAnsi="David" w:cs="David"/>
                <w:sz w:val="24"/>
                <w:szCs w:val="24"/>
                <w:rtl/>
              </w:rPr>
              <w:t>ירושלים,</w:t>
            </w:r>
            <w:r w:rsidRPr="00F754CD">
              <w:rPr>
                <w:rFonts w:ascii="David" w:hAnsi="David" w:cs="David" w:hint="cs"/>
                <w:sz w:val="24"/>
                <w:szCs w:val="24"/>
                <w:rtl/>
              </w:rPr>
              <w:t xml:space="preserve"> </w:t>
            </w:r>
            <w:r w:rsidR="000E44DA" w:rsidRPr="00F754CD">
              <w:rPr>
                <w:rFonts w:ascii="David" w:hAnsi="David" w:cs="David" w:hint="cs"/>
                <w:sz w:val="24"/>
                <w:szCs w:val="24"/>
                <w:rtl/>
              </w:rPr>
              <w:t>כ"</w:t>
            </w:r>
            <w:r w:rsidR="00F754CD" w:rsidRPr="00F754CD">
              <w:rPr>
                <w:rFonts w:ascii="David" w:hAnsi="David" w:cs="David" w:hint="cs"/>
                <w:sz w:val="24"/>
                <w:szCs w:val="24"/>
                <w:rtl/>
              </w:rPr>
              <w:t>ג</w:t>
            </w:r>
            <w:r w:rsidR="000E44DA" w:rsidRPr="00F754CD">
              <w:rPr>
                <w:rFonts w:ascii="David" w:hAnsi="David" w:cs="David" w:hint="cs"/>
                <w:sz w:val="24"/>
                <w:szCs w:val="24"/>
                <w:rtl/>
              </w:rPr>
              <w:t xml:space="preserve"> </w:t>
            </w:r>
            <w:r w:rsidR="00F754CD" w:rsidRPr="00F754CD">
              <w:rPr>
                <w:rFonts w:ascii="David" w:hAnsi="David" w:cs="David" w:hint="cs"/>
                <w:sz w:val="24"/>
                <w:szCs w:val="24"/>
                <w:rtl/>
              </w:rPr>
              <w:t>תמוז</w:t>
            </w:r>
            <w:r w:rsidRPr="00F754CD">
              <w:rPr>
                <w:rFonts w:ascii="David" w:hAnsi="David" w:cs="David"/>
                <w:sz w:val="24"/>
                <w:szCs w:val="24"/>
                <w:rtl/>
              </w:rPr>
              <w:t xml:space="preserve">, </w:t>
            </w:r>
            <w:proofErr w:type="spellStart"/>
            <w:r w:rsidR="00242EC3" w:rsidRPr="00F754CD">
              <w:rPr>
                <w:rFonts w:ascii="David" w:hAnsi="David" w:cs="David" w:hint="cs"/>
                <w:sz w:val="24"/>
                <w:szCs w:val="24"/>
                <w:rtl/>
              </w:rPr>
              <w:t>ה</w:t>
            </w:r>
            <w:r w:rsidR="00242EC3" w:rsidRPr="00F754CD">
              <w:rPr>
                <w:rFonts w:ascii="David" w:hAnsi="David" w:cs="David"/>
                <w:sz w:val="24"/>
                <w:szCs w:val="24"/>
                <w:rtl/>
              </w:rPr>
              <w:t>תשפ"</w:t>
            </w:r>
            <w:r w:rsidR="00F754CD" w:rsidRPr="00F754CD">
              <w:rPr>
                <w:rFonts w:ascii="David" w:hAnsi="David" w:cs="David" w:hint="cs"/>
                <w:sz w:val="24"/>
                <w:szCs w:val="24"/>
                <w:rtl/>
              </w:rPr>
              <w:t>ג</w:t>
            </w:r>
            <w:proofErr w:type="spellEnd"/>
          </w:p>
          <w:p w:rsidR="00B25344" w:rsidRPr="00F754CD" w:rsidRDefault="00296F58" w:rsidP="00F754CD">
            <w:pPr>
              <w:bidi w:val="0"/>
              <w:spacing w:line="240" w:lineRule="auto"/>
              <w:rPr>
                <w:rFonts w:ascii="David" w:hAnsi="David" w:cs="David"/>
                <w:sz w:val="24"/>
                <w:szCs w:val="24"/>
                <w:highlight w:val="yellow"/>
              </w:rPr>
            </w:pPr>
            <w:r w:rsidRPr="00F754CD">
              <w:rPr>
                <w:rFonts w:ascii="David" w:hAnsi="David" w:cs="David" w:hint="eastAsia"/>
                <w:sz w:val="24"/>
                <w:szCs w:val="24"/>
                <w:rtl/>
              </w:rPr>
              <w:t>‏</w:t>
            </w:r>
            <w:r w:rsidR="00F754CD" w:rsidRPr="00F754CD">
              <w:rPr>
                <w:rFonts w:ascii="David" w:hAnsi="David" w:cs="David" w:hint="cs"/>
                <w:sz w:val="24"/>
                <w:szCs w:val="24"/>
                <w:rtl/>
              </w:rPr>
              <w:t>12</w:t>
            </w:r>
            <w:r w:rsidR="0075512D" w:rsidRPr="00F754CD">
              <w:rPr>
                <w:rFonts w:ascii="David" w:hAnsi="David" w:cs="David"/>
                <w:sz w:val="24"/>
                <w:szCs w:val="24"/>
                <w:rtl/>
              </w:rPr>
              <w:t xml:space="preserve"> </w:t>
            </w:r>
            <w:r w:rsidR="00F754CD" w:rsidRPr="00F754CD">
              <w:rPr>
                <w:rFonts w:ascii="David" w:hAnsi="David" w:cs="David" w:hint="cs"/>
                <w:sz w:val="24"/>
                <w:szCs w:val="24"/>
                <w:rtl/>
              </w:rPr>
              <w:t>ביולי</w:t>
            </w:r>
            <w:r w:rsidRPr="00F754CD">
              <w:rPr>
                <w:rFonts w:ascii="David" w:hAnsi="David" w:cs="David"/>
                <w:sz w:val="24"/>
                <w:szCs w:val="24"/>
                <w:rtl/>
              </w:rPr>
              <w:t>, 202</w:t>
            </w:r>
            <w:r w:rsidR="00F754CD" w:rsidRPr="00F754CD">
              <w:rPr>
                <w:rFonts w:ascii="David" w:hAnsi="David" w:cs="David" w:hint="cs"/>
                <w:sz w:val="24"/>
                <w:szCs w:val="24"/>
                <w:rtl/>
              </w:rPr>
              <w:t>3</w:t>
            </w:r>
          </w:p>
        </w:tc>
      </w:tr>
    </w:tbl>
    <w:p w:rsidR="00B25344" w:rsidRDefault="00B25344" w:rsidP="00B25344">
      <w:pPr>
        <w:spacing w:line="240" w:lineRule="auto"/>
        <w:rPr>
          <w:rtl/>
        </w:rPr>
      </w:pPr>
    </w:p>
    <w:p w:rsidR="00B25344" w:rsidRPr="00F0534D" w:rsidRDefault="00B25344" w:rsidP="00B25344">
      <w:pPr>
        <w:rPr>
          <w:rFonts w:ascii="David" w:hAnsi="David" w:cs="David"/>
          <w:sz w:val="24"/>
          <w:szCs w:val="24"/>
          <w:rtl/>
        </w:rPr>
      </w:pPr>
      <w:r w:rsidRPr="00F0534D">
        <w:rPr>
          <w:rFonts w:ascii="David" w:hAnsi="David" w:cs="David" w:hint="cs"/>
          <w:sz w:val="24"/>
          <w:szCs w:val="24"/>
          <w:rtl/>
        </w:rPr>
        <w:t>הודעה לעיתונות</w:t>
      </w:r>
      <w:r>
        <w:rPr>
          <w:rFonts w:ascii="David" w:hAnsi="David" w:cs="David" w:hint="cs"/>
          <w:sz w:val="24"/>
          <w:szCs w:val="24"/>
          <w:rtl/>
        </w:rPr>
        <w:t>:</w:t>
      </w:r>
    </w:p>
    <w:p w:rsidR="009238CF" w:rsidRDefault="00340069" w:rsidP="00D578C4">
      <w:pPr>
        <w:pStyle w:val="a3"/>
        <w:rPr>
          <w:rFonts w:ascii="David" w:hAnsi="David" w:cs="David"/>
          <w:b/>
          <w:bCs/>
          <w:sz w:val="28"/>
          <w:szCs w:val="28"/>
          <w:rtl/>
        </w:rPr>
      </w:pPr>
      <w:r w:rsidRPr="00340069">
        <w:rPr>
          <w:rFonts w:ascii="David" w:hAnsi="David" w:cs="David"/>
          <w:b/>
          <w:bCs/>
          <w:sz w:val="28"/>
          <w:szCs w:val="28"/>
          <w:rtl/>
        </w:rPr>
        <w:t>הצטרפות בנק ישראל לוועדה הבינלאומית לדיווח אשראי (</w:t>
      </w:r>
      <w:r w:rsidRPr="00340069">
        <w:rPr>
          <w:rFonts w:ascii="David" w:hAnsi="David" w:cs="David"/>
          <w:b/>
          <w:bCs/>
          <w:sz w:val="28"/>
          <w:szCs w:val="28"/>
        </w:rPr>
        <w:t>ICCR</w:t>
      </w:r>
      <w:r w:rsidRPr="00340069">
        <w:rPr>
          <w:rFonts w:ascii="David" w:hAnsi="David" w:cs="David"/>
          <w:b/>
          <w:bCs/>
          <w:sz w:val="28"/>
          <w:szCs w:val="28"/>
          <w:rtl/>
        </w:rPr>
        <w:t>)</w:t>
      </w:r>
    </w:p>
    <w:p w:rsidR="00F754CD" w:rsidRDefault="00F754CD" w:rsidP="00907AC0">
      <w:pPr>
        <w:contextualSpacing/>
        <w:jc w:val="both"/>
        <w:rPr>
          <w:rFonts w:ascii="David" w:hAnsi="David" w:cs="David"/>
          <w:b/>
          <w:bCs/>
          <w:sz w:val="28"/>
          <w:szCs w:val="28"/>
          <w:rtl/>
        </w:rPr>
      </w:pPr>
    </w:p>
    <w:p w:rsidR="00907AC0" w:rsidRPr="006966BC" w:rsidRDefault="00340069" w:rsidP="007B2BF6">
      <w:pPr>
        <w:contextualSpacing/>
        <w:jc w:val="both"/>
        <w:rPr>
          <w:rFonts w:ascii="David" w:hAnsi="David" w:cs="David"/>
          <w:noProof/>
          <w:sz w:val="24"/>
          <w:szCs w:val="24"/>
          <w:rtl/>
        </w:rPr>
      </w:pPr>
      <w:r w:rsidRPr="006966BC">
        <w:rPr>
          <w:rFonts w:ascii="David" w:hAnsi="David" w:cs="David"/>
          <w:noProof/>
          <w:sz w:val="24"/>
          <w:szCs w:val="24"/>
          <w:rtl/>
        </w:rPr>
        <w:t xml:space="preserve">בחודש נובמבר 2022, במפגש החורף של </w:t>
      </w:r>
      <w:r w:rsidR="007B2BF6">
        <w:rPr>
          <w:rFonts w:ascii="David" w:hAnsi="David" w:cs="David" w:hint="cs"/>
          <w:noProof/>
          <w:sz w:val="24"/>
          <w:szCs w:val="24"/>
          <w:rtl/>
        </w:rPr>
        <w:t>ה</w:t>
      </w:r>
      <w:r w:rsidR="00907AC0" w:rsidRPr="006966BC">
        <w:rPr>
          <w:rFonts w:ascii="David" w:hAnsi="David" w:cs="David"/>
          <w:noProof/>
          <w:sz w:val="24"/>
          <w:szCs w:val="24"/>
          <w:rtl/>
        </w:rPr>
        <w:t>וועדה הבינלאומית לדיווח אשראי</w:t>
      </w:r>
      <w:r w:rsidR="00907AC0" w:rsidRPr="006966BC">
        <w:rPr>
          <w:rFonts w:ascii="David" w:hAnsi="David" w:cs="David"/>
          <w:sz w:val="28"/>
          <w:szCs w:val="28"/>
          <w:rtl/>
        </w:rPr>
        <w:t xml:space="preserve"> </w:t>
      </w:r>
      <w:r w:rsidRPr="006966BC">
        <w:rPr>
          <w:rFonts w:ascii="David" w:hAnsi="David" w:cs="David"/>
          <w:noProof/>
          <w:sz w:val="24"/>
          <w:szCs w:val="24"/>
          <w:rtl/>
        </w:rPr>
        <w:t>ה</w:t>
      </w:r>
      <w:r w:rsidRPr="006966BC">
        <w:rPr>
          <w:rFonts w:ascii="David" w:hAnsi="David" w:cs="David"/>
          <w:noProof/>
          <w:sz w:val="24"/>
          <w:szCs w:val="24"/>
        </w:rPr>
        <w:t xml:space="preserve">ICCR </w:t>
      </w:r>
      <w:r w:rsidR="00907AC0" w:rsidRPr="006966BC">
        <w:rPr>
          <w:rFonts w:ascii="David" w:hAnsi="David" w:cs="David"/>
          <w:noProof/>
          <w:sz w:val="24"/>
          <w:szCs w:val="24"/>
        </w:rPr>
        <w:t>-</w:t>
      </w:r>
    </w:p>
    <w:p w:rsidR="00D94097" w:rsidRPr="006966BC" w:rsidRDefault="00907AC0" w:rsidP="00C64388">
      <w:pPr>
        <w:contextualSpacing/>
        <w:jc w:val="both"/>
        <w:rPr>
          <w:rFonts w:ascii="David" w:hAnsi="David" w:cs="David"/>
          <w:noProof/>
          <w:sz w:val="24"/>
          <w:szCs w:val="24"/>
          <w:rtl/>
        </w:rPr>
      </w:pPr>
      <w:r w:rsidRPr="006966BC">
        <w:rPr>
          <w:rFonts w:ascii="David" w:hAnsi="David" w:cs="David"/>
          <w:noProof/>
          <w:sz w:val="24"/>
          <w:szCs w:val="24"/>
          <w:rtl/>
        </w:rPr>
        <w:t>(</w:t>
      </w:r>
      <w:r w:rsidRPr="006966BC">
        <w:rPr>
          <w:rFonts w:ascii="David" w:hAnsi="David" w:cs="David"/>
          <w:noProof/>
          <w:sz w:val="24"/>
          <w:szCs w:val="24"/>
        </w:rPr>
        <w:t>INTERNATIONAL COMMITTEE CREDIT REPORTING</w:t>
      </w:r>
      <w:r w:rsidRPr="006966BC">
        <w:rPr>
          <w:rFonts w:ascii="David" w:hAnsi="David" w:cs="David"/>
          <w:noProof/>
          <w:sz w:val="24"/>
          <w:szCs w:val="24"/>
          <w:rtl/>
        </w:rPr>
        <w:t xml:space="preserve">), </w:t>
      </w:r>
      <w:r w:rsidR="00340069" w:rsidRPr="006966BC">
        <w:rPr>
          <w:rFonts w:ascii="David" w:hAnsi="David" w:cs="David"/>
          <w:noProof/>
          <w:sz w:val="24"/>
          <w:szCs w:val="24"/>
          <w:rtl/>
        </w:rPr>
        <w:t>נערכה הצבעה בין החברים והוחלט פה אחד לאשר את הצטרפותו של בנק ישראל כחבר בארגון. מ</w:t>
      </w:r>
      <w:r w:rsidR="00636FD6" w:rsidRPr="006966BC">
        <w:rPr>
          <w:rFonts w:ascii="David" w:hAnsi="David" w:cs="David"/>
          <w:noProof/>
          <w:sz w:val="24"/>
          <w:szCs w:val="24"/>
          <w:rtl/>
        </w:rPr>
        <w:t xml:space="preserve">אז </w:t>
      </w:r>
      <w:r w:rsidR="00340069" w:rsidRPr="006966BC">
        <w:rPr>
          <w:rFonts w:ascii="David" w:hAnsi="David" w:cs="David"/>
          <w:noProof/>
          <w:sz w:val="24"/>
          <w:szCs w:val="24"/>
          <w:rtl/>
        </w:rPr>
        <w:t xml:space="preserve">נובמבר נעשו תהליכים פנימיים </w:t>
      </w:r>
      <w:r w:rsidR="001704B2" w:rsidRPr="006966BC">
        <w:rPr>
          <w:rFonts w:ascii="David" w:hAnsi="David" w:cs="David"/>
          <w:noProof/>
          <w:sz w:val="24"/>
          <w:szCs w:val="24"/>
          <w:rtl/>
        </w:rPr>
        <w:t>ב</w:t>
      </w:r>
      <w:r w:rsidR="00340069" w:rsidRPr="006966BC">
        <w:rPr>
          <w:rFonts w:ascii="David" w:hAnsi="David" w:cs="David"/>
          <w:noProof/>
          <w:sz w:val="24"/>
          <w:szCs w:val="24"/>
          <w:rtl/>
        </w:rPr>
        <w:t>בנק העולמי לאישור החברות של בנק ישראל, ולאחר התכנסות מושב האביב של הארגון, בחודש יוני, התקבל האישור הרשמי מהבנק העולמי על הצטרפותו של בנק ישראל לארגון</w:t>
      </w:r>
      <w:r w:rsidRPr="006966BC">
        <w:rPr>
          <w:rFonts w:ascii="David" w:hAnsi="David" w:cs="David"/>
          <w:noProof/>
          <w:sz w:val="24"/>
          <w:szCs w:val="24"/>
          <w:rtl/>
        </w:rPr>
        <w:t xml:space="preserve"> זה</w:t>
      </w:r>
      <w:r w:rsidR="00340069" w:rsidRPr="006966BC">
        <w:rPr>
          <w:rFonts w:ascii="David" w:hAnsi="David" w:cs="David"/>
          <w:noProof/>
          <w:sz w:val="24"/>
          <w:szCs w:val="24"/>
          <w:rtl/>
        </w:rPr>
        <w:t xml:space="preserve">. </w:t>
      </w:r>
    </w:p>
    <w:p w:rsidR="00C64388" w:rsidRPr="006966BC" w:rsidRDefault="00C64388" w:rsidP="00C64388">
      <w:pPr>
        <w:contextualSpacing/>
        <w:jc w:val="both"/>
        <w:rPr>
          <w:rFonts w:ascii="David" w:hAnsi="David" w:cs="David"/>
          <w:noProof/>
          <w:sz w:val="24"/>
          <w:szCs w:val="24"/>
        </w:rPr>
      </w:pPr>
    </w:p>
    <w:p w:rsidR="006E4F5C" w:rsidRPr="006966BC" w:rsidRDefault="006E4F5C" w:rsidP="00F766B9">
      <w:pPr>
        <w:contextualSpacing/>
        <w:jc w:val="both"/>
        <w:rPr>
          <w:rFonts w:ascii="David" w:hAnsi="David" w:cs="David"/>
          <w:noProof/>
          <w:sz w:val="24"/>
          <w:szCs w:val="24"/>
          <w:rtl/>
        </w:rPr>
      </w:pPr>
      <w:r w:rsidRPr="006966BC">
        <w:rPr>
          <w:rFonts w:ascii="David" w:hAnsi="David" w:cs="David"/>
          <w:noProof/>
          <w:sz w:val="24"/>
          <w:szCs w:val="24"/>
          <w:rtl/>
        </w:rPr>
        <w:t>רקע על ה-</w:t>
      </w:r>
      <w:r w:rsidRPr="006966BC">
        <w:rPr>
          <w:rFonts w:ascii="David" w:hAnsi="David" w:cs="David"/>
          <w:noProof/>
          <w:sz w:val="24"/>
          <w:szCs w:val="24"/>
        </w:rPr>
        <w:t>ICCR</w:t>
      </w:r>
      <w:r w:rsidRPr="006966BC">
        <w:rPr>
          <w:rFonts w:ascii="David" w:hAnsi="David" w:cs="David"/>
          <w:noProof/>
          <w:sz w:val="24"/>
          <w:szCs w:val="24"/>
          <w:rtl/>
        </w:rPr>
        <w:t>:</w:t>
      </w:r>
    </w:p>
    <w:p w:rsidR="00340069" w:rsidRPr="006966BC" w:rsidRDefault="00340069" w:rsidP="006E4F5C">
      <w:pPr>
        <w:contextualSpacing/>
        <w:jc w:val="both"/>
        <w:rPr>
          <w:rFonts w:ascii="David" w:hAnsi="David" w:cs="David"/>
          <w:b/>
          <w:bCs/>
          <w:noProof/>
          <w:sz w:val="24"/>
          <w:szCs w:val="24"/>
          <w:rtl/>
        </w:rPr>
      </w:pPr>
      <w:r w:rsidRPr="006966BC">
        <w:rPr>
          <w:rFonts w:ascii="David" w:hAnsi="David" w:cs="David"/>
          <w:noProof/>
          <w:sz w:val="24"/>
          <w:szCs w:val="24"/>
          <w:rtl/>
        </w:rPr>
        <w:t xml:space="preserve">בחודש מאי בשנת 2009 הוקם כוח משימה בינלאומי על-ידי הבנק העולמי </w:t>
      </w:r>
      <w:r w:rsidRPr="006966BC">
        <w:rPr>
          <w:rFonts w:ascii="David" w:hAnsi="David" w:cs="David"/>
          <w:noProof/>
          <w:sz w:val="24"/>
          <w:szCs w:val="24"/>
        </w:rPr>
        <w:t>(World Bank Group)</w:t>
      </w:r>
      <w:r w:rsidRPr="006966BC">
        <w:rPr>
          <w:rFonts w:ascii="David" w:hAnsi="David" w:cs="David"/>
          <w:noProof/>
          <w:sz w:val="24"/>
          <w:szCs w:val="24"/>
          <w:rtl/>
        </w:rPr>
        <w:t xml:space="preserve"> בתמיכת ה-</w:t>
      </w:r>
      <w:r w:rsidRPr="006966BC">
        <w:rPr>
          <w:rFonts w:ascii="David" w:hAnsi="David" w:cs="David"/>
          <w:noProof/>
          <w:sz w:val="24"/>
          <w:szCs w:val="24"/>
        </w:rPr>
        <w:t>BIS</w:t>
      </w:r>
      <w:r w:rsidRPr="006966BC">
        <w:rPr>
          <w:rFonts w:ascii="David" w:hAnsi="David" w:cs="David"/>
          <w:noProof/>
          <w:sz w:val="24"/>
          <w:szCs w:val="24"/>
          <w:rtl/>
        </w:rPr>
        <w:t xml:space="preserve"> </w:t>
      </w:r>
      <w:r w:rsidRPr="006966BC">
        <w:rPr>
          <w:rFonts w:ascii="David" w:hAnsi="David" w:cs="David"/>
          <w:noProof/>
          <w:sz w:val="24"/>
          <w:szCs w:val="24"/>
        </w:rPr>
        <w:t>(Bank for International Settlements)</w:t>
      </w:r>
      <w:r w:rsidRPr="006966BC">
        <w:rPr>
          <w:rFonts w:ascii="David" w:hAnsi="David" w:cs="David"/>
          <w:noProof/>
          <w:sz w:val="24"/>
          <w:szCs w:val="24"/>
          <w:rtl/>
        </w:rPr>
        <w:t xml:space="preserve"> שמטרתו לייצר סטנדרטים בינלאומיים לדיווחי אשראי. </w:t>
      </w:r>
      <w:r w:rsidR="00F766B9" w:rsidRPr="006966BC">
        <w:rPr>
          <w:rFonts w:ascii="David" w:hAnsi="David" w:cs="David"/>
          <w:noProof/>
          <w:sz w:val="24"/>
          <w:szCs w:val="24"/>
          <w:rtl/>
        </w:rPr>
        <w:t>הוועדה</w:t>
      </w:r>
      <w:r w:rsidRPr="006966BC">
        <w:rPr>
          <w:rFonts w:ascii="David" w:hAnsi="David" w:cs="David"/>
          <w:noProof/>
          <w:sz w:val="24"/>
          <w:szCs w:val="24"/>
          <w:rtl/>
        </w:rPr>
        <w:t xml:space="preserve"> כולל</w:t>
      </w:r>
      <w:r w:rsidR="00F766B9" w:rsidRPr="006966BC">
        <w:rPr>
          <w:rFonts w:ascii="David" w:hAnsi="David" w:cs="David"/>
          <w:noProof/>
          <w:sz w:val="24"/>
          <w:szCs w:val="24"/>
          <w:rtl/>
        </w:rPr>
        <w:t>ת</w:t>
      </w:r>
      <w:r w:rsidRPr="006966BC">
        <w:rPr>
          <w:rFonts w:ascii="David" w:hAnsi="David" w:cs="David"/>
          <w:noProof/>
          <w:sz w:val="24"/>
          <w:szCs w:val="24"/>
          <w:rtl/>
        </w:rPr>
        <w:t xml:space="preserve"> נציגים מבנקים מרכזיים בעולם ומרגולטורים פרטיים אחרים בתחום הפיננסי</w:t>
      </w:r>
      <w:r w:rsidR="00636FD6" w:rsidRPr="006966BC">
        <w:rPr>
          <w:rFonts w:ascii="David" w:hAnsi="David" w:cs="David"/>
          <w:noProof/>
          <w:sz w:val="24"/>
          <w:szCs w:val="24"/>
          <w:rtl/>
        </w:rPr>
        <w:t>י</w:t>
      </w:r>
      <w:r w:rsidRPr="006966BC">
        <w:rPr>
          <w:rFonts w:ascii="David" w:hAnsi="David" w:cs="David"/>
          <w:noProof/>
          <w:sz w:val="24"/>
          <w:szCs w:val="24"/>
          <w:rtl/>
        </w:rPr>
        <w:t xml:space="preserve">ם. </w:t>
      </w:r>
      <w:r w:rsidR="00F766B9" w:rsidRPr="006966BC">
        <w:rPr>
          <w:rFonts w:ascii="David" w:hAnsi="David" w:cs="David"/>
          <w:noProof/>
          <w:sz w:val="24"/>
          <w:szCs w:val="24"/>
          <w:rtl/>
        </w:rPr>
        <w:t>הוועדה</w:t>
      </w:r>
      <w:r w:rsidRPr="006966BC">
        <w:rPr>
          <w:rFonts w:ascii="David" w:hAnsi="David" w:cs="David"/>
          <w:noProof/>
          <w:sz w:val="24"/>
          <w:szCs w:val="24"/>
          <w:rtl/>
        </w:rPr>
        <w:t xml:space="preserve"> תומ</w:t>
      </w:r>
      <w:r w:rsidR="00F766B9" w:rsidRPr="006966BC">
        <w:rPr>
          <w:rFonts w:ascii="David" w:hAnsi="David" w:cs="David"/>
          <w:noProof/>
          <w:sz w:val="24"/>
          <w:szCs w:val="24"/>
          <w:rtl/>
        </w:rPr>
        <w:t>כת</w:t>
      </w:r>
      <w:r w:rsidRPr="006966BC">
        <w:rPr>
          <w:rFonts w:ascii="David" w:hAnsi="David" w:cs="David"/>
          <w:noProof/>
          <w:sz w:val="24"/>
          <w:szCs w:val="24"/>
          <w:rtl/>
        </w:rPr>
        <w:t xml:space="preserve"> בגישה רחבה וצופה פני עתיד לנושאים בעולם דיווחי האשראי תוך השגת קונצנזוס בהיבטי מדינ</w:t>
      </w:r>
      <w:r w:rsidR="001704B2" w:rsidRPr="006966BC">
        <w:rPr>
          <w:rFonts w:ascii="David" w:hAnsi="David" w:cs="David"/>
          <w:noProof/>
          <w:sz w:val="24"/>
          <w:szCs w:val="24"/>
          <w:rtl/>
        </w:rPr>
        <w:t xml:space="preserve">יות המשפיעים על האינטרס הציבורי. </w:t>
      </w:r>
      <w:r w:rsidR="006E4F5C" w:rsidRPr="006966BC">
        <w:rPr>
          <w:rFonts w:ascii="David" w:hAnsi="David" w:cs="David"/>
          <w:noProof/>
          <w:sz w:val="24"/>
          <w:szCs w:val="24"/>
          <w:rtl/>
        </w:rPr>
        <w:t>המדינות החברות ב</w:t>
      </w:r>
      <w:r w:rsidR="00F766B9" w:rsidRPr="006966BC">
        <w:rPr>
          <w:rFonts w:ascii="David" w:hAnsi="David" w:cs="David"/>
          <w:noProof/>
          <w:sz w:val="24"/>
          <w:szCs w:val="24"/>
          <w:rtl/>
        </w:rPr>
        <w:t>וועדה</w:t>
      </w:r>
      <w:r w:rsidR="00636FD6" w:rsidRPr="006966BC">
        <w:rPr>
          <w:rFonts w:ascii="David" w:hAnsi="David" w:cs="David"/>
          <w:noProof/>
          <w:sz w:val="24"/>
          <w:szCs w:val="24"/>
          <w:rtl/>
        </w:rPr>
        <w:t xml:space="preserve">, </w:t>
      </w:r>
      <w:r w:rsidR="006E4F5C" w:rsidRPr="006966BC">
        <w:rPr>
          <w:rFonts w:ascii="David" w:hAnsi="David" w:cs="David"/>
          <w:noProof/>
          <w:sz w:val="24"/>
          <w:szCs w:val="24"/>
          <w:rtl/>
        </w:rPr>
        <w:t>מיישמות</w:t>
      </w:r>
      <w:r w:rsidR="000B3284" w:rsidRPr="006966BC">
        <w:rPr>
          <w:rFonts w:ascii="David" w:hAnsi="David" w:cs="David"/>
          <w:noProof/>
          <w:sz w:val="24"/>
          <w:szCs w:val="24"/>
          <w:rtl/>
        </w:rPr>
        <w:t xml:space="preserve"> </w:t>
      </w:r>
      <w:r w:rsidR="00636FD6" w:rsidRPr="006966BC">
        <w:rPr>
          <w:rFonts w:ascii="David" w:hAnsi="David" w:cs="David"/>
          <w:noProof/>
          <w:sz w:val="24"/>
          <w:szCs w:val="24"/>
          <w:rtl/>
        </w:rPr>
        <w:t>את ה</w:t>
      </w:r>
      <w:r w:rsidR="001704B2" w:rsidRPr="006966BC">
        <w:rPr>
          <w:rFonts w:ascii="David" w:hAnsi="David" w:cs="David"/>
          <w:noProof/>
          <w:sz w:val="24"/>
          <w:szCs w:val="24"/>
          <w:rtl/>
        </w:rPr>
        <w:t>סטנדרטים הבינלאומיים</w:t>
      </w:r>
      <w:r w:rsidR="00636FD6" w:rsidRPr="006966BC">
        <w:rPr>
          <w:rFonts w:ascii="David" w:hAnsi="David" w:cs="David"/>
          <w:noProof/>
          <w:sz w:val="24"/>
          <w:szCs w:val="24"/>
          <w:rtl/>
        </w:rPr>
        <w:t xml:space="preserve"> המתקדמים ביותר</w:t>
      </w:r>
      <w:r w:rsidR="001704B2" w:rsidRPr="006966BC">
        <w:rPr>
          <w:rFonts w:ascii="David" w:hAnsi="David" w:cs="David"/>
          <w:noProof/>
          <w:sz w:val="24"/>
          <w:szCs w:val="24"/>
          <w:rtl/>
        </w:rPr>
        <w:t xml:space="preserve"> בכל הנוגע לדיווחי אשראי ולשיתוף נתוני אשראי.</w:t>
      </w:r>
    </w:p>
    <w:p w:rsidR="00C64388" w:rsidRPr="006966BC" w:rsidRDefault="00C64388" w:rsidP="00C64388">
      <w:pPr>
        <w:contextualSpacing/>
        <w:jc w:val="both"/>
        <w:rPr>
          <w:rFonts w:ascii="David" w:hAnsi="David" w:cs="David"/>
          <w:noProof/>
          <w:sz w:val="24"/>
          <w:szCs w:val="24"/>
          <w:rtl/>
        </w:rPr>
      </w:pPr>
      <w:r w:rsidRPr="006966BC">
        <w:rPr>
          <w:rFonts w:ascii="David" w:hAnsi="David" w:cs="David"/>
          <w:sz w:val="24"/>
          <w:szCs w:val="24"/>
          <w:rtl/>
        </w:rPr>
        <w:t xml:space="preserve">הוועדה קובעת סטנדרטים בינלאומיים מוכרים בדיווח אשראי. בין היתר, הוועדה אחראית על עיבוד מאמרים, ניתוח דוחות, כתיבת הנחיות וחומרים רלוונטיים אחרים שיעזרו ביישום הולם של העקרונות הכלליים, ובכך לזהות שיקולים נוספים שיעזרו בבניית העקרונות הכלליים במערכת האשראי הבינלאומית, ולהקדיש משאבים לפיתוח והרחבה של הנושאים השונים שיעזרו בבניית העקרונות הכלליים במערכת האשראי הבינלאומית, להלן קישור </w:t>
      </w:r>
      <w:hyperlink r:id="rId9" w:history="1">
        <w:r w:rsidRPr="006966BC">
          <w:rPr>
            <w:rStyle w:val="Hyperlink"/>
            <w:rFonts w:ascii="David" w:hAnsi="David" w:cs="David"/>
            <w:sz w:val="24"/>
            <w:szCs w:val="24"/>
            <w:rtl/>
          </w:rPr>
          <w:t>לאתר הרשמי של הוועדה</w:t>
        </w:r>
      </w:hyperlink>
      <w:r w:rsidRPr="006966BC">
        <w:rPr>
          <w:rFonts w:ascii="David" w:hAnsi="David" w:cs="David"/>
          <w:sz w:val="24"/>
          <w:szCs w:val="24"/>
          <w:rtl/>
        </w:rPr>
        <w:t>.</w:t>
      </w:r>
      <w:r w:rsidRPr="006966BC">
        <w:rPr>
          <w:rFonts w:ascii="David" w:hAnsi="David" w:cs="David"/>
          <w:noProof/>
          <w:sz w:val="24"/>
          <w:szCs w:val="24"/>
          <w:rtl/>
        </w:rPr>
        <w:t xml:space="preserve"> מחברי הוועדה מצופה להגיב באופן שוטף על רעיונות, מסמכי מדיניות, ומחקר ורגלוציה בנושאים חשובים הנוגעים בתחום האשראי כגון: בינה מלאכותית וחדשנות טכנולוגיית וכדומה.   </w:t>
      </w:r>
    </w:p>
    <w:p w:rsidR="00D578C4" w:rsidRPr="006966BC" w:rsidRDefault="00D578C4" w:rsidP="00D578C4">
      <w:pPr>
        <w:contextualSpacing/>
        <w:jc w:val="both"/>
        <w:rPr>
          <w:rFonts w:ascii="David" w:hAnsi="David" w:cs="David"/>
          <w:b/>
          <w:bCs/>
          <w:noProof/>
          <w:sz w:val="24"/>
          <w:szCs w:val="24"/>
          <w:rtl/>
        </w:rPr>
      </w:pPr>
    </w:p>
    <w:p w:rsidR="00B25344" w:rsidRPr="006966BC" w:rsidRDefault="006E4F5C" w:rsidP="007B2BF6">
      <w:pPr>
        <w:contextualSpacing/>
        <w:jc w:val="both"/>
        <w:rPr>
          <w:rFonts w:ascii="David" w:hAnsi="David" w:cs="David"/>
          <w:noProof/>
          <w:sz w:val="24"/>
          <w:szCs w:val="24"/>
          <w:rtl/>
        </w:rPr>
      </w:pPr>
      <w:r w:rsidRPr="006966BC">
        <w:rPr>
          <w:rFonts w:ascii="David" w:hAnsi="David" w:cs="David"/>
          <w:b/>
          <w:bCs/>
          <w:noProof/>
          <w:sz w:val="24"/>
          <w:szCs w:val="24"/>
          <w:rtl/>
        </w:rPr>
        <w:t>מנכ"לית בנק ישראל, שולמית גרי</w:t>
      </w:r>
      <w:r w:rsidR="00340069" w:rsidRPr="006966BC">
        <w:rPr>
          <w:rFonts w:ascii="David" w:hAnsi="David" w:cs="David"/>
          <w:noProof/>
          <w:sz w:val="24"/>
          <w:szCs w:val="24"/>
          <w:rtl/>
        </w:rPr>
        <w:t>:</w:t>
      </w:r>
      <w:r w:rsidR="00340069" w:rsidRPr="006966BC">
        <w:rPr>
          <w:rFonts w:ascii="David" w:hAnsi="David" w:cs="David"/>
          <w:b/>
          <w:bCs/>
          <w:noProof/>
          <w:sz w:val="24"/>
          <w:szCs w:val="24"/>
          <w:rtl/>
        </w:rPr>
        <w:t xml:space="preserve"> </w:t>
      </w:r>
      <w:r w:rsidR="00636FD6" w:rsidRPr="006966BC">
        <w:rPr>
          <w:rFonts w:ascii="David" w:hAnsi="David" w:cs="David"/>
          <w:b/>
          <w:bCs/>
          <w:noProof/>
          <w:sz w:val="24"/>
          <w:szCs w:val="24"/>
          <w:rtl/>
        </w:rPr>
        <w:t>"</w:t>
      </w:r>
      <w:r w:rsidR="007B2BF6">
        <w:rPr>
          <w:rFonts w:ascii="David" w:hAnsi="David" w:cs="David"/>
          <w:noProof/>
          <w:sz w:val="24"/>
          <w:szCs w:val="24"/>
          <w:rtl/>
        </w:rPr>
        <w:t>ל</w:t>
      </w:r>
      <w:r w:rsidR="007B2BF6">
        <w:rPr>
          <w:rFonts w:ascii="David" w:hAnsi="David" w:cs="David" w:hint="cs"/>
          <w:noProof/>
          <w:sz w:val="24"/>
          <w:szCs w:val="24"/>
          <w:rtl/>
        </w:rPr>
        <w:t xml:space="preserve">הצטרפות בנק ישראל </w:t>
      </w:r>
      <w:r w:rsidR="00340069" w:rsidRPr="006966BC">
        <w:rPr>
          <w:rFonts w:ascii="David" w:hAnsi="David" w:cs="David"/>
          <w:noProof/>
          <w:sz w:val="24"/>
          <w:szCs w:val="24"/>
          <w:rtl/>
        </w:rPr>
        <w:t>בארגון ה-</w:t>
      </w:r>
      <w:r w:rsidR="00340069" w:rsidRPr="006966BC">
        <w:rPr>
          <w:rFonts w:ascii="David" w:hAnsi="David" w:cs="David"/>
          <w:noProof/>
          <w:sz w:val="24"/>
          <w:szCs w:val="24"/>
        </w:rPr>
        <w:t>ICCR</w:t>
      </w:r>
      <w:r w:rsidR="00340069" w:rsidRPr="006966BC">
        <w:rPr>
          <w:rFonts w:ascii="David" w:hAnsi="David" w:cs="David"/>
          <w:noProof/>
          <w:sz w:val="24"/>
          <w:szCs w:val="24"/>
          <w:rtl/>
        </w:rPr>
        <w:t xml:space="preserve"> יש </w:t>
      </w:r>
      <w:r w:rsidR="00636FD6" w:rsidRPr="006966BC">
        <w:rPr>
          <w:rFonts w:ascii="David" w:hAnsi="David" w:cs="David"/>
          <w:noProof/>
          <w:sz w:val="24"/>
          <w:szCs w:val="24"/>
          <w:rtl/>
        </w:rPr>
        <w:t>חשיבות מקצועית גדולה</w:t>
      </w:r>
      <w:r w:rsidR="00340069" w:rsidRPr="006966BC">
        <w:rPr>
          <w:rFonts w:ascii="David" w:hAnsi="David" w:cs="David"/>
          <w:noProof/>
          <w:sz w:val="24"/>
          <w:szCs w:val="24"/>
          <w:rtl/>
        </w:rPr>
        <w:t xml:space="preserve"> ותתרום לבנק ישראל ולאגף הממונה על שיתוף בנתוני אשראי בפרט, בכל הקשור בקביעת מדיניות, שיתוף מידע והתייעצות עם גורמים בינלאומיים בנושאים כגון אסדרה, רגולציה ופיקוח</w:t>
      </w:r>
      <w:r w:rsidR="00636FD6" w:rsidRPr="006966BC">
        <w:rPr>
          <w:rFonts w:ascii="David" w:hAnsi="David" w:cs="David"/>
          <w:noProof/>
          <w:sz w:val="24"/>
          <w:szCs w:val="24"/>
          <w:rtl/>
        </w:rPr>
        <w:t>, לטובת קידום ופיתוח העולם הפיננסי בישראל, ובפרט קידום התחרות בשוק האשראי</w:t>
      </w:r>
      <w:r w:rsidR="00A56880" w:rsidRPr="006966BC">
        <w:rPr>
          <w:rFonts w:ascii="David" w:hAnsi="David" w:cs="David"/>
          <w:noProof/>
          <w:sz w:val="24"/>
          <w:szCs w:val="24"/>
          <w:rtl/>
        </w:rPr>
        <w:t>.</w:t>
      </w:r>
      <w:r w:rsidR="00636FD6" w:rsidRPr="006966BC">
        <w:rPr>
          <w:rFonts w:ascii="David" w:hAnsi="David" w:cs="David"/>
          <w:noProof/>
          <w:sz w:val="24"/>
          <w:szCs w:val="24"/>
          <w:rtl/>
        </w:rPr>
        <w:t>"</w:t>
      </w:r>
      <w:r w:rsidR="00DE6553" w:rsidRPr="006966BC">
        <w:rPr>
          <w:rFonts w:ascii="David" w:hAnsi="David" w:cs="David"/>
          <w:noProof/>
          <w:sz w:val="24"/>
          <w:szCs w:val="24"/>
          <w:rtl/>
        </w:rPr>
        <w:t xml:space="preserve"> </w:t>
      </w:r>
    </w:p>
    <w:p w:rsidR="00B25344" w:rsidRPr="006966BC" w:rsidRDefault="00B25344" w:rsidP="00B25344">
      <w:pPr>
        <w:contextualSpacing/>
        <w:jc w:val="both"/>
        <w:rPr>
          <w:rFonts w:ascii="David" w:hAnsi="David" w:cs="David"/>
          <w:noProof/>
          <w:sz w:val="24"/>
          <w:szCs w:val="24"/>
          <w:rtl/>
        </w:rPr>
      </w:pPr>
    </w:p>
    <w:p w:rsidR="006966BC" w:rsidRDefault="006966BC" w:rsidP="006E4F5C">
      <w:pPr>
        <w:contextualSpacing/>
        <w:jc w:val="both"/>
        <w:rPr>
          <w:rFonts w:ascii="David" w:hAnsi="David" w:cs="David"/>
          <w:b/>
          <w:bCs/>
          <w:noProof/>
          <w:sz w:val="24"/>
          <w:szCs w:val="24"/>
          <w:rtl/>
        </w:rPr>
      </w:pPr>
    </w:p>
    <w:p w:rsidR="006966BC" w:rsidRDefault="006966BC" w:rsidP="006E4F5C">
      <w:pPr>
        <w:contextualSpacing/>
        <w:jc w:val="both"/>
        <w:rPr>
          <w:rFonts w:ascii="David" w:hAnsi="David" w:cs="David"/>
          <w:b/>
          <w:bCs/>
          <w:noProof/>
          <w:sz w:val="24"/>
          <w:szCs w:val="24"/>
          <w:rtl/>
        </w:rPr>
      </w:pPr>
    </w:p>
    <w:p w:rsidR="006966BC" w:rsidRDefault="006966BC" w:rsidP="006E4F5C">
      <w:pPr>
        <w:contextualSpacing/>
        <w:jc w:val="both"/>
        <w:rPr>
          <w:rFonts w:ascii="David" w:hAnsi="David" w:cs="David"/>
          <w:b/>
          <w:bCs/>
          <w:noProof/>
          <w:sz w:val="24"/>
          <w:szCs w:val="24"/>
          <w:rtl/>
        </w:rPr>
      </w:pPr>
    </w:p>
    <w:p w:rsidR="001704B2" w:rsidRPr="006966BC" w:rsidRDefault="006E4F5C" w:rsidP="00F06EB6">
      <w:pPr>
        <w:contextualSpacing/>
        <w:jc w:val="both"/>
        <w:rPr>
          <w:rFonts w:ascii="David" w:hAnsi="David" w:cs="David"/>
          <w:noProof/>
          <w:sz w:val="24"/>
          <w:szCs w:val="24"/>
          <w:rtl/>
        </w:rPr>
      </w:pPr>
      <w:r w:rsidRPr="006966BC">
        <w:rPr>
          <w:rFonts w:ascii="David" w:hAnsi="David" w:cs="David"/>
          <w:b/>
          <w:bCs/>
          <w:noProof/>
          <w:sz w:val="24"/>
          <w:szCs w:val="24"/>
          <w:rtl/>
        </w:rPr>
        <w:lastRenderedPageBreak/>
        <w:t>הממונה על שיתוף בנתוני אשראי בבנק ישראל, אייל חדד:</w:t>
      </w:r>
      <w:r w:rsidR="002E13D0" w:rsidRPr="006966BC">
        <w:rPr>
          <w:rFonts w:ascii="David" w:hAnsi="David" w:cs="David"/>
          <w:noProof/>
          <w:sz w:val="24"/>
          <w:szCs w:val="24"/>
          <w:rtl/>
        </w:rPr>
        <w:t xml:space="preserve"> </w:t>
      </w:r>
      <w:r w:rsidRPr="006966BC">
        <w:rPr>
          <w:rFonts w:ascii="David" w:hAnsi="David" w:cs="David"/>
          <w:noProof/>
          <w:sz w:val="24"/>
          <w:szCs w:val="24"/>
          <w:rtl/>
        </w:rPr>
        <w:t>"</w:t>
      </w:r>
      <w:r w:rsidR="002E13D0" w:rsidRPr="006966BC">
        <w:rPr>
          <w:rFonts w:ascii="David" w:hAnsi="David" w:cs="David"/>
          <w:noProof/>
          <w:sz w:val="24"/>
          <w:szCs w:val="24"/>
          <w:rtl/>
        </w:rPr>
        <w:t>הרצון לקידום התחרות עמד בליבה של ההחלטה להקים את מערכת נתוני אשראי על ידי הבנק בשנת 2016</w:t>
      </w:r>
      <w:r w:rsidR="00636FD6" w:rsidRPr="006966BC">
        <w:rPr>
          <w:rFonts w:ascii="David" w:hAnsi="David" w:cs="David"/>
          <w:noProof/>
          <w:sz w:val="24"/>
          <w:szCs w:val="24"/>
          <w:rtl/>
        </w:rPr>
        <w:t xml:space="preserve">. </w:t>
      </w:r>
      <w:r w:rsidR="001704B2" w:rsidRPr="006966BC">
        <w:rPr>
          <w:rFonts w:ascii="David" w:hAnsi="David" w:cs="David"/>
          <w:noProof/>
          <w:sz w:val="24"/>
          <w:szCs w:val="24"/>
          <w:rtl/>
        </w:rPr>
        <w:t>כעת</w:t>
      </w:r>
      <w:r w:rsidR="00636FD6" w:rsidRPr="006966BC">
        <w:rPr>
          <w:rFonts w:ascii="David" w:hAnsi="David" w:cs="David"/>
          <w:noProof/>
          <w:sz w:val="24"/>
          <w:szCs w:val="24"/>
          <w:rtl/>
        </w:rPr>
        <w:t>,</w:t>
      </w:r>
      <w:r w:rsidR="001704B2" w:rsidRPr="006966BC">
        <w:rPr>
          <w:rFonts w:ascii="David" w:hAnsi="David" w:cs="David"/>
          <w:noProof/>
          <w:sz w:val="24"/>
          <w:szCs w:val="24"/>
          <w:rtl/>
        </w:rPr>
        <w:t xml:space="preserve"> זמן לא רב לאחר עליית המערכת לאוויר מורגשת התועלת שלה להגברת התחרות ולהעצמת כוחו של הצרכן. </w:t>
      </w:r>
      <w:r w:rsidRPr="006966BC">
        <w:rPr>
          <w:rFonts w:ascii="David" w:hAnsi="David" w:cs="David"/>
          <w:noProof/>
          <w:sz w:val="24"/>
          <w:szCs w:val="24"/>
          <w:rtl/>
        </w:rPr>
        <w:t>ההצטרפות ל-</w:t>
      </w:r>
      <w:r w:rsidRPr="006966BC">
        <w:rPr>
          <w:rFonts w:ascii="David" w:hAnsi="David" w:cs="David"/>
          <w:noProof/>
          <w:sz w:val="24"/>
          <w:szCs w:val="24"/>
        </w:rPr>
        <w:t>ICCR</w:t>
      </w:r>
      <w:r w:rsidR="001704B2" w:rsidRPr="006966BC">
        <w:rPr>
          <w:rFonts w:ascii="David" w:hAnsi="David" w:cs="David"/>
          <w:noProof/>
          <w:sz w:val="24"/>
          <w:szCs w:val="24"/>
          <w:rtl/>
        </w:rPr>
        <w:t xml:space="preserve"> </w:t>
      </w:r>
      <w:r w:rsidR="00F06EB6">
        <w:rPr>
          <w:rFonts w:ascii="David" w:hAnsi="David" w:cs="David" w:hint="cs"/>
          <w:noProof/>
          <w:sz w:val="24"/>
          <w:szCs w:val="24"/>
          <w:rtl/>
        </w:rPr>
        <w:t>ת</w:t>
      </w:r>
      <w:r w:rsidR="00636FD6" w:rsidRPr="006966BC">
        <w:rPr>
          <w:rFonts w:ascii="David" w:hAnsi="David" w:cs="David"/>
          <w:noProof/>
          <w:sz w:val="24"/>
          <w:szCs w:val="24"/>
          <w:rtl/>
        </w:rPr>
        <w:t>חזק</w:t>
      </w:r>
      <w:r w:rsidR="00F06EB6">
        <w:rPr>
          <w:rFonts w:ascii="David" w:hAnsi="David" w:cs="David" w:hint="cs"/>
          <w:noProof/>
          <w:sz w:val="24"/>
          <w:szCs w:val="24"/>
          <w:rtl/>
        </w:rPr>
        <w:t xml:space="preserve"> </w:t>
      </w:r>
      <w:r w:rsidR="001704B2" w:rsidRPr="006966BC">
        <w:rPr>
          <w:rFonts w:ascii="David" w:hAnsi="David" w:cs="David"/>
          <w:noProof/>
          <w:sz w:val="24"/>
          <w:szCs w:val="24"/>
          <w:rtl/>
        </w:rPr>
        <w:t xml:space="preserve">את הפעילות העניפה של מערכת נתוני אשראי </w:t>
      </w:r>
      <w:r w:rsidR="00F06EB6">
        <w:rPr>
          <w:rFonts w:ascii="David" w:hAnsi="David" w:cs="David"/>
          <w:noProof/>
          <w:sz w:val="24"/>
          <w:szCs w:val="24"/>
          <w:rtl/>
        </w:rPr>
        <w:t>ו</w:t>
      </w:r>
      <w:r w:rsidR="00F06EB6">
        <w:rPr>
          <w:rFonts w:ascii="David" w:hAnsi="David" w:cs="David" w:hint="cs"/>
          <w:noProof/>
          <w:sz w:val="24"/>
          <w:szCs w:val="24"/>
          <w:rtl/>
        </w:rPr>
        <w:t>ת</w:t>
      </w:r>
      <w:r w:rsidR="00F06EB6">
        <w:rPr>
          <w:rFonts w:ascii="David" w:hAnsi="David" w:cs="David"/>
          <w:noProof/>
          <w:sz w:val="24"/>
          <w:szCs w:val="24"/>
          <w:rtl/>
        </w:rPr>
        <w:t>אפשר לנו להוסיף ו</w:t>
      </w:r>
      <w:r w:rsidR="00636FD6" w:rsidRPr="006966BC">
        <w:rPr>
          <w:rFonts w:ascii="David" w:hAnsi="David" w:cs="David"/>
          <w:noProof/>
          <w:sz w:val="24"/>
          <w:szCs w:val="24"/>
          <w:rtl/>
        </w:rPr>
        <w:t xml:space="preserve">לסייע לבנק ישראל </w:t>
      </w:r>
      <w:r w:rsidR="00F06EB6">
        <w:rPr>
          <w:rFonts w:ascii="David" w:hAnsi="David" w:cs="David" w:hint="cs"/>
          <w:noProof/>
          <w:sz w:val="24"/>
          <w:szCs w:val="24"/>
          <w:rtl/>
        </w:rPr>
        <w:t>ב</w:t>
      </w:r>
      <w:bookmarkStart w:id="0" w:name="_GoBack"/>
      <w:bookmarkEnd w:id="0"/>
      <w:r w:rsidR="00636FD6" w:rsidRPr="006966BC">
        <w:rPr>
          <w:rFonts w:ascii="David" w:hAnsi="David" w:cs="David"/>
          <w:noProof/>
          <w:sz w:val="24"/>
          <w:szCs w:val="24"/>
          <w:rtl/>
        </w:rPr>
        <w:t>גיבוש תובנות ומדיניות כלכלית בתחומים אותו הבנק מוביל.</w:t>
      </w:r>
      <w:r w:rsidR="001704B2" w:rsidRPr="006966BC">
        <w:rPr>
          <w:rFonts w:ascii="David" w:hAnsi="David" w:cs="David"/>
          <w:noProof/>
          <w:sz w:val="24"/>
          <w:szCs w:val="24"/>
          <w:rtl/>
        </w:rPr>
        <w:t xml:space="preserve"> </w:t>
      </w:r>
      <w:r w:rsidR="00636FD6" w:rsidRPr="006966BC">
        <w:rPr>
          <w:rFonts w:ascii="David" w:hAnsi="David" w:cs="David"/>
          <w:noProof/>
          <w:sz w:val="24"/>
          <w:szCs w:val="24"/>
          <w:rtl/>
        </w:rPr>
        <w:t>"</w:t>
      </w:r>
    </w:p>
    <w:sectPr w:rsidR="001704B2" w:rsidRPr="006966BC" w:rsidSect="00955BF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94B" w:rsidRDefault="0089394B" w:rsidP="0089394B">
      <w:pPr>
        <w:spacing w:after="0" w:line="240" w:lineRule="auto"/>
      </w:pPr>
      <w:r>
        <w:separator/>
      </w:r>
    </w:p>
  </w:endnote>
  <w:endnote w:type="continuationSeparator" w:id="0">
    <w:p w:rsidR="0089394B" w:rsidRDefault="0089394B" w:rsidP="0089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4B" w:rsidRDefault="0089394B">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4B" w:rsidRDefault="0089394B">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4B" w:rsidRDefault="0089394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94B" w:rsidRDefault="0089394B" w:rsidP="0089394B">
      <w:pPr>
        <w:spacing w:after="0" w:line="240" w:lineRule="auto"/>
      </w:pPr>
      <w:r>
        <w:separator/>
      </w:r>
    </w:p>
  </w:footnote>
  <w:footnote w:type="continuationSeparator" w:id="0">
    <w:p w:rsidR="0089394B" w:rsidRDefault="0089394B" w:rsidP="00893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4B" w:rsidRDefault="0089394B">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4B" w:rsidRDefault="0089394B">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4B" w:rsidRDefault="0089394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851"/>
    <w:multiLevelType w:val="multilevel"/>
    <w:tmpl w:val="8F9AB302"/>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001"/>
        </w:tabs>
        <w:ind w:left="1001"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44"/>
    <w:rsid w:val="000032A9"/>
    <w:rsid w:val="000138A7"/>
    <w:rsid w:val="00065A86"/>
    <w:rsid w:val="00073E77"/>
    <w:rsid w:val="00085A89"/>
    <w:rsid w:val="0008768F"/>
    <w:rsid w:val="000A63FF"/>
    <w:rsid w:val="000B3284"/>
    <w:rsid w:val="000B5274"/>
    <w:rsid w:val="000B5C79"/>
    <w:rsid w:val="000C23B0"/>
    <w:rsid w:val="000D12BF"/>
    <w:rsid w:val="000D65CE"/>
    <w:rsid w:val="000E44DA"/>
    <w:rsid w:val="000F0B23"/>
    <w:rsid w:val="000F371E"/>
    <w:rsid w:val="00100C18"/>
    <w:rsid w:val="00106648"/>
    <w:rsid w:val="00114BA5"/>
    <w:rsid w:val="00131EC0"/>
    <w:rsid w:val="00132CE1"/>
    <w:rsid w:val="0013718F"/>
    <w:rsid w:val="0016114A"/>
    <w:rsid w:val="001704B2"/>
    <w:rsid w:val="00172F63"/>
    <w:rsid w:val="00174212"/>
    <w:rsid w:val="0018622B"/>
    <w:rsid w:val="00187B0B"/>
    <w:rsid w:val="00191A87"/>
    <w:rsid w:val="001A1917"/>
    <w:rsid w:val="001A74A5"/>
    <w:rsid w:val="001B0094"/>
    <w:rsid w:val="001B7F21"/>
    <w:rsid w:val="001C254E"/>
    <w:rsid w:val="001C5A02"/>
    <w:rsid w:val="001D1F34"/>
    <w:rsid w:val="001D42DA"/>
    <w:rsid w:val="001E59E7"/>
    <w:rsid w:val="00206C61"/>
    <w:rsid w:val="0021229D"/>
    <w:rsid w:val="00215C99"/>
    <w:rsid w:val="00221D70"/>
    <w:rsid w:val="00242EC3"/>
    <w:rsid w:val="00244DB9"/>
    <w:rsid w:val="00244E89"/>
    <w:rsid w:val="002463F8"/>
    <w:rsid w:val="0025405B"/>
    <w:rsid w:val="00263695"/>
    <w:rsid w:val="00296F58"/>
    <w:rsid w:val="002A1689"/>
    <w:rsid w:val="002B1307"/>
    <w:rsid w:val="002C5326"/>
    <w:rsid w:val="002E13D0"/>
    <w:rsid w:val="002E4D9B"/>
    <w:rsid w:val="002F675E"/>
    <w:rsid w:val="00301A25"/>
    <w:rsid w:val="00303B5C"/>
    <w:rsid w:val="0030426F"/>
    <w:rsid w:val="00306B8B"/>
    <w:rsid w:val="00306CC3"/>
    <w:rsid w:val="00327332"/>
    <w:rsid w:val="00327D73"/>
    <w:rsid w:val="00337DBB"/>
    <w:rsid w:val="00340069"/>
    <w:rsid w:val="0036106D"/>
    <w:rsid w:val="00365295"/>
    <w:rsid w:val="00367990"/>
    <w:rsid w:val="00376189"/>
    <w:rsid w:val="003950BD"/>
    <w:rsid w:val="003A3242"/>
    <w:rsid w:val="003C30A6"/>
    <w:rsid w:val="003C5B1B"/>
    <w:rsid w:val="003D22B1"/>
    <w:rsid w:val="003F14EE"/>
    <w:rsid w:val="00413545"/>
    <w:rsid w:val="0042028C"/>
    <w:rsid w:val="00420AAC"/>
    <w:rsid w:val="00441943"/>
    <w:rsid w:val="004525A7"/>
    <w:rsid w:val="00455F10"/>
    <w:rsid w:val="00460B79"/>
    <w:rsid w:val="00463548"/>
    <w:rsid w:val="00474722"/>
    <w:rsid w:val="00482FA0"/>
    <w:rsid w:val="0049020F"/>
    <w:rsid w:val="00497DF3"/>
    <w:rsid w:val="004A0E09"/>
    <w:rsid w:val="004A1A36"/>
    <w:rsid w:val="004C5E75"/>
    <w:rsid w:val="004D3376"/>
    <w:rsid w:val="004E25A6"/>
    <w:rsid w:val="004E50A5"/>
    <w:rsid w:val="004E5E04"/>
    <w:rsid w:val="004E5EFA"/>
    <w:rsid w:val="004F2C59"/>
    <w:rsid w:val="004F46E0"/>
    <w:rsid w:val="00507634"/>
    <w:rsid w:val="0051193C"/>
    <w:rsid w:val="00521045"/>
    <w:rsid w:val="005248F1"/>
    <w:rsid w:val="005400AE"/>
    <w:rsid w:val="0054749D"/>
    <w:rsid w:val="005504D4"/>
    <w:rsid w:val="005553A7"/>
    <w:rsid w:val="00581704"/>
    <w:rsid w:val="0059025D"/>
    <w:rsid w:val="005C4746"/>
    <w:rsid w:val="005E0951"/>
    <w:rsid w:val="005F03ED"/>
    <w:rsid w:val="005F2554"/>
    <w:rsid w:val="005F6723"/>
    <w:rsid w:val="00636FD6"/>
    <w:rsid w:val="00646430"/>
    <w:rsid w:val="0066324A"/>
    <w:rsid w:val="006809B8"/>
    <w:rsid w:val="006966BC"/>
    <w:rsid w:val="006A1E48"/>
    <w:rsid w:val="006A5BBC"/>
    <w:rsid w:val="006A7FF5"/>
    <w:rsid w:val="006B5933"/>
    <w:rsid w:val="006C19AB"/>
    <w:rsid w:val="006C57C2"/>
    <w:rsid w:val="006D5CE6"/>
    <w:rsid w:val="006D69EF"/>
    <w:rsid w:val="006E4F5C"/>
    <w:rsid w:val="006E7F37"/>
    <w:rsid w:val="006F7B92"/>
    <w:rsid w:val="0070640D"/>
    <w:rsid w:val="00711002"/>
    <w:rsid w:val="0071682D"/>
    <w:rsid w:val="00731297"/>
    <w:rsid w:val="007329E8"/>
    <w:rsid w:val="007356AF"/>
    <w:rsid w:val="0075512D"/>
    <w:rsid w:val="007728EA"/>
    <w:rsid w:val="00785E70"/>
    <w:rsid w:val="00791D7D"/>
    <w:rsid w:val="007A011C"/>
    <w:rsid w:val="007A5370"/>
    <w:rsid w:val="007B2BF6"/>
    <w:rsid w:val="007C1A8E"/>
    <w:rsid w:val="007D13D2"/>
    <w:rsid w:val="007D37AC"/>
    <w:rsid w:val="007D73E7"/>
    <w:rsid w:val="007E7FB3"/>
    <w:rsid w:val="007F0E65"/>
    <w:rsid w:val="007F64E6"/>
    <w:rsid w:val="00800C88"/>
    <w:rsid w:val="00815F16"/>
    <w:rsid w:val="00820F1F"/>
    <w:rsid w:val="00862D11"/>
    <w:rsid w:val="00865D96"/>
    <w:rsid w:val="0086615F"/>
    <w:rsid w:val="00867742"/>
    <w:rsid w:val="00877EDA"/>
    <w:rsid w:val="00893871"/>
    <w:rsid w:val="0089394B"/>
    <w:rsid w:val="008A16FE"/>
    <w:rsid w:val="008A201C"/>
    <w:rsid w:val="008A70C8"/>
    <w:rsid w:val="008B54F4"/>
    <w:rsid w:val="008C3CEE"/>
    <w:rsid w:val="008C7442"/>
    <w:rsid w:val="008E5371"/>
    <w:rsid w:val="008F1239"/>
    <w:rsid w:val="008F2AE4"/>
    <w:rsid w:val="00905269"/>
    <w:rsid w:val="00907AC0"/>
    <w:rsid w:val="00912B06"/>
    <w:rsid w:val="00914469"/>
    <w:rsid w:val="009173C2"/>
    <w:rsid w:val="009238CF"/>
    <w:rsid w:val="00946248"/>
    <w:rsid w:val="00952FEA"/>
    <w:rsid w:val="00981623"/>
    <w:rsid w:val="00981793"/>
    <w:rsid w:val="009A0349"/>
    <w:rsid w:val="009B5387"/>
    <w:rsid w:val="009C630F"/>
    <w:rsid w:val="009C7E73"/>
    <w:rsid w:val="009E3C9D"/>
    <w:rsid w:val="00A032F8"/>
    <w:rsid w:val="00A25A12"/>
    <w:rsid w:val="00A33D8B"/>
    <w:rsid w:val="00A41995"/>
    <w:rsid w:val="00A56880"/>
    <w:rsid w:val="00AB0E5E"/>
    <w:rsid w:val="00AC6A30"/>
    <w:rsid w:val="00AC758E"/>
    <w:rsid w:val="00AD00E3"/>
    <w:rsid w:val="00AD54BB"/>
    <w:rsid w:val="00AD7C28"/>
    <w:rsid w:val="00AE6C9B"/>
    <w:rsid w:val="00AF392C"/>
    <w:rsid w:val="00B1308D"/>
    <w:rsid w:val="00B152E2"/>
    <w:rsid w:val="00B25344"/>
    <w:rsid w:val="00B55BC0"/>
    <w:rsid w:val="00B62597"/>
    <w:rsid w:val="00B73F44"/>
    <w:rsid w:val="00B81A5E"/>
    <w:rsid w:val="00B849C8"/>
    <w:rsid w:val="00B87EA5"/>
    <w:rsid w:val="00BA323D"/>
    <w:rsid w:val="00BB5193"/>
    <w:rsid w:val="00BB727B"/>
    <w:rsid w:val="00BB7D8E"/>
    <w:rsid w:val="00BC657F"/>
    <w:rsid w:val="00BE1C59"/>
    <w:rsid w:val="00BE6B6E"/>
    <w:rsid w:val="00BF5621"/>
    <w:rsid w:val="00BF7F66"/>
    <w:rsid w:val="00C01E8A"/>
    <w:rsid w:val="00C0545D"/>
    <w:rsid w:val="00C06942"/>
    <w:rsid w:val="00C26023"/>
    <w:rsid w:val="00C42C4F"/>
    <w:rsid w:val="00C4706E"/>
    <w:rsid w:val="00C52EC0"/>
    <w:rsid w:val="00C537F2"/>
    <w:rsid w:val="00C627AC"/>
    <w:rsid w:val="00C63598"/>
    <w:rsid w:val="00C64388"/>
    <w:rsid w:val="00C65D4A"/>
    <w:rsid w:val="00C664F4"/>
    <w:rsid w:val="00C72836"/>
    <w:rsid w:val="00C72BDD"/>
    <w:rsid w:val="00C81276"/>
    <w:rsid w:val="00C9123C"/>
    <w:rsid w:val="00CA4E77"/>
    <w:rsid w:val="00CA500A"/>
    <w:rsid w:val="00CA5726"/>
    <w:rsid w:val="00CA7105"/>
    <w:rsid w:val="00CB552C"/>
    <w:rsid w:val="00CB64F4"/>
    <w:rsid w:val="00CD09B0"/>
    <w:rsid w:val="00CD531C"/>
    <w:rsid w:val="00CE1261"/>
    <w:rsid w:val="00CE1676"/>
    <w:rsid w:val="00D013EB"/>
    <w:rsid w:val="00D04F10"/>
    <w:rsid w:val="00D07456"/>
    <w:rsid w:val="00D07E9E"/>
    <w:rsid w:val="00D108FF"/>
    <w:rsid w:val="00D110A3"/>
    <w:rsid w:val="00D1198D"/>
    <w:rsid w:val="00D20997"/>
    <w:rsid w:val="00D22DF3"/>
    <w:rsid w:val="00D437D1"/>
    <w:rsid w:val="00D516C6"/>
    <w:rsid w:val="00D55165"/>
    <w:rsid w:val="00D578C4"/>
    <w:rsid w:val="00D70BED"/>
    <w:rsid w:val="00D815EA"/>
    <w:rsid w:val="00D8308C"/>
    <w:rsid w:val="00D94097"/>
    <w:rsid w:val="00DA149F"/>
    <w:rsid w:val="00DB755C"/>
    <w:rsid w:val="00DD0395"/>
    <w:rsid w:val="00DD3138"/>
    <w:rsid w:val="00DE38EC"/>
    <w:rsid w:val="00DE6553"/>
    <w:rsid w:val="00E05521"/>
    <w:rsid w:val="00E06A9C"/>
    <w:rsid w:val="00E201F2"/>
    <w:rsid w:val="00E258BE"/>
    <w:rsid w:val="00E44D41"/>
    <w:rsid w:val="00E508DA"/>
    <w:rsid w:val="00E65C0A"/>
    <w:rsid w:val="00E80840"/>
    <w:rsid w:val="00E81409"/>
    <w:rsid w:val="00E85912"/>
    <w:rsid w:val="00E91D9D"/>
    <w:rsid w:val="00E95C4D"/>
    <w:rsid w:val="00E9752B"/>
    <w:rsid w:val="00EA1927"/>
    <w:rsid w:val="00EA1F84"/>
    <w:rsid w:val="00EB50B5"/>
    <w:rsid w:val="00EF0C7E"/>
    <w:rsid w:val="00EF1C05"/>
    <w:rsid w:val="00EF30D0"/>
    <w:rsid w:val="00EF672F"/>
    <w:rsid w:val="00F06EB6"/>
    <w:rsid w:val="00F0707A"/>
    <w:rsid w:val="00F110B1"/>
    <w:rsid w:val="00F120F7"/>
    <w:rsid w:val="00F22B62"/>
    <w:rsid w:val="00F3302E"/>
    <w:rsid w:val="00F45602"/>
    <w:rsid w:val="00F56DD7"/>
    <w:rsid w:val="00F66687"/>
    <w:rsid w:val="00F70070"/>
    <w:rsid w:val="00F754CD"/>
    <w:rsid w:val="00F766B9"/>
    <w:rsid w:val="00F848A1"/>
    <w:rsid w:val="00F86AAB"/>
    <w:rsid w:val="00FA2EB6"/>
    <w:rsid w:val="00FC3B3B"/>
    <w:rsid w:val="00FE02F1"/>
    <w:rsid w:val="00FE56F7"/>
    <w:rsid w:val="00FF22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C8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344"/>
    <w:pPr>
      <w:bidi/>
      <w:spacing w:after="120" w:line="360" w:lineRule="auto"/>
    </w:pPr>
  </w:style>
  <w:style w:type="paragraph" w:styleId="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 תו"/>
    <w:basedOn w:val="a"/>
    <w:link w:val="10"/>
    <w:uiPriority w:val="9"/>
    <w:qFormat/>
    <w:rsid w:val="00D94097"/>
    <w:pPr>
      <w:numPr>
        <w:numId w:val="1"/>
      </w:numPr>
      <w:tabs>
        <w:tab w:val="left" w:pos="1814"/>
        <w:tab w:val="left" w:pos="2665"/>
      </w:tabs>
      <w:spacing w:after="0"/>
      <w:jc w:val="both"/>
      <w:outlineLvl w:val="0"/>
    </w:pPr>
    <w:rPr>
      <w:rFonts w:ascii="Times New Roman" w:eastAsia="Times New Roman" w:hAnsi="Times New Roman" w:cs="David"/>
      <w:kern w:val="28"/>
      <w:szCs w:val="24"/>
    </w:rPr>
  </w:style>
  <w:style w:type="paragraph" w:styleId="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Heading 2 תו"/>
    <w:basedOn w:val="1"/>
    <w:link w:val="20"/>
    <w:uiPriority w:val="9"/>
    <w:qFormat/>
    <w:rsid w:val="00D94097"/>
    <w:pPr>
      <w:numPr>
        <w:ilvl w:val="1"/>
      </w:numPr>
      <w:tabs>
        <w:tab w:val="clear" w:pos="1814"/>
        <w:tab w:val="clear" w:pos="2665"/>
      </w:tabs>
      <w:outlineLvl w:val="1"/>
    </w:pPr>
  </w:style>
  <w:style w:type="paragraph" w:styleId="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Heading 3"/>
    <w:basedOn w:val="2"/>
    <w:link w:val="30"/>
    <w:uiPriority w:val="9"/>
    <w:qFormat/>
    <w:rsid w:val="00D94097"/>
    <w:pPr>
      <w:numPr>
        <w:ilvl w:val="2"/>
      </w:numPr>
      <w:outlineLvl w:val="2"/>
    </w:pPr>
  </w:style>
  <w:style w:type="paragraph" w:styleId="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4,h"/>
    <w:basedOn w:val="3"/>
    <w:link w:val="40"/>
    <w:qFormat/>
    <w:rsid w:val="00D94097"/>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25344"/>
    <w:pPr>
      <w:ind w:left="720"/>
    </w:pPr>
  </w:style>
  <w:style w:type="character" w:customStyle="1" w:styleId="a4">
    <w:name w:val="פיסקת רשימה תו"/>
    <w:link w:val="a3"/>
    <w:uiPriority w:val="34"/>
    <w:locked/>
    <w:rsid w:val="00B25344"/>
  </w:style>
  <w:style w:type="paragraph" w:styleId="a5">
    <w:name w:val="Balloon Text"/>
    <w:basedOn w:val="a"/>
    <w:link w:val="a6"/>
    <w:uiPriority w:val="99"/>
    <w:semiHidden/>
    <w:unhideWhenUsed/>
    <w:rsid w:val="001B7F21"/>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1B7F21"/>
    <w:rPr>
      <w:rFonts w:ascii="Tahoma" w:hAnsi="Tahoma" w:cs="Tahoma"/>
      <w:sz w:val="18"/>
      <w:szCs w:val="18"/>
    </w:rPr>
  </w:style>
  <w:style w:type="character" w:styleId="a7">
    <w:name w:val="annotation reference"/>
    <w:basedOn w:val="a0"/>
    <w:uiPriority w:val="99"/>
    <w:semiHidden/>
    <w:unhideWhenUsed/>
    <w:rsid w:val="00B73F44"/>
    <w:rPr>
      <w:sz w:val="16"/>
      <w:szCs w:val="16"/>
    </w:rPr>
  </w:style>
  <w:style w:type="paragraph" w:styleId="a8">
    <w:name w:val="annotation text"/>
    <w:basedOn w:val="a"/>
    <w:link w:val="a9"/>
    <w:uiPriority w:val="99"/>
    <w:semiHidden/>
    <w:unhideWhenUsed/>
    <w:rsid w:val="00B73F44"/>
    <w:pPr>
      <w:spacing w:line="240" w:lineRule="auto"/>
    </w:pPr>
    <w:rPr>
      <w:sz w:val="20"/>
      <w:szCs w:val="20"/>
    </w:rPr>
  </w:style>
  <w:style w:type="character" w:customStyle="1" w:styleId="a9">
    <w:name w:val="טקסט הערה תו"/>
    <w:basedOn w:val="a0"/>
    <w:link w:val="a8"/>
    <w:uiPriority w:val="99"/>
    <w:semiHidden/>
    <w:rsid w:val="00B73F44"/>
    <w:rPr>
      <w:sz w:val="20"/>
      <w:szCs w:val="20"/>
    </w:rPr>
  </w:style>
  <w:style w:type="paragraph" w:styleId="aa">
    <w:name w:val="annotation subject"/>
    <w:basedOn w:val="a8"/>
    <w:next w:val="a8"/>
    <w:link w:val="ab"/>
    <w:uiPriority w:val="99"/>
    <w:semiHidden/>
    <w:unhideWhenUsed/>
    <w:rsid w:val="00B73F44"/>
    <w:rPr>
      <w:b/>
      <w:bCs/>
    </w:rPr>
  </w:style>
  <w:style w:type="character" w:customStyle="1" w:styleId="ab">
    <w:name w:val="נושא הערה תו"/>
    <w:basedOn w:val="a9"/>
    <w:link w:val="aa"/>
    <w:uiPriority w:val="99"/>
    <w:semiHidden/>
    <w:rsid w:val="00B73F44"/>
    <w:rPr>
      <w:b/>
      <w:bCs/>
      <w:sz w:val="20"/>
      <w:szCs w:val="20"/>
    </w:rPr>
  </w:style>
  <w:style w:type="character" w:styleId="ac">
    <w:name w:val="Strong"/>
    <w:basedOn w:val="a0"/>
    <w:uiPriority w:val="22"/>
    <w:qFormat/>
    <w:rsid w:val="00D578C4"/>
    <w:rPr>
      <w:b/>
      <w:bCs/>
    </w:rPr>
  </w:style>
  <w:style w:type="character" w:customStyle="1" w:styleId="10">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basedOn w:val="a0"/>
    <w:link w:val="1"/>
    <w:uiPriority w:val="9"/>
    <w:rsid w:val="00D94097"/>
    <w:rPr>
      <w:rFonts w:ascii="Times New Roman" w:eastAsia="Times New Roman" w:hAnsi="Times New Roman" w:cs="David"/>
      <w:kern w:val="28"/>
      <w:szCs w:val="24"/>
    </w:rPr>
  </w:style>
  <w:style w:type="character" w:customStyle="1" w:styleId="20">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0"/>
    <w:link w:val="2"/>
    <w:uiPriority w:val="9"/>
    <w:rsid w:val="00D94097"/>
    <w:rPr>
      <w:rFonts w:ascii="Times New Roman" w:eastAsia="Times New Roman" w:hAnsi="Times New Roman" w:cs="David"/>
      <w:kern w:val="28"/>
      <w:szCs w:val="24"/>
    </w:rPr>
  </w:style>
  <w:style w:type="character" w:customStyle="1" w:styleId="30">
    <w:name w:val="כותרת 3 תו"/>
    <w:aliases w:val="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כותרת 3 תו1 תו תו תו תו תו תו תו תו,Heading 3 תו"/>
    <w:basedOn w:val="a0"/>
    <w:link w:val="3"/>
    <w:uiPriority w:val="9"/>
    <w:rsid w:val="00D94097"/>
    <w:rPr>
      <w:rFonts w:ascii="Times New Roman" w:eastAsia="Times New Roman" w:hAnsi="Times New Roman" w:cs="David"/>
      <w:kern w:val="28"/>
      <w:szCs w:val="24"/>
    </w:rPr>
  </w:style>
  <w:style w:type="character" w:customStyle="1" w:styleId="40">
    <w:name w:val="כותרת 4 תו"/>
    <w:aliases w:val="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כותרת 4 תו תו תו1 תו תו,4 תו"/>
    <w:basedOn w:val="a0"/>
    <w:link w:val="4"/>
    <w:rsid w:val="00D94097"/>
    <w:rPr>
      <w:rFonts w:ascii="Times New Roman" w:eastAsia="Times New Roman" w:hAnsi="Times New Roman" w:cs="David"/>
      <w:kern w:val="28"/>
      <w:szCs w:val="24"/>
    </w:rPr>
  </w:style>
  <w:style w:type="character" w:styleId="Hyperlink">
    <w:name w:val="Hyperlink"/>
    <w:basedOn w:val="a0"/>
    <w:uiPriority w:val="99"/>
    <w:unhideWhenUsed/>
    <w:rsid w:val="003D22B1"/>
    <w:rPr>
      <w:color w:val="0563C1" w:themeColor="hyperlink"/>
      <w:u w:val="single"/>
    </w:rPr>
  </w:style>
  <w:style w:type="paragraph" w:styleId="ad">
    <w:name w:val="header"/>
    <w:basedOn w:val="a"/>
    <w:link w:val="ae"/>
    <w:uiPriority w:val="99"/>
    <w:unhideWhenUsed/>
    <w:rsid w:val="0089394B"/>
    <w:pPr>
      <w:tabs>
        <w:tab w:val="center" w:pos="4153"/>
        <w:tab w:val="right" w:pos="8306"/>
      </w:tabs>
      <w:spacing w:after="0" w:line="240" w:lineRule="auto"/>
    </w:pPr>
  </w:style>
  <w:style w:type="character" w:customStyle="1" w:styleId="ae">
    <w:name w:val="כותרת עליונה תו"/>
    <w:basedOn w:val="a0"/>
    <w:link w:val="ad"/>
    <w:uiPriority w:val="99"/>
    <w:rsid w:val="0089394B"/>
  </w:style>
  <w:style w:type="paragraph" w:styleId="af">
    <w:name w:val="footer"/>
    <w:basedOn w:val="a"/>
    <w:link w:val="af0"/>
    <w:uiPriority w:val="99"/>
    <w:unhideWhenUsed/>
    <w:rsid w:val="0089394B"/>
    <w:pPr>
      <w:tabs>
        <w:tab w:val="center" w:pos="4153"/>
        <w:tab w:val="right" w:pos="8306"/>
      </w:tabs>
      <w:spacing w:after="0" w:line="240" w:lineRule="auto"/>
    </w:pPr>
  </w:style>
  <w:style w:type="character" w:customStyle="1" w:styleId="af0">
    <w:name w:val="כותרת תחתונה תו"/>
    <w:basedOn w:val="a0"/>
    <w:link w:val="af"/>
    <w:uiPriority w:val="99"/>
    <w:rsid w:val="0089394B"/>
  </w:style>
  <w:style w:type="character" w:styleId="FollowedHyperlink">
    <w:name w:val="FollowedHyperlink"/>
    <w:basedOn w:val="a0"/>
    <w:uiPriority w:val="99"/>
    <w:semiHidden/>
    <w:unhideWhenUsed/>
    <w:rsid w:val="00F06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rldbank.org/en/topic/financialsector/brief/international-committee-on-credit-reporting"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4B39-A0AA-401D-966F-330BB5EB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2059</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2023-07-12T07:54:00Z</dcterms:created>
  <dcterms:modified xsi:type="dcterms:W3CDTF">2023-07-12T08:04:00Z</dcterms:modified>
</cp:coreProperties>
</file>