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ED" w:rsidRPr="004345ED" w:rsidRDefault="004345ED" w:rsidP="004345ED">
      <w:r w:rsidRPr="004345ED">
        <w:rPr>
          <w:rFonts w:cs="Arial" w:hint="cs"/>
          <w:noProof/>
          <w:rtl/>
        </w:rPr>
        <w:drawing>
          <wp:anchor distT="0" distB="0" distL="114300" distR="114300" simplePos="0" relativeHeight="251663872" behindDoc="0" locked="0" layoutInCell="1" allowOverlap="1" wp14:anchorId="43662873" wp14:editId="412A973F">
            <wp:simplePos x="0" y="0"/>
            <wp:positionH relativeFrom="page">
              <wp:posOffset>3224530</wp:posOffset>
            </wp:positionH>
            <wp:positionV relativeFrom="margin">
              <wp:posOffset>-504825</wp:posOffset>
            </wp:positionV>
            <wp:extent cx="1104900" cy="1104900"/>
            <wp:effectExtent l="0" t="0" r="0" b="0"/>
            <wp:wrapSquare wrapText="bothSides"/>
            <wp:docPr id="7"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5ED" w:rsidRPr="004345ED" w:rsidRDefault="004345ED" w:rsidP="004345ED"/>
    <w:p w:rsidR="004345ED" w:rsidRPr="004345ED" w:rsidRDefault="004345ED" w:rsidP="004345ED">
      <w:pPr>
        <w:pStyle w:val="LetterheadBOI"/>
        <w:jc w:val="left"/>
      </w:pPr>
    </w:p>
    <w:p w:rsidR="004345ED" w:rsidRPr="004345ED" w:rsidRDefault="004345ED" w:rsidP="004345ED">
      <w:pPr>
        <w:pStyle w:val="LetterheadBOI"/>
      </w:pPr>
      <w:r w:rsidRPr="004345ED">
        <w:t>BANK OF ISRAEL</w:t>
      </w:r>
    </w:p>
    <w:p w:rsidR="004345ED" w:rsidRPr="004345ED" w:rsidRDefault="004345ED" w:rsidP="004345ED">
      <w:pPr>
        <w:pStyle w:val="Letterhead2"/>
        <w:rPr>
          <w:b/>
        </w:rPr>
      </w:pPr>
      <w:r w:rsidRPr="004345ED">
        <w:t>Office of the Spokesperson and Economic Information</w:t>
      </w:r>
    </w:p>
    <w:p w:rsidR="004345ED" w:rsidRPr="004345ED" w:rsidRDefault="004345ED" w:rsidP="004345ED">
      <w:pPr>
        <w:jc w:val="center"/>
        <w:rPr>
          <w:rFonts w:cs="David"/>
          <w:b/>
          <w:bCs/>
          <w:sz w:val="26"/>
          <w:szCs w:val="26"/>
        </w:rPr>
      </w:pPr>
    </w:p>
    <w:p w:rsidR="004345ED" w:rsidRPr="004345ED" w:rsidRDefault="004345ED" w:rsidP="004345ED">
      <w:pPr>
        <w:pStyle w:val="PressReleaseTitle"/>
        <w:jc w:val="right"/>
        <w:rPr>
          <w:b w:val="0"/>
          <w:bCs w:val="0"/>
          <w:sz w:val="24"/>
          <w:szCs w:val="24"/>
        </w:rPr>
      </w:pPr>
      <w:r w:rsidRPr="004345ED">
        <w:rPr>
          <w:b w:val="0"/>
          <w:bCs w:val="0"/>
          <w:sz w:val="24"/>
          <w:szCs w:val="24"/>
        </w:rPr>
        <w:t>May 19, 2019</w:t>
      </w:r>
    </w:p>
    <w:p w:rsidR="004345ED" w:rsidRPr="004345ED" w:rsidRDefault="004345ED" w:rsidP="004345ED">
      <w:pPr>
        <w:pStyle w:val="PressReleaseTitle"/>
      </w:pPr>
    </w:p>
    <w:p w:rsidR="004345ED" w:rsidRPr="004345ED" w:rsidRDefault="004345ED" w:rsidP="004345ED">
      <w:pPr>
        <w:pStyle w:val="PressReleaseTitle"/>
        <w:rPr>
          <w:b w:val="0"/>
          <w:bCs w:val="0"/>
          <w:sz w:val="24"/>
          <w:szCs w:val="24"/>
        </w:rPr>
      </w:pPr>
      <w:r w:rsidRPr="004345ED">
        <w:rPr>
          <w:b w:val="0"/>
          <w:bCs w:val="0"/>
          <w:sz w:val="24"/>
          <w:szCs w:val="24"/>
        </w:rPr>
        <w:t>Press Release</w:t>
      </w:r>
    </w:p>
    <w:p w:rsidR="004345ED" w:rsidRPr="004345ED" w:rsidRDefault="004345ED" w:rsidP="004345ED">
      <w:pPr>
        <w:pStyle w:val="PressReleaseTitle"/>
        <w:rPr>
          <w:b w:val="0"/>
          <w:bCs w:val="0"/>
          <w:sz w:val="24"/>
          <w:szCs w:val="24"/>
        </w:rPr>
      </w:pPr>
    </w:p>
    <w:p w:rsidR="004345ED" w:rsidRPr="004345ED" w:rsidRDefault="004345ED" w:rsidP="004345ED">
      <w:pPr>
        <w:pStyle w:val="Pressreleaseheading2"/>
        <w:rPr>
          <w:b/>
          <w:bCs/>
          <w:sz w:val="24"/>
          <w:szCs w:val="24"/>
        </w:rPr>
      </w:pPr>
      <w:r w:rsidRPr="004345ED">
        <w:rPr>
          <w:b/>
          <w:bCs/>
          <w:sz w:val="24"/>
          <w:szCs w:val="24"/>
        </w:rPr>
        <w:t>Excerpt from the forthcoming Annual Survey of Israel’s Banking System:</w:t>
      </w:r>
    </w:p>
    <w:p w:rsidR="004345ED" w:rsidRPr="004345ED" w:rsidRDefault="004345ED" w:rsidP="00A91904">
      <w:pPr>
        <w:spacing w:line="360" w:lineRule="auto"/>
        <w:jc w:val="center"/>
        <w:rPr>
          <w:rFonts w:asciiTheme="majorBidi" w:hAnsiTheme="majorBidi"/>
          <w:b/>
          <w:bCs/>
          <w:sz w:val="24"/>
          <w:szCs w:val="24"/>
        </w:rPr>
      </w:pPr>
    </w:p>
    <w:p w:rsidR="006E7F59" w:rsidRPr="004345ED" w:rsidRDefault="00B84699" w:rsidP="00A91904">
      <w:pPr>
        <w:spacing w:line="360" w:lineRule="auto"/>
        <w:jc w:val="center"/>
        <w:rPr>
          <w:rFonts w:asciiTheme="majorBidi" w:hAnsiTheme="majorBidi" w:cstheme="majorBidi"/>
          <w:b/>
          <w:bCs/>
          <w:sz w:val="28"/>
          <w:szCs w:val="28"/>
        </w:rPr>
      </w:pPr>
      <w:bookmarkStart w:id="0" w:name="_GoBack"/>
      <w:r w:rsidRPr="004345ED">
        <w:rPr>
          <w:rFonts w:asciiTheme="majorBidi" w:hAnsiTheme="majorBidi"/>
          <w:b/>
          <w:bCs/>
          <w:sz w:val="28"/>
          <w:szCs w:val="28"/>
        </w:rPr>
        <w:t xml:space="preserve">Effects of </w:t>
      </w:r>
      <w:r w:rsidR="00BD72A5" w:rsidRPr="004345ED">
        <w:rPr>
          <w:rFonts w:asciiTheme="majorBidi" w:hAnsiTheme="majorBidi"/>
          <w:b/>
          <w:bCs/>
          <w:sz w:val="28"/>
          <w:szCs w:val="28"/>
        </w:rPr>
        <w:t>M</w:t>
      </w:r>
      <w:r w:rsidRPr="004345ED">
        <w:rPr>
          <w:rFonts w:asciiTheme="majorBidi" w:hAnsiTheme="majorBidi"/>
          <w:b/>
          <w:bCs/>
          <w:sz w:val="28"/>
          <w:szCs w:val="28"/>
        </w:rPr>
        <w:t xml:space="preserve">acroeconomic </w:t>
      </w:r>
      <w:r w:rsidR="00BD72A5" w:rsidRPr="004345ED">
        <w:rPr>
          <w:rFonts w:asciiTheme="majorBidi" w:hAnsiTheme="majorBidi"/>
          <w:b/>
          <w:bCs/>
          <w:sz w:val="28"/>
          <w:szCs w:val="28"/>
        </w:rPr>
        <w:t>S</w:t>
      </w:r>
      <w:r w:rsidRPr="004345ED">
        <w:rPr>
          <w:rFonts w:asciiTheme="majorBidi" w:hAnsiTheme="majorBidi"/>
          <w:b/>
          <w:bCs/>
          <w:sz w:val="28"/>
          <w:szCs w:val="28"/>
        </w:rPr>
        <w:t xml:space="preserve">tress </w:t>
      </w:r>
      <w:r w:rsidR="00BD72A5" w:rsidRPr="004345ED">
        <w:rPr>
          <w:rFonts w:asciiTheme="majorBidi" w:hAnsiTheme="majorBidi"/>
          <w:b/>
          <w:bCs/>
          <w:sz w:val="28"/>
          <w:szCs w:val="28"/>
        </w:rPr>
        <w:t>S</w:t>
      </w:r>
      <w:r w:rsidRPr="004345ED">
        <w:rPr>
          <w:rFonts w:asciiTheme="majorBidi" w:hAnsiTheme="majorBidi"/>
          <w:b/>
          <w:bCs/>
          <w:sz w:val="28"/>
          <w:szCs w:val="28"/>
        </w:rPr>
        <w:t xml:space="preserve">cenario on </w:t>
      </w:r>
      <w:r w:rsidR="00BD72A5" w:rsidRPr="004345ED">
        <w:rPr>
          <w:rFonts w:asciiTheme="majorBidi" w:hAnsiTheme="majorBidi"/>
          <w:b/>
          <w:bCs/>
          <w:sz w:val="28"/>
          <w:szCs w:val="28"/>
        </w:rPr>
        <w:t>H</w:t>
      </w:r>
      <w:r w:rsidRPr="004345ED">
        <w:rPr>
          <w:rFonts w:asciiTheme="majorBidi" w:hAnsiTheme="majorBidi"/>
          <w:b/>
          <w:bCs/>
          <w:sz w:val="28"/>
          <w:szCs w:val="28"/>
        </w:rPr>
        <w:t xml:space="preserve">ousing </w:t>
      </w:r>
      <w:r w:rsidR="00A91904" w:rsidRPr="004345ED">
        <w:rPr>
          <w:rFonts w:asciiTheme="majorBidi" w:hAnsiTheme="majorBidi"/>
          <w:b/>
          <w:bCs/>
          <w:sz w:val="28"/>
          <w:szCs w:val="28"/>
        </w:rPr>
        <w:t>Credit</w:t>
      </w:r>
      <w:r w:rsidRPr="004345ED">
        <w:rPr>
          <w:rFonts w:asciiTheme="majorBidi" w:hAnsiTheme="majorBidi"/>
          <w:b/>
          <w:bCs/>
          <w:sz w:val="28"/>
          <w:szCs w:val="28"/>
        </w:rPr>
        <w:t>:</w:t>
      </w:r>
    </w:p>
    <w:bookmarkEnd w:id="0"/>
    <w:p w:rsidR="00C04AC3" w:rsidRDefault="00E102B3" w:rsidP="004345ED">
      <w:pPr>
        <w:spacing w:line="240" w:lineRule="auto"/>
        <w:jc w:val="center"/>
        <w:rPr>
          <w:rFonts w:asciiTheme="majorBidi" w:hAnsiTheme="majorBidi" w:cstheme="majorBidi"/>
          <w:sz w:val="28"/>
          <w:szCs w:val="28"/>
        </w:rPr>
      </w:pPr>
      <w:r w:rsidRPr="004345ED">
        <w:rPr>
          <w:rFonts w:asciiTheme="majorBidi" w:hAnsiTheme="majorBidi"/>
          <w:b/>
          <w:bCs/>
          <w:sz w:val="28"/>
          <w:szCs w:val="28"/>
        </w:rPr>
        <w:t>The e</w:t>
      </w:r>
      <w:r w:rsidR="00480078" w:rsidRPr="004345ED">
        <w:rPr>
          <w:rFonts w:asciiTheme="majorBidi" w:hAnsiTheme="majorBidi"/>
          <w:b/>
          <w:bCs/>
          <w:sz w:val="28"/>
          <w:szCs w:val="28"/>
        </w:rPr>
        <w:t xml:space="preserve">xpected </w:t>
      </w:r>
      <w:r w:rsidRPr="004345ED">
        <w:rPr>
          <w:rFonts w:asciiTheme="majorBidi" w:hAnsiTheme="majorBidi"/>
          <w:b/>
          <w:bCs/>
          <w:sz w:val="28"/>
          <w:szCs w:val="28"/>
        </w:rPr>
        <w:t xml:space="preserve">impact </w:t>
      </w:r>
      <w:r w:rsidR="00480078" w:rsidRPr="004345ED">
        <w:rPr>
          <w:rFonts w:asciiTheme="majorBidi" w:hAnsiTheme="majorBidi"/>
          <w:b/>
          <w:bCs/>
          <w:sz w:val="28"/>
          <w:szCs w:val="28"/>
        </w:rPr>
        <w:t xml:space="preserve">of </w:t>
      </w:r>
      <w:r w:rsidRPr="004345ED">
        <w:rPr>
          <w:rFonts w:asciiTheme="majorBidi" w:hAnsiTheme="majorBidi"/>
          <w:b/>
          <w:bCs/>
          <w:sz w:val="28"/>
          <w:szCs w:val="28"/>
        </w:rPr>
        <w:t xml:space="preserve">a </w:t>
      </w:r>
      <w:r w:rsidR="00480078" w:rsidRPr="004345ED">
        <w:rPr>
          <w:rFonts w:asciiTheme="majorBidi" w:hAnsiTheme="majorBidi"/>
          <w:b/>
          <w:bCs/>
          <w:sz w:val="28"/>
          <w:szCs w:val="28"/>
        </w:rPr>
        <w:t xml:space="preserve">sharp increase in </w:t>
      </w:r>
      <w:r w:rsidRPr="004345ED">
        <w:rPr>
          <w:rFonts w:asciiTheme="majorBidi" w:hAnsiTheme="majorBidi"/>
          <w:b/>
          <w:bCs/>
          <w:sz w:val="28"/>
          <w:szCs w:val="28"/>
        </w:rPr>
        <w:t xml:space="preserve">the </w:t>
      </w:r>
      <w:r w:rsidR="00480078" w:rsidRPr="004345ED">
        <w:rPr>
          <w:rFonts w:asciiTheme="majorBidi" w:hAnsiTheme="majorBidi"/>
          <w:b/>
          <w:bCs/>
          <w:sz w:val="28"/>
          <w:szCs w:val="28"/>
        </w:rPr>
        <w:t xml:space="preserve">interest rate and in unemployment on mortgages </w:t>
      </w:r>
      <w:r w:rsidR="00A91904" w:rsidRPr="004345ED">
        <w:rPr>
          <w:rFonts w:asciiTheme="majorBidi" w:hAnsiTheme="majorBidi"/>
          <w:b/>
          <w:bCs/>
          <w:sz w:val="28"/>
          <w:szCs w:val="28"/>
        </w:rPr>
        <w:t xml:space="preserve">borrowers </w:t>
      </w:r>
      <w:r w:rsidR="00480078" w:rsidRPr="004345ED">
        <w:rPr>
          <w:rFonts w:asciiTheme="majorBidi" w:hAnsiTheme="majorBidi"/>
          <w:b/>
          <w:bCs/>
          <w:sz w:val="28"/>
          <w:szCs w:val="28"/>
        </w:rPr>
        <w:t>and on banks</w:t>
      </w:r>
    </w:p>
    <w:p w:rsidR="004345ED" w:rsidRPr="004345ED" w:rsidRDefault="004345ED" w:rsidP="004345ED">
      <w:pPr>
        <w:spacing w:line="240" w:lineRule="auto"/>
        <w:jc w:val="center"/>
        <w:rPr>
          <w:rFonts w:asciiTheme="majorBidi" w:hAnsiTheme="majorBidi" w:cstheme="majorBidi"/>
          <w:sz w:val="28"/>
          <w:szCs w:val="28"/>
        </w:rPr>
      </w:pPr>
    </w:p>
    <w:p w:rsidR="00C04AC3" w:rsidRPr="004345ED" w:rsidRDefault="00DF5D44" w:rsidP="004F4BCA">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 xml:space="preserve">This year, as well, the Banking Supervision Department conducted a macroeconomic stress test for the banking system, as </w:t>
      </w:r>
      <w:r w:rsidR="007B1B69" w:rsidRPr="004345ED">
        <w:rPr>
          <w:rFonts w:asciiTheme="majorBidi" w:hAnsiTheme="majorBidi"/>
          <w:b/>
          <w:bCs/>
          <w:sz w:val="24"/>
          <w:szCs w:val="24"/>
        </w:rPr>
        <w:t xml:space="preserve">commonly done </w:t>
      </w:r>
      <w:r w:rsidR="00FA02A3" w:rsidRPr="004345ED">
        <w:rPr>
          <w:rFonts w:asciiTheme="majorBidi" w:hAnsiTheme="majorBidi"/>
          <w:b/>
          <w:bCs/>
          <w:sz w:val="24"/>
          <w:szCs w:val="24"/>
        </w:rPr>
        <w:t xml:space="preserve">around the </w:t>
      </w:r>
      <w:r w:rsidRPr="004345ED">
        <w:rPr>
          <w:rFonts w:asciiTheme="majorBidi" w:hAnsiTheme="majorBidi"/>
          <w:b/>
          <w:bCs/>
          <w:sz w:val="24"/>
          <w:szCs w:val="24"/>
        </w:rPr>
        <w:t xml:space="preserve">world. The test is based on a uniform scenario applied to all banks, </w:t>
      </w:r>
      <w:r w:rsidR="00412044" w:rsidRPr="004345ED">
        <w:rPr>
          <w:rFonts w:asciiTheme="majorBidi" w:hAnsiTheme="majorBidi"/>
          <w:b/>
          <w:bCs/>
          <w:sz w:val="24"/>
          <w:szCs w:val="24"/>
        </w:rPr>
        <w:t xml:space="preserve">with the goal of contributing to </w:t>
      </w:r>
      <w:r w:rsidRPr="004345ED">
        <w:rPr>
          <w:rFonts w:asciiTheme="majorBidi" w:hAnsiTheme="majorBidi"/>
          <w:b/>
          <w:bCs/>
          <w:sz w:val="24"/>
          <w:szCs w:val="24"/>
        </w:rPr>
        <w:t xml:space="preserve">understanding </w:t>
      </w:r>
      <w:r w:rsidR="00412044" w:rsidRPr="004345ED">
        <w:rPr>
          <w:rFonts w:asciiTheme="majorBidi" w:hAnsiTheme="majorBidi"/>
          <w:b/>
          <w:bCs/>
          <w:sz w:val="24"/>
          <w:szCs w:val="24"/>
        </w:rPr>
        <w:t xml:space="preserve">the focal points </w:t>
      </w:r>
      <w:r w:rsidRPr="004345ED">
        <w:rPr>
          <w:rFonts w:asciiTheme="majorBidi" w:hAnsiTheme="majorBidi"/>
          <w:b/>
          <w:bCs/>
          <w:sz w:val="24"/>
          <w:szCs w:val="24"/>
        </w:rPr>
        <w:t xml:space="preserve">of </w:t>
      </w:r>
      <w:r w:rsidR="004F4BCA" w:rsidRPr="004345ED">
        <w:rPr>
          <w:rFonts w:asciiTheme="majorBidi" w:hAnsiTheme="majorBidi"/>
          <w:b/>
          <w:bCs/>
          <w:sz w:val="24"/>
          <w:szCs w:val="24"/>
        </w:rPr>
        <w:t xml:space="preserve">risks </w:t>
      </w:r>
      <w:r w:rsidRPr="004345ED">
        <w:rPr>
          <w:rFonts w:asciiTheme="majorBidi" w:hAnsiTheme="majorBidi"/>
          <w:b/>
          <w:bCs/>
          <w:sz w:val="24"/>
          <w:szCs w:val="24"/>
        </w:rPr>
        <w:t xml:space="preserve">to which the system is exposed. It is based on assessments and models, and does not constitute a forecast. (For more </w:t>
      </w:r>
      <w:r w:rsidR="00CC73A1" w:rsidRPr="004345ED">
        <w:rPr>
          <w:rFonts w:asciiTheme="majorBidi" w:hAnsiTheme="majorBidi"/>
          <w:b/>
          <w:bCs/>
          <w:sz w:val="24"/>
          <w:szCs w:val="24"/>
        </w:rPr>
        <w:t>information,</w:t>
      </w:r>
      <w:r w:rsidRPr="004345ED">
        <w:rPr>
          <w:rFonts w:asciiTheme="majorBidi" w:hAnsiTheme="majorBidi"/>
          <w:b/>
          <w:bCs/>
          <w:sz w:val="24"/>
          <w:szCs w:val="24"/>
        </w:rPr>
        <w:t xml:space="preserve"> see box "Macroeconomic stress test</w:t>
      </w:r>
      <w:r w:rsidR="00A71904" w:rsidRPr="004345ED">
        <w:rPr>
          <w:rFonts w:asciiTheme="majorBidi" w:hAnsiTheme="majorBidi"/>
          <w:b/>
          <w:bCs/>
          <w:sz w:val="24"/>
          <w:szCs w:val="24"/>
        </w:rPr>
        <w:t>s</w:t>
      </w:r>
      <w:r w:rsidRPr="004345ED">
        <w:rPr>
          <w:rFonts w:asciiTheme="majorBidi" w:hAnsiTheme="majorBidi"/>
          <w:b/>
          <w:bCs/>
          <w:sz w:val="24"/>
          <w:szCs w:val="24"/>
        </w:rPr>
        <w:t xml:space="preserve"> for the banking system, 2018".) </w:t>
      </w:r>
    </w:p>
    <w:p w:rsidR="00C6535E" w:rsidRPr="004345ED" w:rsidRDefault="00024FD9" w:rsidP="002830F1">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 xml:space="preserve">As part of this test, we extensively reviewed risk in the housing </w:t>
      </w:r>
      <w:r w:rsidR="001F709D" w:rsidRPr="004345ED">
        <w:rPr>
          <w:rFonts w:asciiTheme="majorBidi" w:hAnsiTheme="majorBidi"/>
          <w:b/>
          <w:bCs/>
          <w:sz w:val="24"/>
          <w:szCs w:val="24"/>
        </w:rPr>
        <w:t xml:space="preserve">credit </w:t>
      </w:r>
      <w:r w:rsidRPr="004345ED">
        <w:rPr>
          <w:rFonts w:asciiTheme="majorBidi" w:hAnsiTheme="majorBidi"/>
          <w:b/>
          <w:bCs/>
          <w:sz w:val="24"/>
          <w:szCs w:val="24"/>
        </w:rPr>
        <w:t xml:space="preserve">portfolio, based on </w:t>
      </w:r>
      <w:r w:rsidR="001F709D" w:rsidRPr="004345ED">
        <w:rPr>
          <w:rFonts w:asciiTheme="majorBidi" w:hAnsiTheme="majorBidi"/>
          <w:b/>
          <w:bCs/>
          <w:sz w:val="24"/>
          <w:szCs w:val="24"/>
        </w:rPr>
        <w:t xml:space="preserve">granular </w:t>
      </w:r>
      <w:r w:rsidRPr="004345ED">
        <w:rPr>
          <w:rFonts w:asciiTheme="majorBidi" w:hAnsiTheme="majorBidi"/>
          <w:b/>
          <w:bCs/>
          <w:sz w:val="24"/>
          <w:szCs w:val="24"/>
        </w:rPr>
        <w:t xml:space="preserve">data (at the individual loan level). </w:t>
      </w:r>
      <w:r w:rsidR="00BE2CAD" w:rsidRPr="004345ED">
        <w:rPr>
          <w:rFonts w:asciiTheme="majorBidi" w:hAnsiTheme="majorBidi"/>
          <w:b/>
          <w:bCs/>
          <w:sz w:val="24"/>
          <w:szCs w:val="24"/>
        </w:rPr>
        <w:t>H</w:t>
      </w:r>
      <w:r w:rsidRPr="004345ED">
        <w:rPr>
          <w:rFonts w:asciiTheme="majorBidi" w:hAnsiTheme="majorBidi"/>
          <w:b/>
          <w:bCs/>
          <w:sz w:val="24"/>
          <w:szCs w:val="24"/>
        </w:rPr>
        <w:t xml:space="preserve">ousing </w:t>
      </w:r>
      <w:r w:rsidR="00BE2CAD" w:rsidRPr="004345ED">
        <w:rPr>
          <w:rFonts w:asciiTheme="majorBidi" w:hAnsiTheme="majorBidi"/>
          <w:b/>
          <w:bCs/>
          <w:sz w:val="24"/>
          <w:szCs w:val="24"/>
        </w:rPr>
        <w:t xml:space="preserve">credit </w:t>
      </w:r>
      <w:r w:rsidRPr="004345ED">
        <w:rPr>
          <w:rFonts w:asciiTheme="majorBidi" w:hAnsiTheme="majorBidi"/>
          <w:b/>
          <w:bCs/>
          <w:sz w:val="24"/>
          <w:szCs w:val="24"/>
        </w:rPr>
        <w:t xml:space="preserve">is a significant </w:t>
      </w:r>
      <w:r w:rsidR="00260EF1" w:rsidRPr="004345ED">
        <w:rPr>
          <w:rFonts w:asciiTheme="majorBidi" w:hAnsiTheme="majorBidi"/>
          <w:b/>
          <w:bCs/>
          <w:sz w:val="24"/>
          <w:szCs w:val="24"/>
        </w:rPr>
        <w:t xml:space="preserve">focal point </w:t>
      </w:r>
      <w:r w:rsidRPr="004345ED">
        <w:rPr>
          <w:rFonts w:asciiTheme="majorBidi" w:hAnsiTheme="majorBidi"/>
          <w:b/>
          <w:bCs/>
          <w:sz w:val="24"/>
          <w:szCs w:val="24"/>
        </w:rPr>
        <w:t xml:space="preserve">when </w:t>
      </w:r>
      <w:r w:rsidR="00260EF1" w:rsidRPr="004345ED">
        <w:rPr>
          <w:rFonts w:asciiTheme="majorBidi" w:hAnsiTheme="majorBidi"/>
          <w:b/>
          <w:bCs/>
          <w:sz w:val="24"/>
          <w:szCs w:val="24"/>
        </w:rPr>
        <w:t xml:space="preserve">examining </w:t>
      </w:r>
      <w:r w:rsidRPr="004345ED">
        <w:rPr>
          <w:rFonts w:asciiTheme="majorBidi" w:hAnsiTheme="majorBidi"/>
          <w:b/>
          <w:bCs/>
          <w:sz w:val="24"/>
          <w:szCs w:val="24"/>
        </w:rPr>
        <w:t xml:space="preserve">the risk faced by the banking system. This is due to the strong correlation with the construction and real estate </w:t>
      </w:r>
      <w:r w:rsidR="00B904DC" w:rsidRPr="004345ED">
        <w:rPr>
          <w:rFonts w:asciiTheme="majorBidi" w:hAnsiTheme="majorBidi"/>
          <w:b/>
          <w:bCs/>
          <w:sz w:val="24"/>
          <w:szCs w:val="24"/>
        </w:rPr>
        <w:t>industry</w:t>
      </w:r>
      <w:r w:rsidRPr="004345ED">
        <w:rPr>
          <w:rFonts w:asciiTheme="majorBidi" w:hAnsiTheme="majorBidi"/>
          <w:b/>
          <w:bCs/>
          <w:sz w:val="24"/>
          <w:szCs w:val="24"/>
        </w:rPr>
        <w:t>, which may exacerbate loss due to feedback</w:t>
      </w:r>
      <w:r w:rsidR="00B904DC" w:rsidRPr="004345ED">
        <w:rPr>
          <w:rFonts w:asciiTheme="majorBidi" w:hAnsiTheme="majorBidi"/>
          <w:b/>
          <w:bCs/>
          <w:sz w:val="24"/>
          <w:szCs w:val="24"/>
        </w:rPr>
        <w:t xml:space="preserve"> effects</w:t>
      </w:r>
      <w:r w:rsidRPr="004345ED">
        <w:rPr>
          <w:rFonts w:asciiTheme="majorBidi" w:hAnsiTheme="majorBidi"/>
          <w:b/>
          <w:bCs/>
          <w:sz w:val="24"/>
          <w:szCs w:val="24"/>
        </w:rPr>
        <w:t xml:space="preserve">, and due to the significant share of this portfolio out of the entire banking </w:t>
      </w:r>
      <w:r w:rsidR="002830F1" w:rsidRPr="004345ED">
        <w:rPr>
          <w:rFonts w:asciiTheme="majorBidi" w:hAnsiTheme="majorBidi"/>
          <w:b/>
          <w:bCs/>
          <w:sz w:val="24"/>
          <w:szCs w:val="24"/>
        </w:rPr>
        <w:t xml:space="preserve">credit </w:t>
      </w:r>
      <w:r w:rsidRPr="004345ED">
        <w:rPr>
          <w:rFonts w:asciiTheme="majorBidi" w:hAnsiTheme="majorBidi"/>
          <w:b/>
          <w:bCs/>
          <w:sz w:val="24"/>
          <w:szCs w:val="24"/>
        </w:rPr>
        <w:t>portfolio, due to the rapid expansion of housing loans in the past decade.</w:t>
      </w:r>
    </w:p>
    <w:p w:rsidR="00DF5D44" w:rsidRPr="004345ED" w:rsidRDefault="00DF5D44" w:rsidP="008F185C">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 xml:space="preserve">The share of the housing </w:t>
      </w:r>
      <w:r w:rsidR="008F185C" w:rsidRPr="004345ED">
        <w:rPr>
          <w:rFonts w:asciiTheme="majorBidi" w:hAnsiTheme="majorBidi"/>
          <w:b/>
          <w:bCs/>
          <w:sz w:val="24"/>
          <w:szCs w:val="24"/>
        </w:rPr>
        <w:t xml:space="preserve">credit </w:t>
      </w:r>
      <w:r w:rsidRPr="004345ED">
        <w:rPr>
          <w:rFonts w:asciiTheme="majorBidi" w:hAnsiTheme="majorBidi"/>
          <w:b/>
          <w:bCs/>
          <w:sz w:val="24"/>
          <w:szCs w:val="24"/>
        </w:rPr>
        <w:t xml:space="preserve">portfolio out of total credit extended by banks has gradually increased in recent years, but from a global perspective, the ratio of household housing debt to GDP in Israel is lower than in other </w:t>
      </w:r>
      <w:r w:rsidR="004A581C" w:rsidRPr="004345ED">
        <w:rPr>
          <w:rFonts w:asciiTheme="majorBidi" w:hAnsiTheme="majorBidi"/>
          <w:b/>
          <w:bCs/>
          <w:sz w:val="24"/>
          <w:szCs w:val="24"/>
        </w:rPr>
        <w:t>advanced economies</w:t>
      </w:r>
      <w:r w:rsidRPr="004345ED">
        <w:rPr>
          <w:rFonts w:asciiTheme="majorBidi" w:hAnsiTheme="majorBidi"/>
          <w:b/>
          <w:bCs/>
          <w:sz w:val="24"/>
          <w:szCs w:val="24"/>
        </w:rPr>
        <w:t>.</w:t>
      </w:r>
    </w:p>
    <w:p w:rsidR="004710D8" w:rsidRPr="004345ED" w:rsidRDefault="004710D8" w:rsidP="0088355A">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This year's stress scenario reflects two key influences on borrower repayment capacity</w:t>
      </w:r>
      <w:r w:rsidR="00DC5D41" w:rsidRPr="004345ED">
        <w:rPr>
          <w:rFonts w:asciiTheme="majorBidi" w:hAnsiTheme="majorBidi"/>
          <w:b/>
          <w:bCs/>
          <w:sz w:val="24"/>
          <w:szCs w:val="24"/>
        </w:rPr>
        <w:t>—</w:t>
      </w:r>
      <w:r w:rsidRPr="004345ED">
        <w:rPr>
          <w:rFonts w:asciiTheme="majorBidi" w:hAnsiTheme="majorBidi"/>
          <w:b/>
          <w:bCs/>
          <w:sz w:val="24"/>
          <w:szCs w:val="24"/>
        </w:rPr>
        <w:t xml:space="preserve">a </w:t>
      </w:r>
      <w:r w:rsidR="0088355A" w:rsidRPr="004345ED">
        <w:rPr>
          <w:rFonts w:asciiTheme="majorBidi" w:hAnsiTheme="majorBidi"/>
          <w:b/>
          <w:bCs/>
          <w:sz w:val="24"/>
          <w:szCs w:val="24"/>
        </w:rPr>
        <w:t xml:space="preserve">marked </w:t>
      </w:r>
      <w:r w:rsidRPr="004345ED">
        <w:rPr>
          <w:rFonts w:asciiTheme="majorBidi" w:hAnsiTheme="majorBidi"/>
          <w:b/>
          <w:bCs/>
          <w:sz w:val="24"/>
          <w:szCs w:val="24"/>
        </w:rPr>
        <w:t>increase in interest rates (by 5 percentage points) and rising unemployment (to 9.3</w:t>
      </w:r>
      <w:r w:rsidR="007676E9" w:rsidRPr="004345ED">
        <w:rPr>
          <w:rFonts w:asciiTheme="majorBidi" w:hAnsiTheme="majorBidi"/>
          <w:b/>
          <w:bCs/>
          <w:sz w:val="24"/>
          <w:szCs w:val="24"/>
        </w:rPr>
        <w:t xml:space="preserve"> percent</w:t>
      </w:r>
      <w:r w:rsidRPr="004345ED">
        <w:rPr>
          <w:rFonts w:asciiTheme="majorBidi" w:hAnsiTheme="majorBidi"/>
          <w:b/>
          <w:bCs/>
          <w:sz w:val="24"/>
          <w:szCs w:val="24"/>
        </w:rPr>
        <w:t>).</w:t>
      </w:r>
    </w:p>
    <w:p w:rsidR="00DF5D44" w:rsidRPr="004345ED" w:rsidRDefault="00024FD9" w:rsidP="004B0A1C">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lastRenderedPageBreak/>
        <w:t xml:space="preserve">The test outcome, similar to those of previous stress tests, </w:t>
      </w:r>
      <w:r w:rsidR="0088355A" w:rsidRPr="004345ED">
        <w:rPr>
          <w:rFonts w:asciiTheme="majorBidi" w:hAnsiTheme="majorBidi"/>
          <w:b/>
          <w:bCs/>
          <w:sz w:val="24"/>
          <w:szCs w:val="24"/>
        </w:rPr>
        <w:t xml:space="preserve">indicates </w:t>
      </w:r>
      <w:r w:rsidRPr="004345ED">
        <w:rPr>
          <w:rFonts w:asciiTheme="majorBidi" w:hAnsiTheme="majorBidi"/>
          <w:b/>
          <w:bCs/>
          <w:sz w:val="24"/>
          <w:szCs w:val="24"/>
        </w:rPr>
        <w:t xml:space="preserve">that risk in the housing </w:t>
      </w:r>
      <w:r w:rsidR="004B0A1C" w:rsidRPr="004345ED">
        <w:rPr>
          <w:rFonts w:asciiTheme="majorBidi" w:hAnsiTheme="majorBidi"/>
          <w:b/>
          <w:bCs/>
          <w:sz w:val="24"/>
          <w:szCs w:val="24"/>
        </w:rPr>
        <w:t>credit</w:t>
      </w:r>
      <w:r w:rsidRPr="004345ED">
        <w:rPr>
          <w:rFonts w:asciiTheme="majorBidi" w:hAnsiTheme="majorBidi"/>
          <w:b/>
          <w:bCs/>
          <w:sz w:val="24"/>
          <w:szCs w:val="24"/>
        </w:rPr>
        <w:t xml:space="preserve"> portfolio remains low compared to other credit segments and that </w:t>
      </w:r>
      <w:r w:rsidR="0088355A" w:rsidRPr="004345ED">
        <w:rPr>
          <w:rFonts w:asciiTheme="majorBidi" w:hAnsiTheme="majorBidi"/>
          <w:b/>
          <w:bCs/>
          <w:sz w:val="24"/>
          <w:szCs w:val="24"/>
        </w:rPr>
        <w:t xml:space="preserve">the portfolio’s </w:t>
      </w:r>
      <w:r w:rsidRPr="004345ED">
        <w:rPr>
          <w:rFonts w:asciiTheme="majorBidi" w:hAnsiTheme="majorBidi"/>
          <w:b/>
          <w:bCs/>
          <w:sz w:val="24"/>
          <w:szCs w:val="24"/>
        </w:rPr>
        <w:t>quality has even improved in recent years.</w:t>
      </w:r>
    </w:p>
    <w:p w:rsidR="008A222F" w:rsidRPr="004345ED" w:rsidRDefault="006E7F59" w:rsidP="00DF09FB">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 xml:space="preserve">The improved quality and lower risk in the mortgage portfolio are due to stricter criteria applied to mortgage origination (underwriting), based on directives issued by the Banking Supervision Department over the years (with regard to </w:t>
      </w:r>
      <w:r w:rsidR="00DF09FB" w:rsidRPr="004345ED">
        <w:rPr>
          <w:rFonts w:asciiTheme="majorBidi" w:hAnsiTheme="majorBidi"/>
          <w:b/>
          <w:bCs/>
          <w:sz w:val="24"/>
          <w:szCs w:val="24"/>
        </w:rPr>
        <w:t xml:space="preserve">the </w:t>
      </w:r>
      <w:r w:rsidRPr="004345ED">
        <w:rPr>
          <w:rFonts w:asciiTheme="majorBidi" w:hAnsiTheme="majorBidi"/>
          <w:b/>
          <w:bCs/>
          <w:sz w:val="24"/>
          <w:szCs w:val="24"/>
        </w:rPr>
        <w:t>loan to value ratio (LTV), payment to income ratio (PTI), restrictions on adjustable interest and so forth).</w:t>
      </w:r>
    </w:p>
    <w:p w:rsidR="002D3041" w:rsidRPr="004345ED" w:rsidRDefault="00D245B3" w:rsidP="00DF09FB">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The test further indicates that the higher interest rates in the scenario have a significant impact on all mortgage borrowers in the market, due to the more onerous debt to income ratio</w:t>
      </w:r>
      <w:r w:rsidR="00DC5D41" w:rsidRPr="004345ED">
        <w:rPr>
          <w:rFonts w:asciiTheme="majorBidi" w:hAnsiTheme="majorBidi"/>
          <w:b/>
          <w:bCs/>
          <w:sz w:val="24"/>
          <w:szCs w:val="24"/>
        </w:rPr>
        <w:t>—</w:t>
      </w:r>
      <w:r w:rsidRPr="004345ED">
        <w:rPr>
          <w:rFonts w:asciiTheme="majorBidi" w:hAnsiTheme="majorBidi"/>
          <w:b/>
          <w:bCs/>
          <w:sz w:val="24"/>
          <w:szCs w:val="24"/>
        </w:rPr>
        <w:t>higher by 20</w:t>
      </w:r>
      <w:r w:rsidR="00DC5D41" w:rsidRPr="004345ED">
        <w:rPr>
          <w:rFonts w:asciiTheme="majorBidi" w:hAnsiTheme="majorBidi"/>
          <w:b/>
          <w:bCs/>
          <w:sz w:val="24"/>
          <w:szCs w:val="24"/>
        </w:rPr>
        <w:t xml:space="preserve"> percent</w:t>
      </w:r>
      <w:r w:rsidRPr="004345ED">
        <w:rPr>
          <w:rFonts w:asciiTheme="majorBidi" w:hAnsiTheme="majorBidi"/>
          <w:b/>
          <w:bCs/>
          <w:sz w:val="24"/>
          <w:szCs w:val="24"/>
        </w:rPr>
        <w:t xml:space="preserve"> on average. However, only a small share of borrowers reach default due to the higher monthly payment associated with the higher interest rates. This is the outcome of a range of macro</w:t>
      </w:r>
      <w:r w:rsidR="00DC5D41" w:rsidRPr="004345ED">
        <w:rPr>
          <w:rFonts w:asciiTheme="majorBidi" w:hAnsiTheme="majorBidi"/>
          <w:b/>
          <w:bCs/>
          <w:sz w:val="24"/>
          <w:szCs w:val="24"/>
        </w:rPr>
        <w:t xml:space="preserve">prudential </w:t>
      </w:r>
      <w:r w:rsidRPr="004345ED">
        <w:rPr>
          <w:rFonts w:asciiTheme="majorBidi" w:hAnsiTheme="majorBidi"/>
          <w:b/>
          <w:bCs/>
          <w:sz w:val="24"/>
          <w:szCs w:val="24"/>
        </w:rPr>
        <w:t xml:space="preserve">measures applied over the years with regard to housing </w:t>
      </w:r>
      <w:r w:rsidR="00DF09FB" w:rsidRPr="004345ED">
        <w:rPr>
          <w:rFonts w:asciiTheme="majorBidi" w:hAnsiTheme="majorBidi"/>
          <w:b/>
          <w:bCs/>
          <w:sz w:val="24"/>
          <w:szCs w:val="24"/>
        </w:rPr>
        <w:t>credit</w:t>
      </w:r>
      <w:r w:rsidRPr="004345ED">
        <w:rPr>
          <w:rFonts w:asciiTheme="majorBidi" w:hAnsiTheme="majorBidi"/>
          <w:b/>
          <w:bCs/>
          <w:sz w:val="24"/>
          <w:szCs w:val="24"/>
        </w:rPr>
        <w:t>, and in particular</w:t>
      </w:r>
      <w:r w:rsidR="00DC5D41" w:rsidRPr="004345ED">
        <w:rPr>
          <w:rFonts w:asciiTheme="majorBidi" w:hAnsiTheme="majorBidi"/>
          <w:b/>
          <w:bCs/>
          <w:sz w:val="24"/>
          <w:szCs w:val="24"/>
        </w:rPr>
        <w:t>—</w:t>
      </w:r>
      <w:r w:rsidRPr="004345ED">
        <w:rPr>
          <w:rFonts w:asciiTheme="majorBidi" w:hAnsiTheme="majorBidi"/>
          <w:b/>
          <w:bCs/>
          <w:sz w:val="24"/>
          <w:szCs w:val="24"/>
        </w:rPr>
        <w:t>measures designed to reduce borrower exposure to higher interest rates.</w:t>
      </w:r>
    </w:p>
    <w:p w:rsidR="00BC015E" w:rsidRPr="004345ED" w:rsidRDefault="00BC015E" w:rsidP="00304EBE">
      <w:pPr>
        <w:pStyle w:val="a3"/>
        <w:numPr>
          <w:ilvl w:val="0"/>
          <w:numId w:val="5"/>
        </w:numPr>
        <w:spacing w:line="360" w:lineRule="auto"/>
        <w:jc w:val="both"/>
        <w:rPr>
          <w:rFonts w:asciiTheme="majorBidi" w:hAnsiTheme="majorBidi" w:cstheme="majorBidi"/>
          <w:b/>
          <w:bCs/>
          <w:sz w:val="24"/>
          <w:szCs w:val="24"/>
        </w:rPr>
      </w:pPr>
      <w:r w:rsidRPr="004345ED">
        <w:rPr>
          <w:rFonts w:asciiTheme="majorBidi" w:hAnsiTheme="majorBidi"/>
          <w:b/>
          <w:bCs/>
          <w:sz w:val="24"/>
          <w:szCs w:val="24"/>
        </w:rPr>
        <w:t>The increase in unemployment (</w:t>
      </w:r>
      <w:r w:rsidR="00304EBE" w:rsidRPr="004345ED">
        <w:rPr>
          <w:rFonts w:asciiTheme="majorBidi" w:hAnsiTheme="majorBidi"/>
          <w:b/>
          <w:bCs/>
          <w:sz w:val="24"/>
          <w:szCs w:val="24"/>
        </w:rPr>
        <w:t xml:space="preserve">by </w:t>
      </w:r>
      <w:r w:rsidRPr="004345ED">
        <w:rPr>
          <w:rFonts w:asciiTheme="majorBidi" w:hAnsiTheme="majorBidi"/>
          <w:b/>
          <w:bCs/>
          <w:sz w:val="24"/>
          <w:szCs w:val="24"/>
        </w:rPr>
        <w:t xml:space="preserve">a </w:t>
      </w:r>
      <w:r w:rsidR="00304EBE" w:rsidRPr="004345ED">
        <w:rPr>
          <w:rFonts w:asciiTheme="majorBidi" w:hAnsiTheme="majorBidi"/>
          <w:b/>
          <w:bCs/>
          <w:sz w:val="24"/>
          <w:szCs w:val="24"/>
        </w:rPr>
        <w:t>considerable</w:t>
      </w:r>
      <w:r w:rsidRPr="004345ED">
        <w:rPr>
          <w:rFonts w:asciiTheme="majorBidi" w:hAnsiTheme="majorBidi"/>
          <w:b/>
          <w:bCs/>
          <w:sz w:val="24"/>
          <w:szCs w:val="24"/>
        </w:rPr>
        <w:t xml:space="preserve"> rate, </w:t>
      </w:r>
      <w:r w:rsidR="00304EBE" w:rsidRPr="004345ED">
        <w:rPr>
          <w:rFonts w:asciiTheme="majorBidi" w:hAnsiTheme="majorBidi"/>
          <w:b/>
          <w:bCs/>
          <w:sz w:val="24"/>
          <w:szCs w:val="24"/>
        </w:rPr>
        <w:t xml:space="preserve">in </w:t>
      </w:r>
      <w:r w:rsidRPr="004345ED">
        <w:rPr>
          <w:rFonts w:asciiTheme="majorBidi" w:hAnsiTheme="majorBidi"/>
          <w:b/>
          <w:bCs/>
          <w:sz w:val="24"/>
          <w:szCs w:val="24"/>
        </w:rPr>
        <w:t>the scenario) is the key cause</w:t>
      </w:r>
      <w:r w:rsidR="00DC5D41" w:rsidRPr="004345ED">
        <w:rPr>
          <w:rFonts w:asciiTheme="majorBidi" w:hAnsiTheme="majorBidi"/>
          <w:b/>
          <w:bCs/>
          <w:sz w:val="24"/>
          <w:szCs w:val="24"/>
        </w:rPr>
        <w:t xml:space="preserve"> </w:t>
      </w:r>
      <w:r w:rsidRPr="004345ED">
        <w:rPr>
          <w:rFonts w:asciiTheme="majorBidi" w:hAnsiTheme="majorBidi"/>
          <w:b/>
          <w:bCs/>
          <w:sz w:val="24"/>
          <w:szCs w:val="24"/>
        </w:rPr>
        <w:t>of borrower default: this increase would result in 5</w:t>
      </w:r>
      <w:r w:rsidR="00DC5D41" w:rsidRPr="004345ED">
        <w:rPr>
          <w:rFonts w:asciiTheme="majorBidi" w:hAnsiTheme="majorBidi"/>
          <w:b/>
          <w:bCs/>
          <w:sz w:val="24"/>
          <w:szCs w:val="24"/>
        </w:rPr>
        <w:t xml:space="preserve"> percent </w:t>
      </w:r>
      <w:r w:rsidRPr="004345ED">
        <w:rPr>
          <w:rFonts w:asciiTheme="majorBidi" w:hAnsiTheme="majorBidi"/>
          <w:b/>
          <w:bCs/>
          <w:sz w:val="24"/>
          <w:szCs w:val="24"/>
        </w:rPr>
        <w:t>of mortgage borrowers having difficulty making their debt payments, and those with lower income</w:t>
      </w:r>
      <w:r w:rsidRPr="004345ED">
        <w:rPr>
          <w:rFonts w:asciiTheme="majorBidi" w:hAnsiTheme="majorBidi" w:cstheme="majorBidi"/>
          <w:sz w:val="24"/>
          <w:szCs w:val="24"/>
          <w:vertAlign w:val="superscript"/>
          <w:rtl/>
        </w:rPr>
        <w:footnoteReference w:id="1"/>
      </w:r>
      <w:r w:rsidRPr="004345ED">
        <w:rPr>
          <w:rFonts w:asciiTheme="majorBidi" w:hAnsiTheme="majorBidi"/>
          <w:b/>
          <w:bCs/>
          <w:sz w:val="24"/>
          <w:szCs w:val="24"/>
        </w:rPr>
        <w:t xml:space="preserve"> are the most vulnerable.</w:t>
      </w:r>
    </w:p>
    <w:p w:rsidR="002D3041" w:rsidRPr="004345ED" w:rsidRDefault="002D3041" w:rsidP="00155F2D">
      <w:pPr>
        <w:pStyle w:val="a3"/>
        <w:spacing w:line="360" w:lineRule="auto"/>
        <w:ind w:left="360"/>
        <w:jc w:val="both"/>
        <w:rPr>
          <w:rFonts w:asciiTheme="majorBidi" w:hAnsiTheme="majorBidi" w:cstheme="majorBidi"/>
          <w:b/>
          <w:bCs/>
          <w:sz w:val="24"/>
          <w:szCs w:val="24"/>
        </w:rPr>
      </w:pPr>
    </w:p>
    <w:p w:rsidR="00CB5428" w:rsidRPr="004345ED" w:rsidRDefault="00B64DC1" w:rsidP="00155F2D">
      <w:pPr>
        <w:spacing w:line="360" w:lineRule="auto"/>
        <w:rPr>
          <w:rFonts w:asciiTheme="majorBidi" w:hAnsiTheme="majorBidi" w:cstheme="majorBidi"/>
          <w:b/>
          <w:bCs/>
          <w:sz w:val="24"/>
          <w:szCs w:val="24"/>
        </w:rPr>
      </w:pPr>
      <w:r w:rsidRPr="004345ED">
        <w:rPr>
          <w:rFonts w:asciiTheme="majorBidi" w:hAnsiTheme="majorBidi"/>
          <w:b/>
          <w:bCs/>
          <w:sz w:val="24"/>
          <w:szCs w:val="24"/>
        </w:rPr>
        <w:t>Background</w:t>
      </w:r>
    </w:p>
    <w:p w:rsidR="00A54804" w:rsidRPr="004345ED" w:rsidRDefault="00A2691D" w:rsidP="004559EC">
      <w:pPr>
        <w:spacing w:line="360" w:lineRule="auto"/>
        <w:jc w:val="both"/>
        <w:rPr>
          <w:rFonts w:asciiTheme="majorBidi" w:hAnsiTheme="majorBidi" w:cstheme="majorBidi"/>
          <w:sz w:val="24"/>
          <w:szCs w:val="24"/>
        </w:rPr>
      </w:pPr>
      <w:r w:rsidRPr="004345ED">
        <w:rPr>
          <w:rFonts w:asciiTheme="majorBidi" w:hAnsiTheme="majorBidi"/>
          <w:sz w:val="24"/>
          <w:szCs w:val="24"/>
        </w:rPr>
        <w:lastRenderedPageBreak/>
        <w:t xml:space="preserve">This year, too, the Banking Supervision Department </w:t>
      </w:r>
      <w:r w:rsidR="000D0AE7" w:rsidRPr="004345ED">
        <w:rPr>
          <w:rFonts w:asciiTheme="majorBidi" w:hAnsiTheme="majorBidi"/>
          <w:sz w:val="24"/>
          <w:szCs w:val="24"/>
        </w:rPr>
        <w:t xml:space="preserve">carried out </w:t>
      </w:r>
      <w:r w:rsidRPr="004345ED">
        <w:rPr>
          <w:rFonts w:asciiTheme="majorBidi" w:hAnsiTheme="majorBidi"/>
          <w:sz w:val="24"/>
          <w:szCs w:val="24"/>
        </w:rPr>
        <w:t xml:space="preserve">a macroeconomic stress test for the banking system, as </w:t>
      </w:r>
      <w:r w:rsidR="00391D35" w:rsidRPr="004345ED">
        <w:rPr>
          <w:rFonts w:asciiTheme="majorBidi" w:hAnsiTheme="majorBidi"/>
          <w:sz w:val="24"/>
          <w:szCs w:val="24"/>
        </w:rPr>
        <w:t>common</w:t>
      </w:r>
      <w:r w:rsidR="0073167C" w:rsidRPr="004345ED">
        <w:rPr>
          <w:rFonts w:asciiTheme="majorBidi" w:hAnsiTheme="majorBidi"/>
          <w:sz w:val="24"/>
          <w:szCs w:val="24"/>
        </w:rPr>
        <w:t>ly done worldwide</w:t>
      </w:r>
      <w:r w:rsidRPr="004345ED">
        <w:rPr>
          <w:rFonts w:asciiTheme="majorBidi" w:hAnsiTheme="majorBidi"/>
          <w:sz w:val="24"/>
          <w:szCs w:val="24"/>
        </w:rPr>
        <w:t xml:space="preserve">. This test is based on a uniform scenario applied to all banks being tested. (For more </w:t>
      </w:r>
      <w:r w:rsidR="00CC73A1" w:rsidRPr="004345ED">
        <w:rPr>
          <w:rFonts w:asciiTheme="majorBidi" w:hAnsiTheme="majorBidi"/>
          <w:sz w:val="24"/>
          <w:szCs w:val="24"/>
        </w:rPr>
        <w:t>information,</w:t>
      </w:r>
      <w:r w:rsidRPr="004345ED">
        <w:rPr>
          <w:rFonts w:asciiTheme="majorBidi" w:hAnsiTheme="majorBidi"/>
          <w:sz w:val="24"/>
          <w:szCs w:val="24"/>
        </w:rPr>
        <w:t xml:space="preserve"> see box</w:t>
      </w:r>
      <w:r w:rsidR="00DC5D41" w:rsidRPr="004345ED">
        <w:rPr>
          <w:rFonts w:asciiTheme="majorBidi" w:hAnsiTheme="majorBidi"/>
          <w:sz w:val="24"/>
          <w:szCs w:val="24"/>
        </w:rPr>
        <w:t>,</w:t>
      </w:r>
      <w:r w:rsidRPr="004345ED">
        <w:rPr>
          <w:rFonts w:asciiTheme="majorBidi" w:hAnsiTheme="majorBidi"/>
          <w:sz w:val="24"/>
          <w:szCs w:val="24"/>
        </w:rPr>
        <w:t xml:space="preserve"> "Macroeconomic stress test</w:t>
      </w:r>
      <w:r w:rsidR="00A32AC0" w:rsidRPr="004345ED">
        <w:rPr>
          <w:rFonts w:asciiTheme="majorBidi" w:hAnsiTheme="majorBidi"/>
          <w:sz w:val="24"/>
          <w:szCs w:val="24"/>
        </w:rPr>
        <w:t>s</w:t>
      </w:r>
      <w:r w:rsidRPr="004345ED">
        <w:rPr>
          <w:rFonts w:asciiTheme="majorBidi" w:hAnsiTheme="majorBidi"/>
          <w:sz w:val="24"/>
          <w:szCs w:val="24"/>
        </w:rPr>
        <w:t xml:space="preserve"> for the banking system, 2018".) As part of this test, we extensively tested the risk in the </w:t>
      </w:r>
      <w:r w:rsidR="00A32AC0" w:rsidRPr="004345ED">
        <w:rPr>
          <w:rFonts w:asciiTheme="majorBidi" w:hAnsiTheme="majorBidi"/>
          <w:sz w:val="24"/>
          <w:szCs w:val="24"/>
        </w:rPr>
        <w:t xml:space="preserve">banking system’s </w:t>
      </w:r>
      <w:r w:rsidRPr="004345ED">
        <w:rPr>
          <w:rFonts w:asciiTheme="majorBidi" w:hAnsiTheme="majorBidi"/>
          <w:sz w:val="24"/>
          <w:szCs w:val="24"/>
        </w:rPr>
        <w:t xml:space="preserve">housing </w:t>
      </w:r>
      <w:r w:rsidR="004559EC" w:rsidRPr="004345ED">
        <w:rPr>
          <w:rFonts w:asciiTheme="majorBidi" w:hAnsiTheme="majorBidi"/>
          <w:sz w:val="24"/>
          <w:szCs w:val="24"/>
        </w:rPr>
        <w:t xml:space="preserve">credit </w:t>
      </w:r>
      <w:r w:rsidRPr="004345ED">
        <w:rPr>
          <w:rFonts w:asciiTheme="majorBidi" w:hAnsiTheme="majorBidi"/>
          <w:sz w:val="24"/>
          <w:szCs w:val="24"/>
        </w:rPr>
        <w:t xml:space="preserve">portfolio. The housing </w:t>
      </w:r>
      <w:r w:rsidR="004559EC" w:rsidRPr="004345ED">
        <w:rPr>
          <w:rFonts w:asciiTheme="majorBidi" w:hAnsiTheme="majorBidi"/>
          <w:sz w:val="24"/>
          <w:szCs w:val="24"/>
        </w:rPr>
        <w:t xml:space="preserve">credit </w:t>
      </w:r>
      <w:r w:rsidRPr="004345ED">
        <w:rPr>
          <w:rFonts w:asciiTheme="majorBidi" w:hAnsiTheme="majorBidi"/>
          <w:sz w:val="24"/>
          <w:szCs w:val="24"/>
        </w:rPr>
        <w:t xml:space="preserve">portfolio is a significant </w:t>
      </w:r>
      <w:r w:rsidR="004B422A" w:rsidRPr="004345ED">
        <w:rPr>
          <w:rFonts w:asciiTheme="majorBidi" w:hAnsiTheme="majorBidi"/>
          <w:sz w:val="24"/>
          <w:szCs w:val="24"/>
        </w:rPr>
        <w:t xml:space="preserve">focal point </w:t>
      </w:r>
      <w:r w:rsidRPr="004345ED">
        <w:rPr>
          <w:rFonts w:asciiTheme="majorBidi" w:hAnsiTheme="majorBidi"/>
          <w:sz w:val="24"/>
          <w:szCs w:val="24"/>
        </w:rPr>
        <w:t>when reviewing the risk faced by the banking system, for the following reasons: (a)</w:t>
      </w:r>
      <w:r w:rsidRPr="004345ED">
        <w:rPr>
          <w:rFonts w:asciiTheme="majorBidi" w:hAnsiTheme="majorBidi"/>
          <w:sz w:val="24"/>
          <w:szCs w:val="24"/>
        </w:rPr>
        <w:tab/>
        <w:t xml:space="preserve">Strong correlation with the construction and real estate </w:t>
      </w:r>
      <w:r w:rsidR="004B422A" w:rsidRPr="004345ED">
        <w:rPr>
          <w:rFonts w:asciiTheme="majorBidi" w:hAnsiTheme="majorBidi"/>
          <w:sz w:val="24"/>
          <w:szCs w:val="24"/>
        </w:rPr>
        <w:t>industry</w:t>
      </w:r>
      <w:r w:rsidRPr="004345ED">
        <w:rPr>
          <w:rFonts w:asciiTheme="majorBidi" w:hAnsiTheme="majorBidi"/>
          <w:sz w:val="24"/>
          <w:szCs w:val="24"/>
        </w:rPr>
        <w:t>, which may exacerbate loss due to feedback</w:t>
      </w:r>
      <w:r w:rsidR="004B422A" w:rsidRPr="004345ED">
        <w:rPr>
          <w:rFonts w:asciiTheme="majorBidi" w:hAnsiTheme="majorBidi"/>
          <w:sz w:val="24"/>
          <w:szCs w:val="24"/>
        </w:rPr>
        <w:t xml:space="preserve"> effects</w:t>
      </w:r>
      <w:r w:rsidRPr="004345ED">
        <w:rPr>
          <w:rFonts w:asciiTheme="majorBidi" w:hAnsiTheme="majorBidi"/>
          <w:sz w:val="24"/>
          <w:szCs w:val="24"/>
        </w:rPr>
        <w:t>. (b)</w:t>
      </w:r>
      <w:r w:rsidR="00DC5D41" w:rsidRPr="004345ED">
        <w:rPr>
          <w:rFonts w:asciiTheme="majorBidi" w:hAnsiTheme="majorBidi"/>
          <w:sz w:val="24"/>
          <w:szCs w:val="24"/>
        </w:rPr>
        <w:t xml:space="preserve"> </w:t>
      </w:r>
      <w:r w:rsidRPr="004345ED">
        <w:rPr>
          <w:rFonts w:asciiTheme="majorBidi" w:hAnsiTheme="majorBidi"/>
          <w:sz w:val="24"/>
          <w:szCs w:val="24"/>
        </w:rPr>
        <w:t>Strong correlation with consumer credit, which is</w:t>
      </w:r>
      <w:r w:rsidR="00DC5D41" w:rsidRPr="004345ED">
        <w:rPr>
          <w:rFonts w:asciiTheme="majorBidi" w:hAnsiTheme="majorBidi"/>
          <w:sz w:val="24"/>
          <w:szCs w:val="24"/>
        </w:rPr>
        <w:t xml:space="preserve"> </w:t>
      </w:r>
      <w:r w:rsidRPr="004345ED">
        <w:rPr>
          <w:rFonts w:asciiTheme="majorBidi" w:hAnsiTheme="majorBidi"/>
          <w:sz w:val="24"/>
          <w:szCs w:val="24"/>
        </w:rPr>
        <w:t>expected to increase loss in this portfolio as well. (c)</w:t>
      </w:r>
      <w:r w:rsidR="00DC5D41" w:rsidRPr="004345ED">
        <w:rPr>
          <w:rFonts w:asciiTheme="majorBidi" w:hAnsiTheme="majorBidi"/>
          <w:sz w:val="24"/>
          <w:szCs w:val="24"/>
        </w:rPr>
        <w:t xml:space="preserve"> </w:t>
      </w:r>
      <w:r w:rsidRPr="004345ED">
        <w:rPr>
          <w:rFonts w:asciiTheme="majorBidi" w:hAnsiTheme="majorBidi"/>
          <w:sz w:val="24"/>
          <w:szCs w:val="24"/>
        </w:rPr>
        <w:t xml:space="preserve">The significant share of this portfolio out of the bank credit portfolio: Housing loans grew rapidly over the past decade, primarily due to higher </w:t>
      </w:r>
      <w:r w:rsidR="00181F1D" w:rsidRPr="004345ED">
        <w:rPr>
          <w:rFonts w:asciiTheme="majorBidi" w:hAnsiTheme="majorBidi"/>
          <w:sz w:val="24"/>
          <w:szCs w:val="24"/>
        </w:rPr>
        <w:t>home</w:t>
      </w:r>
      <w:r w:rsidRPr="004345ED">
        <w:rPr>
          <w:rFonts w:asciiTheme="majorBidi" w:hAnsiTheme="majorBidi"/>
          <w:sz w:val="24"/>
          <w:szCs w:val="24"/>
        </w:rPr>
        <w:t xml:space="preserve"> prices and to the low interest rate environment. (However, this growth rate has somewhat moderated in recent years). At the end of 2018, housing </w:t>
      </w:r>
      <w:r w:rsidR="00181F1D" w:rsidRPr="004345ED">
        <w:rPr>
          <w:rFonts w:asciiTheme="majorBidi" w:hAnsiTheme="majorBidi"/>
          <w:sz w:val="24"/>
          <w:szCs w:val="24"/>
        </w:rPr>
        <w:t xml:space="preserve">credit </w:t>
      </w:r>
      <w:r w:rsidRPr="004345ED">
        <w:rPr>
          <w:rFonts w:asciiTheme="majorBidi" w:hAnsiTheme="majorBidi"/>
          <w:sz w:val="24"/>
          <w:szCs w:val="24"/>
        </w:rPr>
        <w:t>amounted to NIS 322 billion, or 32</w:t>
      </w:r>
      <w:r w:rsidR="00DC5D41" w:rsidRPr="004345ED">
        <w:rPr>
          <w:rFonts w:asciiTheme="majorBidi" w:hAnsiTheme="majorBidi"/>
          <w:sz w:val="24"/>
          <w:szCs w:val="24"/>
        </w:rPr>
        <w:t xml:space="preserve"> percent</w:t>
      </w:r>
      <w:r w:rsidRPr="004345ED">
        <w:rPr>
          <w:rFonts w:asciiTheme="majorBidi" w:hAnsiTheme="majorBidi"/>
          <w:sz w:val="24"/>
          <w:szCs w:val="24"/>
        </w:rPr>
        <w:t xml:space="preserve"> of the banking credit portfolio, compared to </w:t>
      </w:r>
      <w:r w:rsidR="00181F1D" w:rsidRPr="004345ED">
        <w:rPr>
          <w:rFonts w:asciiTheme="majorBidi" w:hAnsiTheme="majorBidi"/>
          <w:sz w:val="24"/>
          <w:szCs w:val="24"/>
        </w:rPr>
        <w:t xml:space="preserve">only </w:t>
      </w:r>
      <w:r w:rsidRPr="004345ED">
        <w:rPr>
          <w:rFonts w:asciiTheme="majorBidi" w:hAnsiTheme="majorBidi"/>
          <w:sz w:val="24"/>
          <w:szCs w:val="24"/>
        </w:rPr>
        <w:t>20</w:t>
      </w:r>
      <w:r w:rsidR="00DC5D41" w:rsidRPr="004345ED">
        <w:rPr>
          <w:rFonts w:asciiTheme="majorBidi" w:hAnsiTheme="majorBidi"/>
          <w:sz w:val="24"/>
          <w:szCs w:val="24"/>
        </w:rPr>
        <w:t xml:space="preserve"> percent</w:t>
      </w:r>
      <w:r w:rsidRPr="004345ED">
        <w:rPr>
          <w:rFonts w:asciiTheme="majorBidi" w:hAnsiTheme="majorBidi"/>
          <w:sz w:val="24"/>
          <w:szCs w:val="24"/>
        </w:rPr>
        <w:t xml:space="preserve"> in 2008. However, the increase in the ratio of household housing debt to GDP was moderate in recent years, and is lower than in other </w:t>
      </w:r>
      <w:r w:rsidR="00181F1D" w:rsidRPr="004345ED">
        <w:rPr>
          <w:rFonts w:asciiTheme="majorBidi" w:hAnsiTheme="majorBidi"/>
          <w:sz w:val="24"/>
          <w:szCs w:val="24"/>
        </w:rPr>
        <w:t xml:space="preserve">advanced economies </w:t>
      </w:r>
      <w:r w:rsidRPr="004345ED">
        <w:rPr>
          <w:rFonts w:asciiTheme="majorBidi" w:hAnsiTheme="majorBidi"/>
          <w:sz w:val="24"/>
          <w:szCs w:val="24"/>
        </w:rPr>
        <w:t>(</w:t>
      </w:r>
      <w:r w:rsidR="00181F1D" w:rsidRPr="004345ED">
        <w:rPr>
          <w:rFonts w:asciiTheme="majorBidi" w:hAnsiTheme="majorBidi"/>
          <w:sz w:val="24"/>
          <w:szCs w:val="24"/>
        </w:rPr>
        <w:t xml:space="preserve">Figure </w:t>
      </w:r>
      <w:r w:rsidRPr="004345ED">
        <w:rPr>
          <w:rFonts w:asciiTheme="majorBidi" w:hAnsiTheme="majorBidi"/>
          <w:sz w:val="24"/>
          <w:szCs w:val="24"/>
        </w:rPr>
        <w:t xml:space="preserve">2). </w:t>
      </w:r>
    </w:p>
    <w:p w:rsidR="00CA450C" w:rsidRPr="004345ED" w:rsidRDefault="00A352CC" w:rsidP="00560F35">
      <w:pPr>
        <w:spacing w:line="360" w:lineRule="auto"/>
        <w:jc w:val="both"/>
        <w:rPr>
          <w:rFonts w:asciiTheme="majorBidi" w:hAnsiTheme="majorBidi" w:cstheme="majorBidi"/>
          <w:sz w:val="24"/>
          <w:szCs w:val="24"/>
        </w:rPr>
      </w:pPr>
      <w:r w:rsidRPr="004345ED">
        <w:rPr>
          <w:rFonts w:asciiTheme="majorBidi" w:hAnsiTheme="majorBidi"/>
          <w:b/>
          <w:bCs/>
          <w:sz w:val="24"/>
          <w:szCs w:val="24"/>
        </w:rPr>
        <w:t xml:space="preserve">Given the growth in the housing </w:t>
      </w:r>
      <w:r w:rsidR="003F408B" w:rsidRPr="004345ED">
        <w:rPr>
          <w:rFonts w:asciiTheme="majorBidi" w:hAnsiTheme="majorBidi"/>
          <w:b/>
          <w:bCs/>
          <w:sz w:val="24"/>
          <w:szCs w:val="24"/>
        </w:rPr>
        <w:t>credit</w:t>
      </w:r>
      <w:r w:rsidRPr="004345ED">
        <w:rPr>
          <w:rFonts w:asciiTheme="majorBidi" w:hAnsiTheme="majorBidi"/>
          <w:b/>
          <w:bCs/>
          <w:sz w:val="24"/>
          <w:szCs w:val="24"/>
        </w:rPr>
        <w:t xml:space="preserve"> portfolio, the Banking Supervision Department took </w:t>
      </w:r>
      <w:r w:rsidR="003F408B" w:rsidRPr="004345ED">
        <w:rPr>
          <w:rFonts w:asciiTheme="majorBidi" w:hAnsiTheme="majorBidi"/>
          <w:b/>
          <w:bCs/>
          <w:sz w:val="24"/>
          <w:szCs w:val="24"/>
        </w:rPr>
        <w:t xml:space="preserve">several </w:t>
      </w:r>
      <w:r w:rsidRPr="004345ED">
        <w:rPr>
          <w:rFonts w:asciiTheme="majorBidi" w:hAnsiTheme="majorBidi"/>
          <w:b/>
          <w:bCs/>
          <w:sz w:val="24"/>
          <w:szCs w:val="24"/>
        </w:rPr>
        <w:t>steps in recent years in this area,</w:t>
      </w:r>
      <w:r w:rsidRPr="004345ED">
        <w:rPr>
          <w:rFonts w:asciiTheme="majorBidi" w:hAnsiTheme="majorBidi"/>
          <w:sz w:val="24"/>
          <w:szCs w:val="24"/>
        </w:rPr>
        <w:t xml:space="preserve"> designed to reduce borrower and bank exposure to risk associated with developments in the housing market. (For more information about some of these steps, see </w:t>
      </w:r>
      <w:r w:rsidR="00DC5D41" w:rsidRPr="004345ED">
        <w:rPr>
          <w:rFonts w:asciiTheme="majorBidi" w:hAnsiTheme="majorBidi"/>
          <w:sz w:val="24"/>
          <w:szCs w:val="24"/>
        </w:rPr>
        <w:t>B</w:t>
      </w:r>
      <w:r w:rsidRPr="004345ED">
        <w:rPr>
          <w:rFonts w:asciiTheme="majorBidi" w:hAnsiTheme="majorBidi"/>
          <w:sz w:val="24"/>
          <w:szCs w:val="24"/>
        </w:rPr>
        <w:t xml:space="preserve">ox </w:t>
      </w:r>
      <w:r w:rsidR="00DC5D41" w:rsidRPr="004345ED">
        <w:rPr>
          <w:rFonts w:asciiTheme="majorBidi" w:hAnsiTheme="majorBidi"/>
          <w:sz w:val="24"/>
          <w:szCs w:val="24"/>
        </w:rPr>
        <w:t>1.1</w:t>
      </w:r>
      <w:r w:rsidRPr="004345ED">
        <w:rPr>
          <w:rFonts w:asciiTheme="majorBidi" w:hAnsiTheme="majorBidi"/>
          <w:sz w:val="24"/>
          <w:szCs w:val="24"/>
        </w:rPr>
        <w:t>: "</w:t>
      </w:r>
      <w:r w:rsidR="00311F71" w:rsidRPr="004345ED">
        <w:rPr>
          <w:rFonts w:asciiTheme="majorBidi" w:hAnsiTheme="majorBidi"/>
          <w:sz w:val="24"/>
          <w:szCs w:val="24"/>
        </w:rPr>
        <w:t>T</w:t>
      </w:r>
      <w:r w:rsidRPr="004345ED">
        <w:rPr>
          <w:rFonts w:asciiTheme="majorBidi" w:hAnsiTheme="majorBidi"/>
          <w:sz w:val="24"/>
          <w:szCs w:val="24"/>
        </w:rPr>
        <w:t>he Banking Supervis</w:t>
      </w:r>
      <w:r w:rsidR="00311F71" w:rsidRPr="004345ED">
        <w:rPr>
          <w:rFonts w:asciiTheme="majorBidi" w:hAnsiTheme="majorBidi"/>
          <w:sz w:val="24"/>
          <w:szCs w:val="24"/>
        </w:rPr>
        <w:t xml:space="preserve">ion </w:t>
      </w:r>
      <w:r w:rsidRPr="004345ED">
        <w:rPr>
          <w:rFonts w:asciiTheme="majorBidi" w:hAnsiTheme="majorBidi"/>
          <w:sz w:val="24"/>
          <w:szCs w:val="24"/>
        </w:rPr>
        <w:t>Department</w:t>
      </w:r>
      <w:r w:rsidR="00311F71" w:rsidRPr="004345ED">
        <w:rPr>
          <w:rFonts w:asciiTheme="majorBidi" w:hAnsiTheme="majorBidi"/>
          <w:sz w:val="24"/>
          <w:szCs w:val="24"/>
        </w:rPr>
        <w:t>’s</w:t>
      </w:r>
      <w:r w:rsidRPr="004345ED">
        <w:rPr>
          <w:rFonts w:asciiTheme="majorBidi" w:hAnsiTheme="majorBidi"/>
          <w:sz w:val="24"/>
          <w:szCs w:val="24"/>
        </w:rPr>
        <w:t xml:space="preserve"> </w:t>
      </w:r>
      <w:r w:rsidR="00311F71" w:rsidRPr="004345ED">
        <w:rPr>
          <w:rFonts w:asciiTheme="majorBidi" w:hAnsiTheme="majorBidi"/>
          <w:sz w:val="24"/>
          <w:szCs w:val="24"/>
        </w:rPr>
        <w:t xml:space="preserve">measures </w:t>
      </w:r>
      <w:r w:rsidRPr="004345ED">
        <w:rPr>
          <w:rFonts w:asciiTheme="majorBidi" w:hAnsiTheme="majorBidi"/>
          <w:sz w:val="24"/>
          <w:szCs w:val="24"/>
        </w:rPr>
        <w:t xml:space="preserve">with </w:t>
      </w:r>
      <w:r w:rsidR="00311F71" w:rsidRPr="004345ED">
        <w:rPr>
          <w:rFonts w:asciiTheme="majorBidi" w:hAnsiTheme="majorBidi"/>
          <w:sz w:val="24"/>
          <w:szCs w:val="24"/>
        </w:rPr>
        <w:t xml:space="preserve">respect </w:t>
      </w:r>
      <w:r w:rsidRPr="004345ED">
        <w:rPr>
          <w:rFonts w:asciiTheme="majorBidi" w:hAnsiTheme="majorBidi"/>
          <w:sz w:val="24"/>
          <w:szCs w:val="24"/>
        </w:rPr>
        <w:t xml:space="preserve">to housing </w:t>
      </w:r>
      <w:r w:rsidR="00311F71" w:rsidRPr="004345ED">
        <w:rPr>
          <w:rFonts w:asciiTheme="majorBidi" w:hAnsiTheme="majorBidi"/>
          <w:sz w:val="24"/>
          <w:szCs w:val="24"/>
        </w:rPr>
        <w:t xml:space="preserve">credit, </w:t>
      </w:r>
      <w:r w:rsidRPr="004345ED">
        <w:rPr>
          <w:rFonts w:asciiTheme="majorBidi" w:hAnsiTheme="majorBidi"/>
          <w:sz w:val="24"/>
          <w:szCs w:val="24"/>
        </w:rPr>
        <w:t xml:space="preserve">and </w:t>
      </w:r>
      <w:r w:rsidR="00311F71" w:rsidRPr="004345ED">
        <w:rPr>
          <w:rFonts w:asciiTheme="majorBidi" w:hAnsiTheme="majorBidi"/>
          <w:sz w:val="24"/>
          <w:szCs w:val="24"/>
        </w:rPr>
        <w:t xml:space="preserve">their </w:t>
      </w:r>
      <w:r w:rsidRPr="004345ED">
        <w:rPr>
          <w:rFonts w:asciiTheme="majorBidi" w:hAnsiTheme="majorBidi"/>
          <w:sz w:val="24"/>
          <w:szCs w:val="24"/>
        </w:rPr>
        <w:t xml:space="preserve">implications" </w:t>
      </w:r>
      <w:r w:rsidR="00311F71" w:rsidRPr="004345ED">
        <w:rPr>
          <w:rFonts w:asciiTheme="majorBidi" w:hAnsiTheme="majorBidi"/>
          <w:sz w:val="24"/>
          <w:szCs w:val="24"/>
        </w:rPr>
        <w:t xml:space="preserve">in </w:t>
      </w:r>
      <w:r w:rsidRPr="004345ED">
        <w:rPr>
          <w:rFonts w:asciiTheme="majorBidi" w:hAnsiTheme="majorBidi"/>
          <w:sz w:val="24"/>
          <w:szCs w:val="24"/>
        </w:rPr>
        <w:t xml:space="preserve">the 2013 </w:t>
      </w:r>
      <w:r w:rsidR="000472DD" w:rsidRPr="004345ED">
        <w:rPr>
          <w:rFonts w:asciiTheme="majorBidi" w:hAnsiTheme="majorBidi"/>
          <w:sz w:val="24"/>
          <w:szCs w:val="24"/>
        </w:rPr>
        <w:t>Banking Supervision Department—</w:t>
      </w:r>
      <w:r w:rsidRPr="004345ED">
        <w:rPr>
          <w:rFonts w:asciiTheme="majorBidi" w:hAnsiTheme="majorBidi"/>
          <w:sz w:val="24"/>
          <w:szCs w:val="24"/>
        </w:rPr>
        <w:t xml:space="preserve">Annual </w:t>
      </w:r>
      <w:r w:rsidR="000472DD" w:rsidRPr="004345ED">
        <w:rPr>
          <w:rFonts w:asciiTheme="majorBidi" w:hAnsiTheme="majorBidi"/>
          <w:sz w:val="24"/>
          <w:szCs w:val="24"/>
        </w:rPr>
        <w:t>Survey</w:t>
      </w:r>
      <w:r w:rsidRPr="004345ED">
        <w:rPr>
          <w:rFonts w:asciiTheme="majorBidi" w:hAnsiTheme="majorBidi"/>
          <w:sz w:val="24"/>
          <w:szCs w:val="24"/>
        </w:rPr>
        <w:t xml:space="preserve">). </w:t>
      </w:r>
      <w:r w:rsidRPr="004345ED">
        <w:rPr>
          <w:rFonts w:asciiTheme="majorBidi" w:hAnsiTheme="majorBidi"/>
          <w:b/>
          <w:bCs/>
          <w:sz w:val="24"/>
          <w:szCs w:val="24"/>
        </w:rPr>
        <w:t xml:space="preserve">The </w:t>
      </w:r>
      <w:r w:rsidR="00A71FC2" w:rsidRPr="004345ED">
        <w:rPr>
          <w:rFonts w:asciiTheme="majorBidi" w:hAnsiTheme="majorBidi"/>
          <w:b/>
          <w:bCs/>
          <w:sz w:val="24"/>
          <w:szCs w:val="24"/>
        </w:rPr>
        <w:t>range</w:t>
      </w:r>
      <w:r w:rsidRPr="004345ED">
        <w:rPr>
          <w:rFonts w:asciiTheme="majorBidi" w:hAnsiTheme="majorBidi"/>
          <w:b/>
          <w:bCs/>
          <w:sz w:val="24"/>
          <w:szCs w:val="24"/>
        </w:rPr>
        <w:t xml:space="preserve"> of steps taken by the </w:t>
      </w:r>
      <w:r w:rsidR="000472DD" w:rsidRPr="004345ED">
        <w:rPr>
          <w:rFonts w:asciiTheme="majorBidi" w:hAnsiTheme="majorBidi"/>
          <w:b/>
          <w:bCs/>
          <w:sz w:val="24"/>
          <w:szCs w:val="24"/>
        </w:rPr>
        <w:t xml:space="preserve">Banking Supervision Department </w:t>
      </w:r>
      <w:r w:rsidRPr="004345ED">
        <w:rPr>
          <w:rFonts w:asciiTheme="majorBidi" w:hAnsiTheme="majorBidi"/>
          <w:b/>
          <w:bCs/>
          <w:sz w:val="24"/>
          <w:szCs w:val="24"/>
        </w:rPr>
        <w:t xml:space="preserve"> resulted, from the stability aspect</w:t>
      </w:r>
      <w:r w:rsidR="00A71FC2" w:rsidRPr="004345ED">
        <w:rPr>
          <w:rFonts w:asciiTheme="majorBidi" w:hAnsiTheme="majorBidi"/>
          <w:b/>
          <w:bCs/>
          <w:sz w:val="24"/>
          <w:szCs w:val="24"/>
        </w:rPr>
        <w:t>—</w:t>
      </w:r>
      <w:r w:rsidRPr="004345ED">
        <w:rPr>
          <w:rFonts w:asciiTheme="majorBidi" w:hAnsiTheme="majorBidi"/>
          <w:b/>
          <w:bCs/>
          <w:sz w:val="24"/>
          <w:szCs w:val="24"/>
        </w:rPr>
        <w:t xml:space="preserve">in improved quality of the housing </w:t>
      </w:r>
      <w:r w:rsidR="00A71FC2" w:rsidRPr="004345ED">
        <w:rPr>
          <w:rFonts w:asciiTheme="majorBidi" w:hAnsiTheme="majorBidi"/>
          <w:b/>
          <w:bCs/>
          <w:sz w:val="24"/>
          <w:szCs w:val="24"/>
        </w:rPr>
        <w:t xml:space="preserve">credit </w:t>
      </w:r>
      <w:r w:rsidRPr="004345ED">
        <w:rPr>
          <w:rFonts w:asciiTheme="majorBidi" w:hAnsiTheme="majorBidi"/>
          <w:b/>
          <w:bCs/>
          <w:sz w:val="24"/>
          <w:szCs w:val="24"/>
        </w:rPr>
        <w:t>portfolio, and from the consumer aspec</w:t>
      </w:r>
      <w:r w:rsidR="00A71FC2" w:rsidRPr="004345ED">
        <w:rPr>
          <w:rFonts w:asciiTheme="majorBidi" w:hAnsiTheme="majorBidi"/>
          <w:b/>
          <w:bCs/>
          <w:sz w:val="24"/>
          <w:szCs w:val="24"/>
        </w:rPr>
        <w:t>t—</w:t>
      </w:r>
      <w:r w:rsidRPr="004345ED">
        <w:rPr>
          <w:rFonts w:asciiTheme="majorBidi" w:hAnsiTheme="majorBidi"/>
          <w:b/>
          <w:bCs/>
          <w:sz w:val="24"/>
          <w:szCs w:val="24"/>
        </w:rPr>
        <w:t>in reduced borrower sensitivity to potential changes in the economic environment</w:t>
      </w:r>
      <w:r w:rsidRPr="004345ED">
        <w:rPr>
          <w:rFonts w:asciiTheme="majorBidi" w:hAnsiTheme="majorBidi"/>
          <w:sz w:val="24"/>
          <w:szCs w:val="24"/>
        </w:rPr>
        <w:t xml:space="preserve"> (such as higher </w:t>
      </w:r>
      <w:r w:rsidRPr="004345ED">
        <w:rPr>
          <w:rFonts w:asciiTheme="majorBidi" w:hAnsiTheme="majorBidi"/>
          <w:sz w:val="24"/>
          <w:szCs w:val="24"/>
        </w:rPr>
        <w:lastRenderedPageBreak/>
        <w:t xml:space="preserve">interest rates). Thus, for example, the decision to restrict the share of mortgages bearing </w:t>
      </w:r>
      <w:r w:rsidR="00560F35" w:rsidRPr="004345ED">
        <w:rPr>
          <w:rFonts w:asciiTheme="majorBidi" w:hAnsiTheme="majorBidi"/>
          <w:sz w:val="24"/>
          <w:szCs w:val="24"/>
        </w:rPr>
        <w:t xml:space="preserve">variable-rate </w:t>
      </w:r>
      <w:r w:rsidRPr="004345ED">
        <w:rPr>
          <w:rFonts w:asciiTheme="majorBidi" w:hAnsiTheme="majorBidi"/>
          <w:sz w:val="24"/>
          <w:szCs w:val="24"/>
        </w:rPr>
        <w:t>interest (2011) moderates the impact of higher interest rates on the monthly payment and reduces borrower exposure to this risk.</w:t>
      </w:r>
    </w:p>
    <w:p w:rsidR="00D41912" w:rsidRPr="004345ED" w:rsidRDefault="00B1703D" w:rsidP="00164E27">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Other steps taken by the </w:t>
      </w:r>
      <w:r w:rsidR="000472DD" w:rsidRPr="004345ED">
        <w:rPr>
          <w:rFonts w:asciiTheme="majorBidi" w:hAnsiTheme="majorBidi"/>
          <w:sz w:val="24"/>
          <w:szCs w:val="24"/>
        </w:rPr>
        <w:t>Banking Supervision Department</w:t>
      </w:r>
      <w:r w:rsidR="00213865" w:rsidRPr="004345ED">
        <w:rPr>
          <w:rStyle w:val="a4"/>
          <w:rFonts w:asciiTheme="majorBidi" w:hAnsiTheme="majorBidi" w:cstheme="majorBidi"/>
          <w:sz w:val="24"/>
          <w:szCs w:val="24"/>
          <w:rtl/>
        </w:rPr>
        <w:footnoteReference w:id="2"/>
      </w:r>
      <w:r w:rsidRPr="004345ED">
        <w:rPr>
          <w:rFonts w:asciiTheme="majorBidi" w:hAnsiTheme="majorBidi"/>
          <w:sz w:val="24"/>
          <w:szCs w:val="24"/>
        </w:rPr>
        <w:t xml:space="preserve"> resulted in </w:t>
      </w:r>
      <w:r w:rsidR="003F7769" w:rsidRPr="004345ED">
        <w:rPr>
          <w:rFonts w:asciiTheme="majorBidi" w:hAnsiTheme="majorBidi"/>
          <w:sz w:val="24"/>
          <w:szCs w:val="24"/>
        </w:rPr>
        <w:t xml:space="preserve">a </w:t>
      </w:r>
      <w:r w:rsidRPr="004345ED">
        <w:rPr>
          <w:rFonts w:asciiTheme="majorBidi" w:hAnsiTheme="majorBidi"/>
          <w:sz w:val="24"/>
          <w:szCs w:val="24"/>
        </w:rPr>
        <w:t xml:space="preserve">decrease in the monthly payment to income ratio (PTI), and in particular: The share of borrowers taking out loans with </w:t>
      </w:r>
      <w:r w:rsidR="003F7769" w:rsidRPr="004345ED">
        <w:rPr>
          <w:rFonts w:asciiTheme="majorBidi" w:hAnsiTheme="majorBidi"/>
          <w:sz w:val="24"/>
          <w:szCs w:val="24"/>
        </w:rPr>
        <w:t xml:space="preserve">PTI </w:t>
      </w:r>
      <w:r w:rsidRPr="004345ED">
        <w:rPr>
          <w:rFonts w:asciiTheme="majorBidi" w:hAnsiTheme="majorBidi"/>
          <w:sz w:val="24"/>
          <w:szCs w:val="24"/>
        </w:rPr>
        <w:t>over 40</w:t>
      </w:r>
      <w:r w:rsidR="007676E9" w:rsidRPr="004345ED">
        <w:rPr>
          <w:rFonts w:asciiTheme="majorBidi" w:hAnsiTheme="majorBidi"/>
          <w:sz w:val="24"/>
          <w:szCs w:val="24"/>
        </w:rPr>
        <w:t xml:space="preserve"> percent</w:t>
      </w:r>
      <w:r w:rsidR="007C3DC8" w:rsidRPr="004345ED">
        <w:rPr>
          <w:rStyle w:val="a4"/>
          <w:rFonts w:asciiTheme="majorBidi" w:hAnsiTheme="majorBidi" w:cstheme="majorBidi"/>
          <w:sz w:val="24"/>
          <w:szCs w:val="24"/>
          <w:rtl/>
        </w:rPr>
        <w:footnoteReference w:id="3"/>
      </w:r>
      <w:r w:rsidR="003F7769" w:rsidRPr="004345ED">
        <w:rPr>
          <w:rFonts w:asciiTheme="majorBidi" w:hAnsiTheme="majorBidi"/>
          <w:sz w:val="24"/>
          <w:szCs w:val="24"/>
        </w:rPr>
        <w:t xml:space="preserve"> declined </w:t>
      </w:r>
      <w:r w:rsidRPr="004345ED">
        <w:rPr>
          <w:rFonts w:asciiTheme="majorBidi" w:hAnsiTheme="majorBidi"/>
          <w:sz w:val="24"/>
          <w:szCs w:val="24"/>
        </w:rPr>
        <w:t>dramatically, from 21</w:t>
      </w:r>
      <w:r w:rsidR="00B726A9" w:rsidRPr="004345ED">
        <w:rPr>
          <w:rFonts w:asciiTheme="majorBidi" w:hAnsiTheme="majorBidi"/>
          <w:sz w:val="24"/>
          <w:szCs w:val="24"/>
        </w:rPr>
        <w:t xml:space="preserve"> percent</w:t>
      </w:r>
      <w:r w:rsidRPr="004345ED">
        <w:rPr>
          <w:rFonts w:asciiTheme="majorBidi" w:hAnsiTheme="majorBidi"/>
          <w:sz w:val="24"/>
          <w:szCs w:val="24"/>
        </w:rPr>
        <w:t xml:space="preserve"> in 2012 to only 7</w:t>
      </w:r>
      <w:r w:rsidR="00B726A9" w:rsidRPr="004345ED">
        <w:rPr>
          <w:rFonts w:asciiTheme="majorBidi" w:hAnsiTheme="majorBidi"/>
          <w:sz w:val="24"/>
          <w:szCs w:val="24"/>
        </w:rPr>
        <w:t xml:space="preserve"> percent</w:t>
      </w:r>
      <w:r w:rsidRPr="004345ED">
        <w:rPr>
          <w:rFonts w:asciiTheme="majorBidi" w:hAnsiTheme="majorBidi"/>
          <w:sz w:val="24"/>
          <w:szCs w:val="24"/>
        </w:rPr>
        <w:t xml:space="preserve"> in 2013, and as from 2015, the share of such borrowers is negligible (</w:t>
      </w:r>
      <w:r w:rsidR="00B726A9" w:rsidRPr="004345ED">
        <w:rPr>
          <w:rFonts w:asciiTheme="majorBidi" w:hAnsiTheme="majorBidi"/>
          <w:sz w:val="24"/>
          <w:szCs w:val="24"/>
        </w:rPr>
        <w:t>Figure</w:t>
      </w:r>
      <w:r w:rsidR="00155F2D" w:rsidRPr="004345ED">
        <w:rPr>
          <w:rFonts w:asciiTheme="majorBidi" w:hAnsiTheme="majorBidi"/>
          <w:sz w:val="24"/>
          <w:szCs w:val="24"/>
        </w:rPr>
        <w:t xml:space="preserve"> 1</w:t>
      </w:r>
      <w:r w:rsidRPr="004345ED">
        <w:rPr>
          <w:rFonts w:asciiTheme="majorBidi" w:hAnsiTheme="majorBidi"/>
          <w:sz w:val="24"/>
          <w:szCs w:val="24"/>
        </w:rPr>
        <w:t xml:space="preserve">). This is a </w:t>
      </w:r>
      <w:r w:rsidR="000E326E" w:rsidRPr="004345ED">
        <w:rPr>
          <w:rFonts w:asciiTheme="majorBidi" w:hAnsiTheme="majorBidi"/>
          <w:sz w:val="24"/>
          <w:szCs w:val="24"/>
        </w:rPr>
        <w:t xml:space="preserve">notable </w:t>
      </w:r>
      <w:r w:rsidRPr="004345ED">
        <w:rPr>
          <w:rFonts w:asciiTheme="majorBidi" w:hAnsiTheme="majorBidi"/>
          <w:sz w:val="24"/>
          <w:szCs w:val="24"/>
        </w:rPr>
        <w:t xml:space="preserve">step toward reducing borrower vulnerability and reduced risk in the housing </w:t>
      </w:r>
      <w:r w:rsidR="000E326E" w:rsidRPr="004345ED">
        <w:rPr>
          <w:rFonts w:asciiTheme="majorBidi" w:hAnsiTheme="majorBidi"/>
          <w:sz w:val="24"/>
          <w:szCs w:val="24"/>
        </w:rPr>
        <w:t xml:space="preserve">credit </w:t>
      </w:r>
      <w:r w:rsidRPr="004345ED">
        <w:rPr>
          <w:rFonts w:asciiTheme="majorBidi" w:hAnsiTheme="majorBidi"/>
          <w:sz w:val="24"/>
          <w:szCs w:val="24"/>
        </w:rPr>
        <w:t xml:space="preserve">portfolio, since this borrower group is most sensitive to changes in interest rates and to </w:t>
      </w:r>
      <w:r w:rsidR="00642474" w:rsidRPr="004345ED">
        <w:rPr>
          <w:rFonts w:asciiTheme="majorBidi" w:hAnsiTheme="majorBidi"/>
          <w:sz w:val="24"/>
          <w:szCs w:val="24"/>
        </w:rPr>
        <w:t xml:space="preserve">reduced </w:t>
      </w:r>
      <w:r w:rsidRPr="004345ED">
        <w:rPr>
          <w:rFonts w:asciiTheme="majorBidi" w:hAnsiTheme="majorBidi"/>
          <w:sz w:val="24"/>
          <w:szCs w:val="24"/>
        </w:rPr>
        <w:t>income.</w:t>
      </w:r>
    </w:p>
    <w:p w:rsidR="00CA450C" w:rsidRPr="004345ED" w:rsidRDefault="005C5832" w:rsidP="00EC1E48">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In order to identify </w:t>
      </w:r>
      <w:r w:rsidR="009A356B" w:rsidRPr="004345ED">
        <w:rPr>
          <w:rFonts w:asciiTheme="majorBidi" w:hAnsiTheme="majorBidi"/>
          <w:sz w:val="24"/>
          <w:szCs w:val="24"/>
        </w:rPr>
        <w:t xml:space="preserve">the main focal points of </w:t>
      </w:r>
      <w:r w:rsidRPr="004345ED">
        <w:rPr>
          <w:rFonts w:asciiTheme="majorBidi" w:hAnsiTheme="majorBidi"/>
          <w:sz w:val="24"/>
          <w:szCs w:val="24"/>
        </w:rPr>
        <w:t>risk and to assess the vulnerability of banks and borrowers to changes in the economic environment, we conducted a bottom-up stress test</w:t>
      </w:r>
      <w:r w:rsidR="00157F69" w:rsidRPr="004345ED">
        <w:rPr>
          <w:rStyle w:val="a4"/>
          <w:rFonts w:asciiTheme="majorBidi" w:hAnsiTheme="majorBidi" w:cstheme="majorBidi"/>
          <w:sz w:val="24"/>
          <w:szCs w:val="24"/>
          <w:rtl/>
        </w:rPr>
        <w:footnoteReference w:id="4"/>
      </w:r>
      <w:r w:rsidRPr="004345ED">
        <w:rPr>
          <w:rFonts w:asciiTheme="majorBidi" w:hAnsiTheme="majorBidi"/>
          <w:sz w:val="24"/>
          <w:szCs w:val="24"/>
        </w:rPr>
        <w:t xml:space="preserve">. </w:t>
      </w:r>
      <w:r w:rsidRPr="004345ED">
        <w:rPr>
          <w:rFonts w:asciiTheme="majorBidi" w:hAnsiTheme="majorBidi"/>
          <w:b/>
          <w:bCs/>
          <w:sz w:val="24"/>
          <w:szCs w:val="24"/>
        </w:rPr>
        <w:t xml:space="preserve">This test was based on a specific database, containing all housing loans </w:t>
      </w:r>
      <w:r w:rsidR="009A356B" w:rsidRPr="004345ED">
        <w:rPr>
          <w:rFonts w:asciiTheme="majorBidi" w:hAnsiTheme="majorBidi"/>
          <w:b/>
          <w:bCs/>
          <w:sz w:val="24"/>
          <w:szCs w:val="24"/>
        </w:rPr>
        <w:t xml:space="preserve">extended </w:t>
      </w:r>
      <w:r w:rsidRPr="004345ED">
        <w:rPr>
          <w:rFonts w:asciiTheme="majorBidi" w:hAnsiTheme="majorBidi"/>
          <w:b/>
          <w:bCs/>
          <w:sz w:val="24"/>
          <w:szCs w:val="24"/>
        </w:rPr>
        <w:t>by the banking system in 2015</w:t>
      </w:r>
      <w:r w:rsidR="009A356B" w:rsidRPr="004345ED">
        <w:rPr>
          <w:rFonts w:asciiTheme="majorBidi" w:hAnsiTheme="majorBidi"/>
          <w:b/>
          <w:bCs/>
          <w:sz w:val="24"/>
          <w:szCs w:val="24"/>
        </w:rPr>
        <w:t>–</w:t>
      </w:r>
      <w:r w:rsidRPr="004345ED">
        <w:rPr>
          <w:rFonts w:asciiTheme="majorBidi" w:hAnsiTheme="majorBidi"/>
          <w:b/>
          <w:bCs/>
          <w:sz w:val="24"/>
          <w:szCs w:val="24"/>
        </w:rPr>
        <w:t>17</w:t>
      </w:r>
      <w:r w:rsidR="007B7C3F" w:rsidRPr="004345ED">
        <w:rPr>
          <w:rStyle w:val="a4"/>
          <w:rFonts w:asciiTheme="majorBidi" w:hAnsiTheme="majorBidi" w:cstheme="majorBidi"/>
          <w:b/>
          <w:bCs/>
          <w:sz w:val="24"/>
          <w:szCs w:val="24"/>
          <w:rtl/>
        </w:rPr>
        <w:footnoteReference w:id="5"/>
      </w:r>
      <w:r w:rsidRPr="004345ED">
        <w:rPr>
          <w:rFonts w:asciiTheme="majorBidi" w:hAnsiTheme="majorBidi"/>
          <w:b/>
          <w:bCs/>
          <w:sz w:val="24"/>
          <w:szCs w:val="24"/>
        </w:rPr>
        <w:t xml:space="preserve">. </w:t>
      </w:r>
      <w:r w:rsidRPr="004345ED">
        <w:rPr>
          <w:rFonts w:asciiTheme="majorBidi" w:hAnsiTheme="majorBidi"/>
          <w:sz w:val="24"/>
          <w:szCs w:val="24"/>
        </w:rPr>
        <w:t>The database contains 247</w:t>
      </w:r>
      <w:r w:rsidR="00A33E60" w:rsidRPr="004345ED">
        <w:rPr>
          <w:rFonts w:asciiTheme="majorBidi" w:hAnsiTheme="majorBidi"/>
          <w:sz w:val="24"/>
          <w:szCs w:val="24"/>
        </w:rPr>
        <w:t xml:space="preserve">,000 </w:t>
      </w:r>
      <w:r w:rsidRPr="004345ED">
        <w:rPr>
          <w:rFonts w:asciiTheme="majorBidi" w:hAnsiTheme="majorBidi"/>
          <w:sz w:val="24"/>
          <w:szCs w:val="24"/>
        </w:rPr>
        <w:t>loans with a balance of NIS 161 billion</w:t>
      </w:r>
      <w:r w:rsidR="00A33E60" w:rsidRPr="004345ED">
        <w:rPr>
          <w:rFonts w:asciiTheme="majorBidi" w:hAnsiTheme="majorBidi"/>
          <w:sz w:val="24"/>
          <w:szCs w:val="24"/>
        </w:rPr>
        <w:t xml:space="preserve">, </w:t>
      </w:r>
      <w:r w:rsidR="00EC1E48" w:rsidRPr="004345ED">
        <w:rPr>
          <w:rFonts w:asciiTheme="majorBidi" w:hAnsiTheme="majorBidi"/>
          <w:sz w:val="24"/>
          <w:szCs w:val="24"/>
        </w:rPr>
        <w:t xml:space="preserve">approximately </w:t>
      </w:r>
      <w:r w:rsidRPr="004345ED">
        <w:rPr>
          <w:rFonts w:asciiTheme="majorBidi" w:hAnsiTheme="majorBidi"/>
          <w:sz w:val="24"/>
          <w:szCs w:val="24"/>
        </w:rPr>
        <w:t>40</w:t>
      </w:r>
      <w:r w:rsidR="00A33E60" w:rsidRPr="004345ED">
        <w:rPr>
          <w:rFonts w:asciiTheme="majorBidi" w:hAnsiTheme="majorBidi"/>
          <w:sz w:val="24"/>
          <w:szCs w:val="24"/>
        </w:rPr>
        <w:t xml:space="preserve"> percent </w:t>
      </w:r>
      <w:r w:rsidRPr="004345ED">
        <w:rPr>
          <w:rFonts w:asciiTheme="majorBidi" w:hAnsiTheme="majorBidi"/>
          <w:sz w:val="24"/>
          <w:szCs w:val="24"/>
        </w:rPr>
        <w:t xml:space="preserve">of the outstanding balance of housing </w:t>
      </w:r>
      <w:r w:rsidR="00A33E60" w:rsidRPr="004345ED">
        <w:rPr>
          <w:rFonts w:asciiTheme="majorBidi" w:hAnsiTheme="majorBidi"/>
          <w:sz w:val="24"/>
          <w:szCs w:val="24"/>
        </w:rPr>
        <w:t>credit</w:t>
      </w:r>
      <w:r w:rsidRPr="004345ED">
        <w:rPr>
          <w:rFonts w:asciiTheme="majorBidi" w:hAnsiTheme="majorBidi"/>
          <w:sz w:val="24"/>
          <w:szCs w:val="24"/>
        </w:rPr>
        <w:t xml:space="preserve">. Use of this database has allowed us to classify those loans and households </w:t>
      </w:r>
      <w:r w:rsidR="00502BCC" w:rsidRPr="004345ED">
        <w:rPr>
          <w:rFonts w:asciiTheme="majorBidi" w:hAnsiTheme="majorBidi"/>
          <w:sz w:val="24"/>
          <w:szCs w:val="24"/>
        </w:rPr>
        <w:t xml:space="preserve">that </w:t>
      </w:r>
      <w:r w:rsidRPr="004345ED">
        <w:rPr>
          <w:rFonts w:asciiTheme="majorBidi" w:hAnsiTheme="majorBidi"/>
          <w:sz w:val="24"/>
          <w:szCs w:val="24"/>
        </w:rPr>
        <w:t xml:space="preserve">may face difficulties in case of materialization of </w:t>
      </w:r>
      <w:r w:rsidRPr="004345ED">
        <w:rPr>
          <w:rFonts w:asciiTheme="majorBidi" w:hAnsiTheme="majorBidi"/>
          <w:sz w:val="24"/>
          <w:szCs w:val="24"/>
        </w:rPr>
        <w:lastRenderedPageBreak/>
        <w:t xml:space="preserve">the stress scenario and to identify the </w:t>
      </w:r>
      <w:r w:rsidR="00502BCC" w:rsidRPr="004345ED">
        <w:rPr>
          <w:rFonts w:asciiTheme="majorBidi" w:hAnsiTheme="majorBidi"/>
          <w:sz w:val="24"/>
          <w:szCs w:val="24"/>
        </w:rPr>
        <w:t xml:space="preserve">main focal points of </w:t>
      </w:r>
      <w:r w:rsidRPr="004345ED">
        <w:rPr>
          <w:rFonts w:asciiTheme="majorBidi" w:hAnsiTheme="majorBidi"/>
          <w:sz w:val="24"/>
          <w:szCs w:val="24"/>
        </w:rPr>
        <w:t xml:space="preserve">risk </w:t>
      </w:r>
      <w:r w:rsidR="00502BCC" w:rsidRPr="004345ED">
        <w:rPr>
          <w:rFonts w:asciiTheme="majorBidi" w:hAnsiTheme="majorBidi"/>
          <w:sz w:val="24"/>
          <w:szCs w:val="24"/>
        </w:rPr>
        <w:t xml:space="preserve">in </w:t>
      </w:r>
      <w:r w:rsidRPr="004345ED">
        <w:rPr>
          <w:rFonts w:asciiTheme="majorBidi" w:hAnsiTheme="majorBidi"/>
          <w:sz w:val="24"/>
          <w:szCs w:val="24"/>
        </w:rPr>
        <w:t xml:space="preserve">the banking system resulting from exposure to housing loans. </w:t>
      </w:r>
    </w:p>
    <w:p w:rsidR="006505DE" w:rsidRPr="004345ED" w:rsidRDefault="006F329F" w:rsidP="00155F2D">
      <w:pPr>
        <w:spacing w:line="360" w:lineRule="auto"/>
        <w:jc w:val="both"/>
        <w:rPr>
          <w:rFonts w:asciiTheme="majorBidi" w:hAnsiTheme="majorBidi" w:cstheme="majorBidi"/>
          <w:b/>
          <w:bCs/>
          <w:sz w:val="24"/>
          <w:szCs w:val="24"/>
        </w:rPr>
      </w:pPr>
      <w:r w:rsidRPr="004345ED">
        <w:rPr>
          <w:rFonts w:asciiTheme="majorBidi" w:hAnsiTheme="majorBidi"/>
          <w:b/>
          <w:bCs/>
          <w:sz w:val="24"/>
          <w:szCs w:val="24"/>
        </w:rPr>
        <w:t>Features of housing loans by income level</w:t>
      </w:r>
    </w:p>
    <w:p w:rsidR="00E34814" w:rsidRPr="004345ED" w:rsidRDefault="00221C04" w:rsidP="00F07511">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The </w:t>
      </w:r>
      <w:r w:rsidR="005914E7" w:rsidRPr="004345ED">
        <w:rPr>
          <w:rFonts w:asciiTheme="majorBidi" w:hAnsiTheme="majorBidi"/>
          <w:sz w:val="24"/>
          <w:szCs w:val="24"/>
        </w:rPr>
        <w:t xml:space="preserve">distribution </w:t>
      </w:r>
      <w:r w:rsidRPr="004345ED">
        <w:rPr>
          <w:rFonts w:asciiTheme="majorBidi" w:hAnsiTheme="majorBidi"/>
          <w:sz w:val="24"/>
          <w:szCs w:val="24"/>
        </w:rPr>
        <w:t xml:space="preserve">of loans </w:t>
      </w:r>
      <w:r w:rsidR="005914E7" w:rsidRPr="004345ED">
        <w:rPr>
          <w:rFonts w:asciiTheme="majorBidi" w:hAnsiTheme="majorBidi"/>
          <w:sz w:val="24"/>
          <w:szCs w:val="24"/>
        </w:rPr>
        <w:t xml:space="preserve">extended </w:t>
      </w:r>
      <w:r w:rsidRPr="004345ED">
        <w:rPr>
          <w:rFonts w:asciiTheme="majorBidi" w:hAnsiTheme="majorBidi"/>
          <w:sz w:val="24"/>
          <w:szCs w:val="24"/>
        </w:rPr>
        <w:t>in the reviewed period (2015–17) by income quintiles</w:t>
      </w:r>
      <w:r w:rsidR="006F329F" w:rsidRPr="004345ED">
        <w:rPr>
          <w:rStyle w:val="a4"/>
          <w:rFonts w:asciiTheme="majorBidi" w:hAnsiTheme="majorBidi" w:cstheme="majorBidi"/>
          <w:sz w:val="24"/>
          <w:szCs w:val="24"/>
          <w:rtl/>
        </w:rPr>
        <w:footnoteReference w:id="6"/>
      </w:r>
      <w:r w:rsidRPr="004345ED">
        <w:rPr>
          <w:rFonts w:asciiTheme="majorBidi" w:hAnsiTheme="majorBidi"/>
          <w:sz w:val="24"/>
          <w:szCs w:val="24"/>
        </w:rPr>
        <w:t xml:space="preserve"> shows that the top two income quintiles in Israel (those with higher income</w:t>
      </w:r>
      <w:r w:rsidR="00483019" w:rsidRPr="004345ED">
        <w:rPr>
          <w:rFonts w:asciiTheme="majorBidi" w:hAnsiTheme="majorBidi"/>
          <w:sz w:val="24"/>
          <w:szCs w:val="24"/>
        </w:rPr>
        <w:t>—h</w:t>
      </w:r>
      <w:r w:rsidRPr="004345ED">
        <w:rPr>
          <w:rFonts w:asciiTheme="majorBidi" w:hAnsiTheme="majorBidi"/>
          <w:sz w:val="24"/>
          <w:szCs w:val="24"/>
        </w:rPr>
        <w:t>ouseholds with net monthly income higher than NIS 15</w:t>
      </w:r>
      <w:r w:rsidR="00483019" w:rsidRPr="004345ED">
        <w:rPr>
          <w:rFonts w:asciiTheme="majorBidi" w:hAnsiTheme="majorBidi"/>
          <w:sz w:val="24"/>
          <w:szCs w:val="24"/>
        </w:rPr>
        <w:t>,</w:t>
      </w:r>
      <w:r w:rsidR="00FC1E16" w:rsidRPr="004345ED">
        <w:rPr>
          <w:rFonts w:asciiTheme="majorBidi" w:hAnsiTheme="majorBidi"/>
          <w:sz w:val="24"/>
          <w:szCs w:val="24"/>
        </w:rPr>
        <w:t>5</w:t>
      </w:r>
      <w:r w:rsidR="00483019" w:rsidRPr="004345ED">
        <w:rPr>
          <w:rFonts w:asciiTheme="majorBidi" w:hAnsiTheme="majorBidi"/>
          <w:sz w:val="24"/>
          <w:szCs w:val="24"/>
        </w:rPr>
        <w:t>00</w:t>
      </w:r>
      <w:r w:rsidRPr="004345ED">
        <w:rPr>
          <w:rFonts w:asciiTheme="majorBidi" w:hAnsiTheme="majorBidi"/>
          <w:sz w:val="24"/>
          <w:szCs w:val="24"/>
        </w:rPr>
        <w:t>) took out 57</w:t>
      </w:r>
      <w:r w:rsidR="00483019" w:rsidRPr="004345ED">
        <w:rPr>
          <w:rFonts w:asciiTheme="majorBidi" w:hAnsiTheme="majorBidi"/>
          <w:sz w:val="24"/>
          <w:szCs w:val="24"/>
        </w:rPr>
        <w:t xml:space="preserve"> percent</w:t>
      </w:r>
      <w:r w:rsidRPr="004345ED">
        <w:rPr>
          <w:rFonts w:asciiTheme="majorBidi" w:hAnsiTheme="majorBidi"/>
          <w:sz w:val="24"/>
          <w:szCs w:val="24"/>
        </w:rPr>
        <w:t xml:space="preserve"> of the loans originated in that period and 66</w:t>
      </w:r>
      <w:r w:rsidR="00716EE7" w:rsidRPr="004345ED">
        <w:rPr>
          <w:rFonts w:asciiTheme="majorBidi" w:hAnsiTheme="majorBidi"/>
          <w:sz w:val="24"/>
          <w:szCs w:val="24"/>
        </w:rPr>
        <w:t xml:space="preserve"> percent</w:t>
      </w:r>
      <w:r w:rsidRPr="004345ED">
        <w:rPr>
          <w:rFonts w:asciiTheme="majorBidi" w:hAnsiTheme="majorBidi"/>
          <w:sz w:val="24"/>
          <w:szCs w:val="24"/>
        </w:rPr>
        <w:t xml:space="preserve"> of the amount thereof</w:t>
      </w:r>
      <w:r w:rsidR="007C6E7E" w:rsidRPr="004345ED">
        <w:rPr>
          <w:rFonts w:asciiTheme="majorBidi" w:hAnsiTheme="majorBidi"/>
          <w:sz w:val="24"/>
          <w:szCs w:val="24"/>
        </w:rPr>
        <w:t>. T</w:t>
      </w:r>
      <w:r w:rsidRPr="004345ED">
        <w:rPr>
          <w:rFonts w:asciiTheme="majorBidi" w:hAnsiTheme="majorBidi"/>
          <w:sz w:val="24"/>
          <w:szCs w:val="24"/>
        </w:rPr>
        <w:t>he bottom two income quintiles (those with lower income</w:t>
      </w:r>
      <w:r w:rsidR="00F07511" w:rsidRPr="004345ED">
        <w:rPr>
          <w:rFonts w:asciiTheme="majorBidi" w:hAnsiTheme="majorBidi"/>
          <w:sz w:val="24"/>
          <w:szCs w:val="24"/>
        </w:rPr>
        <w:t>—</w:t>
      </w:r>
      <w:r w:rsidRPr="004345ED">
        <w:rPr>
          <w:rFonts w:asciiTheme="majorBidi" w:hAnsiTheme="majorBidi"/>
          <w:sz w:val="24"/>
          <w:szCs w:val="24"/>
        </w:rPr>
        <w:t xml:space="preserve">households with net monthly income lower than NIS </w:t>
      </w:r>
      <w:r w:rsidR="004215B4" w:rsidRPr="004345ED">
        <w:rPr>
          <w:rFonts w:asciiTheme="majorBidi" w:hAnsiTheme="majorBidi"/>
          <w:sz w:val="24"/>
          <w:szCs w:val="24"/>
        </w:rPr>
        <w:t>10,500</w:t>
      </w:r>
      <w:r w:rsidRPr="004345ED">
        <w:rPr>
          <w:rFonts w:asciiTheme="majorBidi" w:hAnsiTheme="majorBidi"/>
          <w:sz w:val="24"/>
          <w:szCs w:val="24"/>
        </w:rPr>
        <w:t>) took out 15</w:t>
      </w:r>
      <w:r w:rsidR="007C6E7E" w:rsidRPr="004345ED">
        <w:rPr>
          <w:rFonts w:asciiTheme="majorBidi" w:hAnsiTheme="majorBidi"/>
          <w:sz w:val="24"/>
          <w:szCs w:val="24"/>
        </w:rPr>
        <w:t xml:space="preserve"> percent</w:t>
      </w:r>
      <w:r w:rsidRPr="004345ED">
        <w:rPr>
          <w:rFonts w:asciiTheme="majorBidi" w:hAnsiTheme="majorBidi"/>
          <w:sz w:val="24"/>
          <w:szCs w:val="24"/>
        </w:rPr>
        <w:t xml:space="preserve"> of the loans originated in that period and 10</w:t>
      </w:r>
      <w:r w:rsidR="007C6E7E" w:rsidRPr="004345ED">
        <w:rPr>
          <w:rFonts w:asciiTheme="majorBidi" w:hAnsiTheme="majorBidi"/>
          <w:sz w:val="24"/>
          <w:szCs w:val="24"/>
        </w:rPr>
        <w:t xml:space="preserve"> percent</w:t>
      </w:r>
      <w:r w:rsidRPr="004345ED">
        <w:rPr>
          <w:rFonts w:asciiTheme="majorBidi" w:hAnsiTheme="majorBidi"/>
          <w:sz w:val="24"/>
          <w:szCs w:val="24"/>
        </w:rPr>
        <w:t xml:space="preserve"> of the amount thereof (</w:t>
      </w:r>
      <w:r w:rsidR="004215B4" w:rsidRPr="004345ED">
        <w:rPr>
          <w:rFonts w:asciiTheme="majorBidi" w:hAnsiTheme="majorBidi"/>
          <w:sz w:val="24"/>
          <w:szCs w:val="24"/>
        </w:rPr>
        <w:t xml:space="preserve">Figure </w:t>
      </w:r>
      <w:r w:rsidRPr="004345ED">
        <w:rPr>
          <w:rFonts w:asciiTheme="majorBidi" w:hAnsiTheme="majorBidi"/>
          <w:sz w:val="24"/>
          <w:szCs w:val="24"/>
        </w:rPr>
        <w:t xml:space="preserve">3). This is due, </w:t>
      </w:r>
      <w:r w:rsidRPr="004345ED">
        <w:rPr>
          <w:rFonts w:asciiTheme="majorBidi" w:hAnsiTheme="majorBidi"/>
          <w:i/>
          <w:iCs/>
          <w:sz w:val="24"/>
          <w:szCs w:val="24"/>
        </w:rPr>
        <w:t>inter alia</w:t>
      </w:r>
      <w:r w:rsidRPr="004345ED">
        <w:rPr>
          <w:rFonts w:asciiTheme="majorBidi" w:hAnsiTheme="majorBidi"/>
          <w:sz w:val="24"/>
          <w:szCs w:val="24"/>
        </w:rPr>
        <w:t xml:space="preserve">, to the fact that a significant share of lower </w:t>
      </w:r>
      <w:r w:rsidR="007C6E7E" w:rsidRPr="004345ED">
        <w:rPr>
          <w:rFonts w:asciiTheme="majorBidi" w:hAnsiTheme="majorBidi"/>
          <w:sz w:val="24"/>
          <w:szCs w:val="24"/>
        </w:rPr>
        <w:t>income households do not own a home</w:t>
      </w:r>
      <w:r w:rsidR="00974D88" w:rsidRPr="004345ED">
        <w:rPr>
          <w:rStyle w:val="a4"/>
          <w:rFonts w:asciiTheme="majorBidi" w:hAnsiTheme="majorBidi" w:cstheme="majorBidi"/>
          <w:sz w:val="24"/>
          <w:szCs w:val="24"/>
          <w:rtl/>
        </w:rPr>
        <w:footnoteReference w:id="7"/>
      </w:r>
      <w:r w:rsidRPr="004345ED">
        <w:rPr>
          <w:rFonts w:asciiTheme="majorBidi" w:hAnsiTheme="majorBidi"/>
          <w:sz w:val="24"/>
          <w:szCs w:val="24"/>
        </w:rPr>
        <w:t>, and therefore do not take out housing loans</w:t>
      </w:r>
      <w:r w:rsidR="007C6E7E" w:rsidRPr="004345ED">
        <w:rPr>
          <w:rFonts w:asciiTheme="majorBidi" w:hAnsiTheme="majorBidi"/>
          <w:sz w:val="24"/>
          <w:szCs w:val="24"/>
        </w:rPr>
        <w:t>—</w:t>
      </w:r>
      <w:r w:rsidRPr="004345ED">
        <w:rPr>
          <w:rFonts w:asciiTheme="majorBidi" w:hAnsiTheme="majorBidi"/>
          <w:sz w:val="24"/>
          <w:szCs w:val="24"/>
        </w:rPr>
        <w:t xml:space="preserve">similar to findings in other countries. </w:t>
      </w:r>
    </w:p>
    <w:p w:rsidR="002610FC" w:rsidRPr="004345ED" w:rsidRDefault="00032215" w:rsidP="00196792">
      <w:pPr>
        <w:spacing w:line="360" w:lineRule="auto"/>
        <w:jc w:val="both"/>
        <w:rPr>
          <w:rFonts w:asciiTheme="majorBidi" w:hAnsiTheme="majorBidi" w:cstheme="majorBidi"/>
          <w:sz w:val="24"/>
          <w:szCs w:val="24"/>
          <w:rtl/>
        </w:rPr>
      </w:pPr>
      <w:r w:rsidRPr="004345ED">
        <w:rPr>
          <w:rFonts w:asciiTheme="majorBidi" w:hAnsiTheme="majorBidi"/>
          <w:sz w:val="24"/>
          <w:szCs w:val="24"/>
        </w:rPr>
        <w:t>The d</w:t>
      </w:r>
      <w:r w:rsidR="000206C7" w:rsidRPr="004345ED">
        <w:rPr>
          <w:rFonts w:asciiTheme="majorBidi" w:hAnsiTheme="majorBidi"/>
          <w:sz w:val="24"/>
          <w:szCs w:val="24"/>
        </w:rPr>
        <w:t>ata further show</w:t>
      </w:r>
      <w:r w:rsidRPr="004345ED">
        <w:rPr>
          <w:rFonts w:asciiTheme="majorBidi" w:hAnsiTheme="majorBidi"/>
          <w:sz w:val="24"/>
          <w:szCs w:val="24"/>
        </w:rPr>
        <w:t xml:space="preserve"> </w:t>
      </w:r>
      <w:r w:rsidR="000206C7" w:rsidRPr="004345ED">
        <w:rPr>
          <w:rFonts w:asciiTheme="majorBidi" w:hAnsiTheme="majorBidi"/>
          <w:sz w:val="24"/>
          <w:szCs w:val="24"/>
        </w:rPr>
        <w:t xml:space="preserve">that the burden </w:t>
      </w:r>
      <w:r w:rsidRPr="004345ED">
        <w:rPr>
          <w:rFonts w:asciiTheme="majorBidi" w:hAnsiTheme="majorBidi"/>
          <w:sz w:val="24"/>
          <w:szCs w:val="24"/>
        </w:rPr>
        <w:t xml:space="preserve">of </w:t>
      </w:r>
      <w:r w:rsidR="000206C7" w:rsidRPr="004345ED">
        <w:rPr>
          <w:rFonts w:asciiTheme="majorBidi" w:hAnsiTheme="majorBidi"/>
          <w:sz w:val="24"/>
          <w:szCs w:val="24"/>
        </w:rPr>
        <w:t xml:space="preserve">household housing debt significantly decreases with higher income. This is reflected both by the average number of monthly </w:t>
      </w:r>
      <w:r w:rsidR="00F547FB" w:rsidRPr="004345ED">
        <w:rPr>
          <w:rFonts w:asciiTheme="majorBidi" w:hAnsiTheme="majorBidi"/>
          <w:sz w:val="24"/>
          <w:szCs w:val="24"/>
        </w:rPr>
        <w:t xml:space="preserve">salaries </w:t>
      </w:r>
      <w:r w:rsidR="000206C7" w:rsidRPr="004345ED">
        <w:rPr>
          <w:rFonts w:asciiTheme="majorBidi" w:hAnsiTheme="majorBidi"/>
          <w:sz w:val="24"/>
          <w:szCs w:val="24"/>
        </w:rPr>
        <w:t xml:space="preserve">needed for the household to pay for the </w:t>
      </w:r>
      <w:r w:rsidR="00F547FB" w:rsidRPr="004345ED">
        <w:rPr>
          <w:rFonts w:asciiTheme="majorBidi" w:hAnsiTheme="majorBidi"/>
          <w:sz w:val="24"/>
          <w:szCs w:val="24"/>
        </w:rPr>
        <w:t xml:space="preserve">home </w:t>
      </w:r>
      <w:r w:rsidR="000206C7" w:rsidRPr="004345ED">
        <w:rPr>
          <w:rFonts w:asciiTheme="majorBidi" w:hAnsiTheme="majorBidi"/>
          <w:sz w:val="24"/>
          <w:szCs w:val="24"/>
        </w:rPr>
        <w:t>bought using the mortgage</w:t>
      </w:r>
      <w:r w:rsidR="00F547FB" w:rsidRPr="004345ED">
        <w:rPr>
          <w:rFonts w:asciiTheme="majorBidi" w:hAnsiTheme="majorBidi"/>
          <w:sz w:val="24"/>
          <w:szCs w:val="24"/>
        </w:rPr>
        <w:t>—</w:t>
      </w:r>
      <w:r w:rsidR="000206C7" w:rsidRPr="004345ED">
        <w:rPr>
          <w:rFonts w:asciiTheme="majorBidi" w:hAnsiTheme="majorBidi"/>
          <w:sz w:val="24"/>
          <w:szCs w:val="24"/>
        </w:rPr>
        <w:t xml:space="preserve">120 months in the second income quintile, compared to </w:t>
      </w:r>
      <w:r w:rsidR="00196792" w:rsidRPr="004345ED">
        <w:rPr>
          <w:rFonts w:asciiTheme="majorBidi" w:hAnsiTheme="majorBidi"/>
          <w:sz w:val="24"/>
          <w:szCs w:val="24"/>
        </w:rPr>
        <w:t>approximately half that period—</w:t>
      </w:r>
      <w:r w:rsidR="000206C7" w:rsidRPr="004345ED">
        <w:rPr>
          <w:rFonts w:asciiTheme="majorBidi" w:hAnsiTheme="majorBidi"/>
          <w:sz w:val="24"/>
          <w:szCs w:val="24"/>
        </w:rPr>
        <w:t>60 months</w:t>
      </w:r>
      <w:r w:rsidR="00196792" w:rsidRPr="004345ED">
        <w:rPr>
          <w:rFonts w:asciiTheme="majorBidi" w:hAnsiTheme="majorBidi"/>
          <w:sz w:val="24"/>
          <w:szCs w:val="24"/>
        </w:rPr>
        <w:t>—</w:t>
      </w:r>
      <w:r w:rsidR="000206C7" w:rsidRPr="004345ED">
        <w:rPr>
          <w:rFonts w:asciiTheme="majorBidi" w:hAnsiTheme="majorBidi"/>
          <w:sz w:val="24"/>
          <w:szCs w:val="24"/>
        </w:rPr>
        <w:t>in the top quintile (</w:t>
      </w:r>
      <w:r w:rsidR="00F547FB" w:rsidRPr="004345ED">
        <w:rPr>
          <w:rFonts w:asciiTheme="majorBidi" w:hAnsiTheme="majorBidi"/>
          <w:sz w:val="24"/>
          <w:szCs w:val="24"/>
        </w:rPr>
        <w:t xml:space="preserve">Figure </w:t>
      </w:r>
      <w:r w:rsidR="000206C7" w:rsidRPr="004345ED">
        <w:rPr>
          <w:rFonts w:asciiTheme="majorBidi" w:hAnsiTheme="majorBidi"/>
          <w:sz w:val="24"/>
          <w:szCs w:val="24"/>
        </w:rPr>
        <w:t>4)</w:t>
      </w:r>
      <w:r w:rsidR="00F547FB" w:rsidRPr="004345ED">
        <w:rPr>
          <w:rFonts w:asciiTheme="majorBidi" w:hAnsiTheme="majorBidi"/>
          <w:sz w:val="24"/>
          <w:szCs w:val="24"/>
        </w:rPr>
        <w:t>—a</w:t>
      </w:r>
      <w:r w:rsidR="000206C7" w:rsidRPr="004345ED">
        <w:rPr>
          <w:rFonts w:asciiTheme="majorBidi" w:hAnsiTheme="majorBidi"/>
          <w:sz w:val="24"/>
          <w:szCs w:val="24"/>
        </w:rPr>
        <w:t>nd by the average PTI ratio, which is 26</w:t>
      </w:r>
      <w:r w:rsidR="00F547FB" w:rsidRPr="004345ED">
        <w:rPr>
          <w:rFonts w:asciiTheme="majorBidi" w:hAnsiTheme="majorBidi"/>
          <w:sz w:val="24"/>
          <w:szCs w:val="24"/>
        </w:rPr>
        <w:t xml:space="preserve"> percent</w:t>
      </w:r>
      <w:r w:rsidR="000206C7" w:rsidRPr="004345ED">
        <w:rPr>
          <w:rFonts w:asciiTheme="majorBidi" w:hAnsiTheme="majorBidi"/>
          <w:sz w:val="24"/>
          <w:szCs w:val="24"/>
        </w:rPr>
        <w:t xml:space="preserve"> in the second quintile, compared to 15</w:t>
      </w:r>
      <w:r w:rsidR="00F547FB" w:rsidRPr="004345ED">
        <w:rPr>
          <w:rFonts w:asciiTheme="majorBidi" w:hAnsiTheme="majorBidi"/>
          <w:sz w:val="24"/>
          <w:szCs w:val="24"/>
        </w:rPr>
        <w:t xml:space="preserve"> percent</w:t>
      </w:r>
      <w:r w:rsidR="000206C7" w:rsidRPr="004345ED">
        <w:rPr>
          <w:rFonts w:asciiTheme="majorBidi" w:hAnsiTheme="majorBidi"/>
          <w:sz w:val="24"/>
          <w:szCs w:val="24"/>
        </w:rPr>
        <w:t xml:space="preserve"> in the top income quintile (</w:t>
      </w:r>
      <w:r w:rsidR="00F547FB" w:rsidRPr="004345ED">
        <w:rPr>
          <w:rFonts w:asciiTheme="majorBidi" w:hAnsiTheme="majorBidi"/>
          <w:sz w:val="24"/>
          <w:szCs w:val="24"/>
        </w:rPr>
        <w:t xml:space="preserve">Figure </w:t>
      </w:r>
      <w:r w:rsidR="000206C7" w:rsidRPr="004345ED">
        <w:rPr>
          <w:rFonts w:asciiTheme="majorBidi" w:hAnsiTheme="majorBidi"/>
          <w:sz w:val="24"/>
          <w:szCs w:val="24"/>
        </w:rPr>
        <w:t xml:space="preserve">5). </w:t>
      </w:r>
    </w:p>
    <w:p w:rsidR="00A8400B" w:rsidRPr="004345ED" w:rsidRDefault="005A652C" w:rsidP="006F45CB">
      <w:pPr>
        <w:spacing w:line="360" w:lineRule="auto"/>
        <w:jc w:val="both"/>
        <w:rPr>
          <w:rFonts w:asciiTheme="majorBidi" w:hAnsiTheme="majorBidi" w:cstheme="majorBidi"/>
          <w:sz w:val="24"/>
          <w:szCs w:val="24"/>
        </w:rPr>
      </w:pPr>
      <w:r w:rsidRPr="004345ED">
        <w:rPr>
          <w:rFonts w:asciiTheme="majorBidi" w:hAnsiTheme="majorBidi"/>
          <w:sz w:val="24"/>
          <w:szCs w:val="24"/>
        </w:rPr>
        <w:lastRenderedPageBreak/>
        <w:t xml:space="preserve">In order to identify the financially vulnerable households, it is important to </w:t>
      </w:r>
      <w:r w:rsidR="00EF1733" w:rsidRPr="004345ED">
        <w:rPr>
          <w:rFonts w:asciiTheme="majorBidi" w:hAnsiTheme="majorBidi"/>
          <w:sz w:val="24"/>
          <w:szCs w:val="24"/>
        </w:rPr>
        <w:t xml:space="preserve">examine </w:t>
      </w:r>
      <w:r w:rsidRPr="004345ED">
        <w:rPr>
          <w:rFonts w:asciiTheme="majorBidi" w:hAnsiTheme="majorBidi"/>
          <w:sz w:val="24"/>
          <w:szCs w:val="24"/>
        </w:rPr>
        <w:t xml:space="preserve">the </w:t>
      </w:r>
      <w:r w:rsidR="00EF1733" w:rsidRPr="004345ED">
        <w:rPr>
          <w:rFonts w:asciiTheme="majorBidi" w:hAnsiTheme="majorBidi"/>
          <w:sz w:val="24"/>
          <w:szCs w:val="24"/>
        </w:rPr>
        <w:t xml:space="preserve">PTI distribution of </w:t>
      </w:r>
      <w:r w:rsidRPr="004345ED">
        <w:rPr>
          <w:rFonts w:asciiTheme="majorBidi" w:hAnsiTheme="majorBidi"/>
          <w:sz w:val="24"/>
          <w:szCs w:val="24"/>
        </w:rPr>
        <w:t>all borrowers (not only the average payment), and in particular to focus on loans associated with a high debt burden</w:t>
      </w:r>
      <w:r w:rsidR="00EF1733" w:rsidRPr="004345ED">
        <w:rPr>
          <w:rFonts w:asciiTheme="majorBidi" w:hAnsiTheme="majorBidi"/>
          <w:sz w:val="24"/>
          <w:szCs w:val="24"/>
        </w:rPr>
        <w:t>—</w:t>
      </w:r>
      <w:r w:rsidRPr="004345ED">
        <w:rPr>
          <w:rFonts w:asciiTheme="majorBidi" w:hAnsiTheme="majorBidi"/>
          <w:sz w:val="24"/>
          <w:szCs w:val="24"/>
        </w:rPr>
        <w:t xml:space="preserve">because at the edge of this </w:t>
      </w:r>
      <w:r w:rsidR="00EF1733" w:rsidRPr="004345ED">
        <w:rPr>
          <w:rFonts w:asciiTheme="majorBidi" w:hAnsiTheme="majorBidi"/>
          <w:sz w:val="24"/>
          <w:szCs w:val="24"/>
        </w:rPr>
        <w:t xml:space="preserve">distribution </w:t>
      </w:r>
      <w:r w:rsidRPr="004345ED">
        <w:rPr>
          <w:rFonts w:asciiTheme="majorBidi" w:hAnsiTheme="majorBidi"/>
          <w:sz w:val="24"/>
          <w:szCs w:val="24"/>
        </w:rPr>
        <w:t xml:space="preserve">(higher </w:t>
      </w:r>
      <w:r w:rsidR="00EF1733" w:rsidRPr="004345ED">
        <w:rPr>
          <w:rFonts w:asciiTheme="majorBidi" w:hAnsiTheme="majorBidi"/>
          <w:sz w:val="24"/>
          <w:szCs w:val="24"/>
        </w:rPr>
        <w:t xml:space="preserve">PTI </w:t>
      </w:r>
      <w:r w:rsidRPr="004345ED">
        <w:rPr>
          <w:rFonts w:asciiTheme="majorBidi" w:hAnsiTheme="majorBidi"/>
          <w:sz w:val="24"/>
          <w:szCs w:val="24"/>
        </w:rPr>
        <w:t xml:space="preserve">ratios) we can discern those borrowers who may face difficulties or even go into default. </w:t>
      </w:r>
      <w:r w:rsidRPr="004345ED">
        <w:rPr>
          <w:rFonts w:asciiTheme="majorBidi" w:hAnsiTheme="majorBidi"/>
          <w:b/>
          <w:bCs/>
          <w:sz w:val="24"/>
          <w:szCs w:val="24"/>
        </w:rPr>
        <w:t xml:space="preserve">One of the benchmarks for financial vulnerability commonly used </w:t>
      </w:r>
      <w:r w:rsidR="00CC73A1" w:rsidRPr="004345ED">
        <w:rPr>
          <w:rFonts w:asciiTheme="majorBidi" w:hAnsiTheme="majorBidi"/>
          <w:b/>
          <w:bCs/>
          <w:sz w:val="24"/>
          <w:szCs w:val="24"/>
        </w:rPr>
        <w:t>worldwide</w:t>
      </w:r>
      <w:r w:rsidRPr="004345ED">
        <w:rPr>
          <w:rFonts w:asciiTheme="majorBidi" w:hAnsiTheme="majorBidi"/>
          <w:b/>
          <w:bCs/>
          <w:sz w:val="24"/>
          <w:szCs w:val="24"/>
        </w:rPr>
        <w:t xml:space="preserve"> is </w:t>
      </w:r>
      <w:r w:rsidR="00EF1733" w:rsidRPr="004345ED">
        <w:rPr>
          <w:rFonts w:asciiTheme="majorBidi" w:hAnsiTheme="majorBidi"/>
          <w:b/>
          <w:bCs/>
          <w:sz w:val="24"/>
          <w:szCs w:val="24"/>
        </w:rPr>
        <w:t xml:space="preserve">a </w:t>
      </w:r>
      <w:r w:rsidRPr="004345ED">
        <w:rPr>
          <w:rFonts w:asciiTheme="majorBidi" w:hAnsiTheme="majorBidi"/>
          <w:b/>
          <w:bCs/>
          <w:sz w:val="24"/>
          <w:szCs w:val="24"/>
        </w:rPr>
        <w:t>PTI ratio higher than 40</w:t>
      </w:r>
      <w:r w:rsidR="007676E9" w:rsidRPr="004345ED">
        <w:rPr>
          <w:rFonts w:asciiTheme="majorBidi" w:hAnsiTheme="majorBidi"/>
          <w:b/>
          <w:bCs/>
          <w:sz w:val="24"/>
          <w:szCs w:val="24"/>
        </w:rPr>
        <w:t xml:space="preserve"> percent</w:t>
      </w:r>
      <w:r w:rsidRPr="004345ED">
        <w:rPr>
          <w:rFonts w:asciiTheme="majorBidi" w:hAnsiTheme="majorBidi"/>
          <w:b/>
          <w:bCs/>
          <w:sz w:val="24"/>
          <w:szCs w:val="24"/>
        </w:rPr>
        <w:t>.</w:t>
      </w:r>
      <w:r w:rsidRPr="004345ED">
        <w:rPr>
          <w:rFonts w:asciiTheme="majorBidi" w:hAnsiTheme="majorBidi"/>
          <w:sz w:val="24"/>
          <w:szCs w:val="24"/>
        </w:rPr>
        <w:t xml:space="preserve"> As noted above, due to supervisory restrictions and directives, loans originated with such PTI ratios </w:t>
      </w:r>
      <w:r w:rsidR="005E3201" w:rsidRPr="004345ED">
        <w:rPr>
          <w:rFonts w:asciiTheme="majorBidi" w:hAnsiTheme="majorBidi"/>
          <w:sz w:val="24"/>
          <w:szCs w:val="24"/>
        </w:rPr>
        <w:t xml:space="preserve">have </w:t>
      </w:r>
      <w:r w:rsidRPr="004345ED">
        <w:rPr>
          <w:rFonts w:asciiTheme="majorBidi" w:hAnsiTheme="majorBidi"/>
          <w:sz w:val="24"/>
          <w:szCs w:val="24"/>
        </w:rPr>
        <w:t>been negligible since 2015; therefore, we estimated the share of financially vulnerable households based on the share of borrowers with PTI ratio higher than 35</w:t>
      </w:r>
      <w:r w:rsidR="005E3201" w:rsidRPr="004345ED">
        <w:rPr>
          <w:rFonts w:asciiTheme="majorBidi" w:hAnsiTheme="majorBidi"/>
          <w:sz w:val="24"/>
          <w:szCs w:val="24"/>
        </w:rPr>
        <w:t xml:space="preserve"> percent</w:t>
      </w:r>
      <w:r w:rsidRPr="004345ED">
        <w:rPr>
          <w:rFonts w:asciiTheme="majorBidi" w:hAnsiTheme="majorBidi"/>
          <w:sz w:val="24"/>
          <w:szCs w:val="24"/>
        </w:rPr>
        <w:t xml:space="preserve"> (rather than 40</w:t>
      </w:r>
      <w:r w:rsidR="005E3201" w:rsidRPr="004345ED">
        <w:rPr>
          <w:rFonts w:asciiTheme="majorBidi" w:hAnsiTheme="majorBidi"/>
          <w:sz w:val="24"/>
          <w:szCs w:val="24"/>
        </w:rPr>
        <w:t xml:space="preserve"> percent</w:t>
      </w:r>
      <w:r w:rsidRPr="004345ED">
        <w:rPr>
          <w:rFonts w:asciiTheme="majorBidi" w:hAnsiTheme="majorBidi"/>
          <w:sz w:val="24"/>
          <w:szCs w:val="24"/>
        </w:rPr>
        <w:t>). We found that households with lower income are typically more vulnerable: About one</w:t>
      </w:r>
      <w:r w:rsidR="006F45CB" w:rsidRPr="004345ED">
        <w:rPr>
          <w:rFonts w:asciiTheme="majorBidi" w:hAnsiTheme="majorBidi"/>
          <w:sz w:val="24"/>
          <w:szCs w:val="24"/>
        </w:rPr>
        <w:t>-</w:t>
      </w:r>
      <w:r w:rsidRPr="004345ED">
        <w:rPr>
          <w:rFonts w:asciiTheme="majorBidi" w:hAnsiTheme="majorBidi"/>
          <w:sz w:val="24"/>
          <w:szCs w:val="24"/>
        </w:rPr>
        <w:t>quarter of households in the bottom two quintiles took out loans with PTI ratio higher than 35</w:t>
      </w:r>
      <w:r w:rsidR="006F45CB" w:rsidRPr="004345ED">
        <w:rPr>
          <w:rFonts w:asciiTheme="majorBidi" w:hAnsiTheme="majorBidi"/>
          <w:sz w:val="24"/>
          <w:szCs w:val="24"/>
        </w:rPr>
        <w:t xml:space="preserve"> percent</w:t>
      </w:r>
      <w:r w:rsidRPr="004345ED">
        <w:rPr>
          <w:rFonts w:asciiTheme="majorBidi" w:hAnsiTheme="majorBidi"/>
          <w:sz w:val="24"/>
          <w:szCs w:val="24"/>
        </w:rPr>
        <w:t>, compared to only 9</w:t>
      </w:r>
      <w:r w:rsidR="006F45CB" w:rsidRPr="004345ED">
        <w:rPr>
          <w:rFonts w:asciiTheme="majorBidi" w:hAnsiTheme="majorBidi"/>
          <w:sz w:val="24"/>
          <w:szCs w:val="24"/>
        </w:rPr>
        <w:t xml:space="preserve"> percent</w:t>
      </w:r>
      <w:r w:rsidRPr="004345ED">
        <w:rPr>
          <w:rFonts w:asciiTheme="majorBidi" w:hAnsiTheme="majorBidi"/>
          <w:sz w:val="24"/>
          <w:szCs w:val="24"/>
        </w:rPr>
        <w:t xml:space="preserve"> in the top two quintiles (</w:t>
      </w:r>
      <w:r w:rsidR="006F45CB" w:rsidRPr="004345ED">
        <w:rPr>
          <w:rFonts w:asciiTheme="majorBidi" w:hAnsiTheme="majorBidi"/>
          <w:sz w:val="24"/>
          <w:szCs w:val="24"/>
        </w:rPr>
        <w:t xml:space="preserve">Figure </w:t>
      </w:r>
      <w:r w:rsidRPr="004345ED">
        <w:rPr>
          <w:rFonts w:asciiTheme="majorBidi" w:hAnsiTheme="majorBidi"/>
          <w:sz w:val="24"/>
          <w:szCs w:val="24"/>
        </w:rPr>
        <w:t>6).</w:t>
      </w:r>
    </w:p>
    <w:p w:rsidR="002237F2" w:rsidRPr="004345ED" w:rsidRDefault="002237F2" w:rsidP="00155F2D">
      <w:pPr>
        <w:spacing w:line="360" w:lineRule="auto"/>
        <w:jc w:val="both"/>
        <w:rPr>
          <w:rFonts w:asciiTheme="majorBidi" w:hAnsiTheme="majorBidi" w:cstheme="majorBidi"/>
          <w:sz w:val="24"/>
          <w:szCs w:val="24"/>
        </w:rPr>
      </w:pPr>
      <w:r w:rsidRPr="004345ED">
        <w:rPr>
          <w:rFonts w:asciiTheme="majorBidi" w:hAnsiTheme="majorBidi"/>
          <w:b/>
          <w:bCs/>
          <w:sz w:val="24"/>
          <w:szCs w:val="24"/>
        </w:rPr>
        <w:t>Methodology</w:t>
      </w:r>
    </w:p>
    <w:p w:rsidR="00376D4E" w:rsidRPr="004345ED" w:rsidRDefault="00376D4E" w:rsidP="00C5727D">
      <w:pPr>
        <w:spacing w:line="360" w:lineRule="auto"/>
        <w:jc w:val="both"/>
        <w:rPr>
          <w:rFonts w:asciiTheme="majorBidi" w:hAnsiTheme="majorBidi" w:cstheme="majorBidi"/>
          <w:sz w:val="24"/>
          <w:szCs w:val="24"/>
        </w:rPr>
      </w:pPr>
      <w:r w:rsidRPr="004345ED">
        <w:rPr>
          <w:rFonts w:asciiTheme="majorBidi" w:hAnsiTheme="majorBidi"/>
          <w:b/>
          <w:bCs/>
          <w:sz w:val="24"/>
          <w:szCs w:val="24"/>
        </w:rPr>
        <w:t xml:space="preserve">The objectives of the macroeconomic scenario </w:t>
      </w:r>
      <w:r w:rsidR="00794553" w:rsidRPr="004345ED">
        <w:rPr>
          <w:rFonts w:asciiTheme="majorBidi" w:hAnsiTheme="majorBidi"/>
          <w:b/>
          <w:bCs/>
          <w:sz w:val="24"/>
          <w:szCs w:val="24"/>
        </w:rPr>
        <w:t xml:space="preserve">are </w:t>
      </w:r>
      <w:r w:rsidRPr="004345ED">
        <w:rPr>
          <w:rFonts w:asciiTheme="majorBidi" w:hAnsiTheme="majorBidi"/>
          <w:b/>
          <w:bCs/>
          <w:sz w:val="24"/>
          <w:szCs w:val="24"/>
        </w:rPr>
        <w:t>to contribute to understanding of the</w:t>
      </w:r>
      <w:r w:rsidR="00C5727D" w:rsidRPr="004345ED">
        <w:rPr>
          <w:rFonts w:asciiTheme="majorBidi" w:hAnsiTheme="majorBidi"/>
          <w:b/>
          <w:bCs/>
          <w:sz w:val="24"/>
          <w:szCs w:val="24"/>
        </w:rPr>
        <w:t xml:space="preserve"> focal points of </w:t>
      </w:r>
      <w:r w:rsidRPr="004345ED">
        <w:rPr>
          <w:rFonts w:asciiTheme="majorBidi" w:hAnsiTheme="majorBidi"/>
          <w:b/>
          <w:bCs/>
          <w:sz w:val="24"/>
          <w:szCs w:val="24"/>
        </w:rPr>
        <w:t>risk to which the banking system and each of the banks are exposed</w:t>
      </w:r>
      <w:r w:rsidRPr="004345ED">
        <w:rPr>
          <w:rFonts w:asciiTheme="majorBidi" w:hAnsiTheme="majorBidi"/>
          <w:sz w:val="24"/>
          <w:szCs w:val="24"/>
        </w:rPr>
        <w:t xml:space="preserve">, and to </w:t>
      </w:r>
      <w:r w:rsidR="000640F4" w:rsidRPr="004345ED">
        <w:rPr>
          <w:rFonts w:asciiTheme="majorBidi" w:hAnsiTheme="majorBidi"/>
          <w:sz w:val="24"/>
          <w:szCs w:val="24"/>
        </w:rPr>
        <w:t xml:space="preserve">serve as </w:t>
      </w:r>
      <w:r w:rsidRPr="004345ED">
        <w:rPr>
          <w:rFonts w:asciiTheme="majorBidi" w:hAnsiTheme="majorBidi"/>
          <w:sz w:val="24"/>
          <w:szCs w:val="24"/>
        </w:rPr>
        <w:t xml:space="preserve">a tool to help assess the resilience of the banking system, a tool for setting requirements </w:t>
      </w:r>
      <w:r w:rsidR="00794553" w:rsidRPr="004345ED">
        <w:rPr>
          <w:rFonts w:asciiTheme="majorBidi" w:hAnsiTheme="majorBidi"/>
          <w:sz w:val="24"/>
          <w:szCs w:val="24"/>
        </w:rPr>
        <w:t xml:space="preserve">for </w:t>
      </w:r>
      <w:r w:rsidRPr="004345ED">
        <w:rPr>
          <w:rFonts w:asciiTheme="majorBidi" w:hAnsiTheme="majorBidi"/>
          <w:sz w:val="24"/>
          <w:szCs w:val="24"/>
        </w:rPr>
        <w:t xml:space="preserve">the banking system and to banks, </w:t>
      </w:r>
      <w:r w:rsidR="000640F4" w:rsidRPr="004345ED">
        <w:rPr>
          <w:rFonts w:asciiTheme="majorBidi" w:hAnsiTheme="majorBidi"/>
          <w:sz w:val="24"/>
          <w:szCs w:val="24"/>
        </w:rPr>
        <w:t xml:space="preserve">and </w:t>
      </w:r>
      <w:r w:rsidRPr="004345ED">
        <w:rPr>
          <w:rFonts w:asciiTheme="majorBidi" w:hAnsiTheme="majorBidi"/>
          <w:sz w:val="24"/>
          <w:szCs w:val="24"/>
        </w:rPr>
        <w:t xml:space="preserve">to secure </w:t>
      </w:r>
      <w:r w:rsidR="00794553" w:rsidRPr="004345ED">
        <w:rPr>
          <w:rFonts w:asciiTheme="majorBidi" w:hAnsiTheme="majorBidi"/>
          <w:sz w:val="24"/>
          <w:szCs w:val="24"/>
        </w:rPr>
        <w:t xml:space="preserve">a sufficient level of </w:t>
      </w:r>
      <w:r w:rsidRPr="004345ED">
        <w:rPr>
          <w:rFonts w:asciiTheme="majorBidi" w:hAnsiTheme="majorBidi"/>
          <w:sz w:val="24"/>
          <w:szCs w:val="24"/>
        </w:rPr>
        <w:t>capital. Therefore, the scenario reviewed the debt repayment capacity of households under extreme changes to the macroeconomic environment</w:t>
      </w:r>
      <w:r w:rsidR="000640F4" w:rsidRPr="004345ED">
        <w:rPr>
          <w:rFonts w:asciiTheme="majorBidi" w:hAnsiTheme="majorBidi"/>
          <w:sz w:val="24"/>
          <w:szCs w:val="24"/>
        </w:rPr>
        <w:t>—</w:t>
      </w:r>
      <w:r w:rsidRPr="004345ED">
        <w:rPr>
          <w:rFonts w:asciiTheme="majorBidi" w:hAnsiTheme="majorBidi"/>
          <w:sz w:val="24"/>
          <w:szCs w:val="24"/>
        </w:rPr>
        <w:t>–</w:t>
      </w:r>
      <w:r w:rsidR="000640F4" w:rsidRPr="004345ED">
        <w:rPr>
          <w:rFonts w:asciiTheme="majorBidi" w:hAnsiTheme="majorBidi"/>
          <w:sz w:val="24"/>
          <w:szCs w:val="24"/>
        </w:rPr>
        <w:t>a</w:t>
      </w:r>
      <w:r w:rsidRPr="004345ED">
        <w:rPr>
          <w:rFonts w:asciiTheme="majorBidi" w:hAnsiTheme="majorBidi"/>
          <w:sz w:val="24"/>
          <w:szCs w:val="24"/>
        </w:rPr>
        <w:t xml:space="preserve">n </w:t>
      </w:r>
      <w:r w:rsidR="000640F4" w:rsidRPr="004345ED">
        <w:rPr>
          <w:rFonts w:asciiTheme="majorBidi" w:hAnsiTheme="majorBidi"/>
          <w:sz w:val="24"/>
          <w:szCs w:val="24"/>
        </w:rPr>
        <w:t>i</w:t>
      </w:r>
      <w:r w:rsidRPr="004345ED">
        <w:rPr>
          <w:rFonts w:asciiTheme="majorBidi" w:hAnsiTheme="majorBidi"/>
          <w:sz w:val="24"/>
          <w:szCs w:val="24"/>
        </w:rPr>
        <w:t xml:space="preserve">ncrease by 5 percentage points in interest rates, an increase in </w:t>
      </w:r>
      <w:r w:rsidR="000640F4" w:rsidRPr="004345ED">
        <w:rPr>
          <w:rFonts w:asciiTheme="majorBidi" w:hAnsiTheme="majorBidi"/>
          <w:sz w:val="24"/>
          <w:szCs w:val="24"/>
        </w:rPr>
        <w:t xml:space="preserve">the </w:t>
      </w:r>
      <w:r w:rsidRPr="004345ED">
        <w:rPr>
          <w:rFonts w:asciiTheme="majorBidi" w:hAnsiTheme="majorBidi"/>
          <w:sz w:val="24"/>
          <w:szCs w:val="24"/>
        </w:rPr>
        <w:t xml:space="preserve">unemployment </w:t>
      </w:r>
      <w:r w:rsidR="000640F4" w:rsidRPr="004345ED">
        <w:rPr>
          <w:rFonts w:asciiTheme="majorBidi" w:hAnsiTheme="majorBidi"/>
          <w:sz w:val="24"/>
          <w:szCs w:val="24"/>
        </w:rPr>
        <w:t xml:space="preserve">rate </w:t>
      </w:r>
      <w:r w:rsidRPr="004345ED">
        <w:rPr>
          <w:rFonts w:asciiTheme="majorBidi" w:hAnsiTheme="majorBidi"/>
          <w:sz w:val="24"/>
          <w:szCs w:val="24"/>
        </w:rPr>
        <w:t>to 9.3</w:t>
      </w:r>
      <w:r w:rsidR="000640F4" w:rsidRPr="004345ED">
        <w:rPr>
          <w:rFonts w:asciiTheme="majorBidi" w:hAnsiTheme="majorBidi"/>
          <w:sz w:val="24"/>
          <w:szCs w:val="24"/>
        </w:rPr>
        <w:t xml:space="preserve"> percent</w:t>
      </w:r>
      <w:r w:rsidRPr="004345ED">
        <w:rPr>
          <w:rFonts w:asciiTheme="majorBidi" w:hAnsiTheme="majorBidi"/>
          <w:sz w:val="24"/>
          <w:szCs w:val="24"/>
        </w:rPr>
        <w:t xml:space="preserve">, higher inflation and lower household income (Diagram 1 in box "Macroeconomic stress test for the banking system, 2018"). These results are based on models and estimates, and are not a forecast. </w:t>
      </w:r>
    </w:p>
    <w:p w:rsidR="002237F2" w:rsidRPr="004345ED" w:rsidRDefault="00D910FB" w:rsidP="002E6B8F">
      <w:pPr>
        <w:spacing w:line="360" w:lineRule="auto"/>
        <w:jc w:val="both"/>
        <w:rPr>
          <w:rFonts w:asciiTheme="majorBidi" w:hAnsiTheme="majorBidi" w:cstheme="majorBidi"/>
          <w:sz w:val="24"/>
          <w:szCs w:val="24"/>
        </w:rPr>
      </w:pPr>
      <w:r w:rsidRPr="004345ED">
        <w:rPr>
          <w:rFonts w:asciiTheme="majorBidi" w:hAnsiTheme="majorBidi"/>
          <w:sz w:val="24"/>
          <w:szCs w:val="24"/>
        </w:rPr>
        <w:lastRenderedPageBreak/>
        <w:t>In this review, the probability of default (PD</w:t>
      </w:r>
      <w:r w:rsidR="00AF51B7" w:rsidRPr="004345ED">
        <w:rPr>
          <w:rStyle w:val="a4"/>
          <w:rFonts w:asciiTheme="majorBidi" w:hAnsiTheme="majorBidi" w:cstheme="majorBidi"/>
          <w:sz w:val="24"/>
          <w:szCs w:val="24"/>
        </w:rPr>
        <w:footnoteReference w:id="8"/>
      </w:r>
      <w:r w:rsidRPr="004345ED">
        <w:rPr>
          <w:rFonts w:asciiTheme="majorBidi" w:hAnsiTheme="majorBidi"/>
          <w:sz w:val="24"/>
          <w:szCs w:val="24"/>
        </w:rPr>
        <w:t>) for each loan is based on the financial margin</w:t>
      </w:r>
      <w:r w:rsidR="002237F2" w:rsidRPr="004345ED">
        <w:rPr>
          <w:rStyle w:val="a4"/>
          <w:rFonts w:asciiTheme="majorBidi" w:hAnsiTheme="majorBidi" w:cstheme="majorBidi"/>
          <w:sz w:val="24"/>
          <w:szCs w:val="24"/>
          <w:rtl/>
        </w:rPr>
        <w:footnoteReference w:id="9"/>
      </w:r>
      <w:r w:rsidRPr="004345ED">
        <w:rPr>
          <w:rFonts w:asciiTheme="majorBidi" w:hAnsiTheme="majorBidi"/>
          <w:sz w:val="24"/>
          <w:szCs w:val="24"/>
        </w:rPr>
        <w:t xml:space="preserve"> of the household, which considers </w:t>
      </w:r>
      <w:r w:rsidRPr="004345ED">
        <w:rPr>
          <w:rFonts w:asciiTheme="majorBidi" w:hAnsiTheme="majorBidi"/>
          <w:b/>
          <w:bCs/>
          <w:sz w:val="24"/>
          <w:szCs w:val="24"/>
        </w:rPr>
        <w:t xml:space="preserve">the </w:t>
      </w:r>
      <w:r w:rsidR="00AB7E72" w:rsidRPr="004345ED">
        <w:rPr>
          <w:rFonts w:asciiTheme="majorBidi" w:hAnsiTheme="majorBidi"/>
          <w:b/>
          <w:bCs/>
          <w:sz w:val="24"/>
          <w:szCs w:val="24"/>
        </w:rPr>
        <w:t xml:space="preserve">disposable </w:t>
      </w:r>
      <w:r w:rsidRPr="004345ED">
        <w:rPr>
          <w:rFonts w:asciiTheme="majorBidi" w:hAnsiTheme="majorBidi"/>
          <w:b/>
          <w:bCs/>
          <w:sz w:val="24"/>
          <w:szCs w:val="24"/>
        </w:rPr>
        <w:t>income available after debt payment and current living expense</w:t>
      </w:r>
      <w:r w:rsidR="008E0988" w:rsidRPr="004345ED">
        <w:rPr>
          <w:rFonts w:asciiTheme="majorBidi" w:hAnsiTheme="majorBidi"/>
          <w:b/>
          <w:bCs/>
          <w:sz w:val="24"/>
          <w:szCs w:val="24"/>
        </w:rPr>
        <w:t>.</w:t>
      </w:r>
      <w:r w:rsidR="00CE0DF4" w:rsidRPr="004345ED">
        <w:rPr>
          <w:rStyle w:val="a4"/>
          <w:rFonts w:asciiTheme="majorBidi" w:hAnsiTheme="majorBidi" w:cstheme="majorBidi"/>
          <w:b/>
          <w:bCs/>
          <w:sz w:val="24"/>
          <w:szCs w:val="24"/>
          <w:rtl/>
        </w:rPr>
        <w:footnoteReference w:id="10"/>
      </w:r>
      <w:r w:rsidR="008E0988" w:rsidRPr="004345ED">
        <w:rPr>
          <w:rFonts w:asciiTheme="majorBidi" w:hAnsiTheme="majorBidi"/>
          <w:b/>
          <w:bCs/>
          <w:sz w:val="24"/>
          <w:szCs w:val="24"/>
        </w:rPr>
        <w:t xml:space="preserve"> </w:t>
      </w:r>
      <w:r w:rsidRPr="004345ED">
        <w:rPr>
          <w:rFonts w:asciiTheme="majorBidi" w:hAnsiTheme="majorBidi"/>
          <w:sz w:val="24"/>
          <w:szCs w:val="24"/>
        </w:rPr>
        <w:t xml:space="preserve">The assumption is that if </w:t>
      </w:r>
      <w:r w:rsidR="008E0988" w:rsidRPr="004345ED">
        <w:rPr>
          <w:rFonts w:asciiTheme="majorBidi" w:hAnsiTheme="majorBidi"/>
          <w:sz w:val="24"/>
          <w:szCs w:val="24"/>
        </w:rPr>
        <w:t xml:space="preserve">disposable </w:t>
      </w:r>
      <w:r w:rsidRPr="004345ED">
        <w:rPr>
          <w:rFonts w:asciiTheme="majorBidi" w:hAnsiTheme="majorBidi"/>
          <w:sz w:val="24"/>
          <w:szCs w:val="24"/>
        </w:rPr>
        <w:t xml:space="preserve">income is negative, the household would find it difficult to make the debt payment, and therefore </w:t>
      </w:r>
      <w:r w:rsidR="002E6B8F" w:rsidRPr="004345ED">
        <w:rPr>
          <w:rFonts w:asciiTheme="majorBidi" w:hAnsiTheme="majorBidi"/>
          <w:sz w:val="24"/>
          <w:szCs w:val="24"/>
        </w:rPr>
        <w:t xml:space="preserve">was </w:t>
      </w:r>
      <w:r w:rsidRPr="004345ED">
        <w:rPr>
          <w:rFonts w:asciiTheme="majorBidi" w:hAnsiTheme="majorBidi"/>
          <w:sz w:val="24"/>
          <w:szCs w:val="24"/>
        </w:rPr>
        <w:t>recorded as a borrower in default</w:t>
      </w:r>
      <w:r w:rsidR="008E0988" w:rsidRPr="004345ED">
        <w:rPr>
          <w:rFonts w:asciiTheme="majorBidi" w:hAnsiTheme="majorBidi"/>
          <w:sz w:val="24"/>
          <w:szCs w:val="24"/>
        </w:rPr>
        <w:t>—</w:t>
      </w:r>
      <w:r w:rsidRPr="004345ED">
        <w:rPr>
          <w:rFonts w:asciiTheme="majorBidi" w:hAnsiTheme="majorBidi"/>
          <w:sz w:val="24"/>
          <w:szCs w:val="24"/>
        </w:rPr>
        <w:t>a borrower who finds it difficult to make their monthly mortgage payment.</w:t>
      </w:r>
    </w:p>
    <w:p w:rsidR="002237F2" w:rsidRPr="004345ED" w:rsidRDefault="002237F2" w:rsidP="002C488A">
      <w:pPr>
        <w:spacing w:line="360" w:lineRule="auto"/>
        <w:jc w:val="both"/>
        <w:rPr>
          <w:rFonts w:asciiTheme="majorBidi" w:hAnsiTheme="majorBidi" w:cstheme="majorBidi"/>
          <w:sz w:val="24"/>
          <w:szCs w:val="24"/>
        </w:rPr>
      </w:pPr>
      <w:r w:rsidRPr="004345ED">
        <w:rPr>
          <w:rFonts w:asciiTheme="majorBidi" w:hAnsiTheme="majorBidi"/>
          <w:sz w:val="24"/>
          <w:szCs w:val="24"/>
        </w:rPr>
        <w:t>The probability of default</w:t>
      </w:r>
      <w:r w:rsidRPr="004345ED">
        <w:rPr>
          <w:rStyle w:val="a4"/>
          <w:rFonts w:asciiTheme="majorBidi" w:hAnsiTheme="majorBidi" w:cstheme="majorBidi"/>
          <w:sz w:val="24"/>
          <w:szCs w:val="24"/>
          <w:rtl/>
        </w:rPr>
        <w:footnoteReference w:id="11"/>
      </w:r>
      <w:r w:rsidRPr="004345ED">
        <w:rPr>
          <w:rFonts w:asciiTheme="majorBidi" w:hAnsiTheme="majorBidi"/>
          <w:sz w:val="24"/>
          <w:szCs w:val="24"/>
        </w:rPr>
        <w:t xml:space="preserve"> for each loan is calculated both at the outset (origination) and after the effect of the scenario. The higher interest rates and inflation impact the monthly mortgage payment, according to the mortgage tracks actually obtained, while the higher unemployment and lower real income impact household income. </w:t>
      </w:r>
      <w:r w:rsidR="002C488A" w:rsidRPr="004345ED">
        <w:rPr>
          <w:rFonts w:asciiTheme="majorBidi" w:hAnsiTheme="majorBidi"/>
          <w:sz w:val="24"/>
          <w:szCs w:val="24"/>
        </w:rPr>
        <w:t>As</w:t>
      </w:r>
      <w:r w:rsidRPr="004345ED">
        <w:rPr>
          <w:rFonts w:asciiTheme="majorBidi" w:hAnsiTheme="majorBidi"/>
          <w:sz w:val="24"/>
          <w:szCs w:val="24"/>
        </w:rPr>
        <w:t xml:space="preserve"> in times of crisis it may be difficult to realize the properties of borrowers in difficulties, we assumed (by a stricter approach) that banks would be unable to realize these for loan repayment during the scenario period (3 years)</w:t>
      </w:r>
      <w:r w:rsidR="002C488A" w:rsidRPr="004345ED">
        <w:rPr>
          <w:rFonts w:asciiTheme="majorBidi" w:hAnsiTheme="majorBidi"/>
          <w:sz w:val="24"/>
          <w:szCs w:val="24"/>
        </w:rPr>
        <w:t>. T</w:t>
      </w:r>
      <w:r w:rsidRPr="004345ED">
        <w:rPr>
          <w:rFonts w:asciiTheme="majorBidi" w:hAnsiTheme="majorBidi"/>
          <w:sz w:val="24"/>
          <w:szCs w:val="24"/>
        </w:rPr>
        <w:t>hat is</w:t>
      </w:r>
      <w:r w:rsidR="002C488A" w:rsidRPr="004345ED">
        <w:rPr>
          <w:rFonts w:asciiTheme="majorBidi" w:hAnsiTheme="majorBidi"/>
          <w:sz w:val="24"/>
          <w:szCs w:val="24"/>
        </w:rPr>
        <w:t>,</w:t>
      </w:r>
      <w:r w:rsidRPr="004345ED">
        <w:rPr>
          <w:rFonts w:asciiTheme="majorBidi" w:hAnsiTheme="majorBidi"/>
          <w:sz w:val="24"/>
          <w:szCs w:val="24"/>
        </w:rPr>
        <w:t xml:space="preserve"> loss given default</w:t>
      </w:r>
      <w:r w:rsidRPr="004345ED">
        <w:rPr>
          <w:rStyle w:val="a4"/>
          <w:rFonts w:asciiTheme="majorBidi" w:hAnsiTheme="majorBidi" w:cstheme="majorBidi"/>
          <w:sz w:val="24"/>
          <w:szCs w:val="24"/>
          <w:rtl/>
        </w:rPr>
        <w:footnoteReference w:id="12"/>
      </w:r>
      <w:r w:rsidRPr="004345ED">
        <w:rPr>
          <w:rFonts w:asciiTheme="majorBidi" w:hAnsiTheme="majorBidi"/>
          <w:sz w:val="24"/>
          <w:szCs w:val="24"/>
        </w:rPr>
        <w:t xml:space="preserve"> is 100</w:t>
      </w:r>
      <w:r w:rsidR="007676E9" w:rsidRPr="004345ED">
        <w:rPr>
          <w:rFonts w:asciiTheme="majorBidi" w:hAnsiTheme="majorBidi"/>
          <w:sz w:val="24"/>
          <w:szCs w:val="24"/>
        </w:rPr>
        <w:t xml:space="preserve"> percent</w:t>
      </w:r>
      <w:r w:rsidRPr="004345ED">
        <w:rPr>
          <w:rFonts w:asciiTheme="majorBidi" w:hAnsiTheme="majorBidi"/>
          <w:sz w:val="24"/>
          <w:szCs w:val="24"/>
        </w:rPr>
        <w:t xml:space="preserve"> for all borrowers, regardless of the value of collateral securing the loan. We should emphasize that in reality, we expect that the bank would find it difficult to realize the collateral within a specified time frame, but should be able to realize it later on.</w:t>
      </w:r>
    </w:p>
    <w:p w:rsidR="0088031F" w:rsidRPr="004345ED" w:rsidRDefault="00BD07A2" w:rsidP="00155F2D">
      <w:pPr>
        <w:spacing w:line="360" w:lineRule="auto"/>
        <w:jc w:val="both"/>
        <w:rPr>
          <w:rFonts w:asciiTheme="majorBidi" w:hAnsiTheme="majorBidi" w:cstheme="majorBidi"/>
          <w:b/>
          <w:bCs/>
          <w:sz w:val="24"/>
          <w:szCs w:val="24"/>
        </w:rPr>
      </w:pPr>
      <w:r w:rsidRPr="004345ED">
        <w:rPr>
          <w:rFonts w:asciiTheme="majorBidi" w:hAnsiTheme="majorBidi"/>
          <w:b/>
          <w:bCs/>
          <w:sz w:val="24"/>
          <w:szCs w:val="24"/>
        </w:rPr>
        <w:t>Findings</w:t>
      </w:r>
    </w:p>
    <w:p w:rsidR="0040597C" w:rsidRPr="004345ED" w:rsidRDefault="0040597C" w:rsidP="00013A02">
      <w:pPr>
        <w:spacing w:line="360" w:lineRule="auto"/>
        <w:jc w:val="both"/>
        <w:rPr>
          <w:rFonts w:asciiTheme="majorBidi" w:hAnsiTheme="majorBidi" w:cstheme="majorBidi"/>
          <w:sz w:val="24"/>
          <w:szCs w:val="24"/>
        </w:rPr>
      </w:pPr>
      <w:r w:rsidRPr="004345ED">
        <w:rPr>
          <w:rFonts w:asciiTheme="majorBidi" w:hAnsiTheme="majorBidi"/>
          <w:b/>
          <w:bCs/>
          <w:sz w:val="24"/>
          <w:szCs w:val="24"/>
        </w:rPr>
        <w:lastRenderedPageBreak/>
        <w:t xml:space="preserve">The test outcome, similar to those of previous stress tests, shows that risk in the banking system's housing </w:t>
      </w:r>
      <w:r w:rsidR="002E6B8F" w:rsidRPr="004345ED">
        <w:rPr>
          <w:rFonts w:asciiTheme="majorBidi" w:hAnsiTheme="majorBidi"/>
          <w:b/>
          <w:bCs/>
          <w:sz w:val="24"/>
          <w:szCs w:val="24"/>
        </w:rPr>
        <w:t xml:space="preserve">credit </w:t>
      </w:r>
      <w:r w:rsidRPr="004345ED">
        <w:rPr>
          <w:rFonts w:asciiTheme="majorBidi" w:hAnsiTheme="majorBidi"/>
          <w:b/>
          <w:bCs/>
          <w:sz w:val="24"/>
          <w:szCs w:val="24"/>
        </w:rPr>
        <w:t>portfolio remains low compared to other credit segments and that the portfolio quality has even improved in recent years.</w:t>
      </w:r>
      <w:r w:rsidRPr="004345ED">
        <w:rPr>
          <w:rFonts w:asciiTheme="majorBidi" w:hAnsiTheme="majorBidi"/>
          <w:sz w:val="24"/>
          <w:szCs w:val="24"/>
        </w:rPr>
        <w:t xml:space="preserve"> The scenario resulted in an average annual loss rate of 0.7</w:t>
      </w:r>
      <w:r w:rsidR="002C488A" w:rsidRPr="004345ED">
        <w:rPr>
          <w:rFonts w:asciiTheme="majorBidi" w:hAnsiTheme="majorBidi"/>
          <w:sz w:val="24"/>
          <w:szCs w:val="24"/>
        </w:rPr>
        <w:t xml:space="preserve"> percent </w:t>
      </w:r>
      <w:r w:rsidRPr="004345ED">
        <w:rPr>
          <w:rFonts w:asciiTheme="majorBidi" w:hAnsiTheme="majorBidi"/>
          <w:sz w:val="24"/>
          <w:szCs w:val="24"/>
        </w:rPr>
        <w:t xml:space="preserve">of the housing </w:t>
      </w:r>
      <w:r w:rsidR="00013A02" w:rsidRPr="004345ED">
        <w:rPr>
          <w:rFonts w:asciiTheme="majorBidi" w:hAnsiTheme="majorBidi"/>
          <w:sz w:val="24"/>
          <w:szCs w:val="24"/>
        </w:rPr>
        <w:t xml:space="preserve">credit </w:t>
      </w:r>
      <w:r w:rsidRPr="004345ED">
        <w:rPr>
          <w:rFonts w:asciiTheme="majorBidi" w:hAnsiTheme="majorBidi"/>
          <w:sz w:val="24"/>
          <w:szCs w:val="24"/>
        </w:rPr>
        <w:t>(mortgage) portfolio.</w:t>
      </w:r>
    </w:p>
    <w:p w:rsidR="00537822" w:rsidRPr="004345ED" w:rsidRDefault="00131173" w:rsidP="00C054D5">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This scenario reflects two major effects on borrowers' repayment capacity: The effect of higher interest and inflation, and the effect of rising unemployment. </w:t>
      </w:r>
      <w:r w:rsidRPr="004345ED">
        <w:rPr>
          <w:rFonts w:asciiTheme="majorBidi" w:hAnsiTheme="majorBidi"/>
          <w:b/>
          <w:bCs/>
          <w:sz w:val="24"/>
          <w:szCs w:val="24"/>
        </w:rPr>
        <w:t>Our analysis</w:t>
      </w:r>
      <w:r w:rsidR="00537822" w:rsidRPr="004345ED">
        <w:rPr>
          <w:rFonts w:asciiTheme="majorBidi" w:hAnsiTheme="majorBidi" w:cstheme="majorBidi"/>
          <w:b/>
          <w:bCs/>
          <w:sz w:val="24"/>
          <w:szCs w:val="24"/>
          <w:vertAlign w:val="superscript"/>
          <w:rtl/>
        </w:rPr>
        <w:footnoteReference w:id="13"/>
      </w:r>
      <w:r w:rsidRPr="004345ED">
        <w:rPr>
          <w:rFonts w:asciiTheme="majorBidi" w:hAnsiTheme="majorBidi"/>
          <w:b/>
          <w:bCs/>
          <w:sz w:val="24"/>
          <w:szCs w:val="24"/>
        </w:rPr>
        <w:t xml:space="preserve"> shows that unemployment is the key </w:t>
      </w:r>
      <w:r w:rsidR="00C054D5" w:rsidRPr="004345ED">
        <w:rPr>
          <w:rFonts w:asciiTheme="majorBidi" w:hAnsiTheme="majorBidi"/>
          <w:b/>
          <w:bCs/>
          <w:sz w:val="24"/>
          <w:szCs w:val="24"/>
        </w:rPr>
        <w:t xml:space="preserve">factor in </w:t>
      </w:r>
      <w:r w:rsidRPr="004345ED">
        <w:rPr>
          <w:rFonts w:asciiTheme="majorBidi" w:hAnsiTheme="majorBidi"/>
          <w:b/>
          <w:bCs/>
          <w:sz w:val="24"/>
          <w:szCs w:val="24"/>
        </w:rPr>
        <w:t xml:space="preserve">borrower default. </w:t>
      </w:r>
      <w:r w:rsidRPr="004345ED">
        <w:rPr>
          <w:rFonts w:asciiTheme="majorBidi" w:hAnsiTheme="majorBidi"/>
          <w:sz w:val="24"/>
          <w:szCs w:val="24"/>
        </w:rPr>
        <w:t>Thus, 5</w:t>
      </w:r>
      <w:r w:rsidR="00C054D5" w:rsidRPr="004345ED">
        <w:rPr>
          <w:rFonts w:asciiTheme="majorBidi" w:hAnsiTheme="majorBidi"/>
          <w:sz w:val="24"/>
          <w:szCs w:val="24"/>
        </w:rPr>
        <w:t xml:space="preserve"> percent</w:t>
      </w:r>
      <w:r w:rsidRPr="004345ED">
        <w:rPr>
          <w:rFonts w:asciiTheme="majorBidi" w:hAnsiTheme="majorBidi"/>
          <w:sz w:val="24"/>
          <w:szCs w:val="24"/>
        </w:rPr>
        <w:t xml:space="preserve"> of mortgage borrowers may find it difficult to repay their debt should a stress event materialize, and those with lower income</w:t>
      </w:r>
      <w:r w:rsidR="000A0862" w:rsidRPr="004345ED">
        <w:rPr>
          <w:rFonts w:asciiTheme="majorBidi" w:hAnsiTheme="majorBidi" w:cstheme="majorBidi"/>
          <w:sz w:val="24"/>
          <w:szCs w:val="24"/>
          <w:vertAlign w:val="superscript"/>
          <w:rtl/>
        </w:rPr>
        <w:footnoteReference w:id="14"/>
      </w:r>
      <w:r w:rsidRPr="004345ED">
        <w:rPr>
          <w:rFonts w:asciiTheme="majorBidi" w:hAnsiTheme="majorBidi"/>
          <w:sz w:val="24"/>
          <w:szCs w:val="24"/>
        </w:rPr>
        <w:t xml:space="preserve"> are the most vulnerable: Some 15</w:t>
      </w:r>
      <w:r w:rsidR="00C054D5" w:rsidRPr="004345ED">
        <w:rPr>
          <w:rFonts w:asciiTheme="majorBidi" w:hAnsiTheme="majorBidi"/>
          <w:sz w:val="24"/>
          <w:szCs w:val="24"/>
        </w:rPr>
        <w:t xml:space="preserve"> percent </w:t>
      </w:r>
      <w:r w:rsidRPr="004345ED">
        <w:rPr>
          <w:rFonts w:asciiTheme="majorBidi" w:hAnsiTheme="majorBidi"/>
          <w:sz w:val="24"/>
          <w:szCs w:val="24"/>
        </w:rPr>
        <w:t xml:space="preserve">of mortgage borrowers in the lower income quintiles may be in default. </w:t>
      </w:r>
    </w:p>
    <w:p w:rsidR="00C335DB" w:rsidRPr="004345ED" w:rsidRDefault="00304D05" w:rsidP="00F13267">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It also emerged that higher interest rates had a significant impact on all mortgage borrowers, due to the higher debt burden. However, only a small share of borrowers may be in default due to the increase in monthly payment; this is the result of </w:t>
      </w:r>
      <w:r w:rsidR="0018225E" w:rsidRPr="004345ED">
        <w:rPr>
          <w:rFonts w:asciiTheme="majorBidi" w:hAnsiTheme="majorBidi"/>
          <w:sz w:val="24"/>
          <w:szCs w:val="24"/>
        </w:rPr>
        <w:t xml:space="preserve">the range of macroprudential </w:t>
      </w:r>
      <w:r w:rsidRPr="004345ED">
        <w:rPr>
          <w:rFonts w:asciiTheme="majorBidi" w:hAnsiTheme="majorBidi"/>
          <w:sz w:val="24"/>
          <w:szCs w:val="24"/>
        </w:rPr>
        <w:t xml:space="preserve">measures applied over the years with regard to housing loans, which also resulted in improved portfolio quality. </w:t>
      </w:r>
    </w:p>
    <w:p w:rsidR="000A0B42" w:rsidRPr="004345ED" w:rsidRDefault="0018225E" w:rsidP="005F06E1">
      <w:pPr>
        <w:spacing w:line="360" w:lineRule="auto"/>
        <w:jc w:val="both"/>
        <w:rPr>
          <w:rFonts w:asciiTheme="majorBidi" w:hAnsiTheme="majorBidi" w:cstheme="majorBidi"/>
          <w:sz w:val="24"/>
          <w:szCs w:val="24"/>
        </w:rPr>
      </w:pPr>
      <w:r w:rsidRPr="004345ED">
        <w:rPr>
          <w:rFonts w:asciiTheme="majorBidi" w:hAnsiTheme="majorBidi"/>
          <w:sz w:val="24"/>
          <w:szCs w:val="24"/>
        </w:rPr>
        <w:t xml:space="preserve">Due to </w:t>
      </w:r>
      <w:r w:rsidR="000A0B42" w:rsidRPr="004345ED">
        <w:rPr>
          <w:rFonts w:asciiTheme="majorBidi" w:hAnsiTheme="majorBidi"/>
          <w:sz w:val="24"/>
          <w:szCs w:val="24"/>
        </w:rPr>
        <w:t xml:space="preserve">an increase by 5 percentage points in the Bank of Israel interest rate, as </w:t>
      </w:r>
      <w:r w:rsidRPr="004345ED">
        <w:rPr>
          <w:rFonts w:asciiTheme="majorBidi" w:hAnsiTheme="majorBidi"/>
          <w:sz w:val="24"/>
          <w:szCs w:val="24"/>
        </w:rPr>
        <w:t xml:space="preserve">examined </w:t>
      </w:r>
      <w:r w:rsidR="000A0B42" w:rsidRPr="004345ED">
        <w:rPr>
          <w:rFonts w:asciiTheme="majorBidi" w:hAnsiTheme="majorBidi"/>
          <w:sz w:val="24"/>
          <w:szCs w:val="24"/>
        </w:rPr>
        <w:t>in the stress scenario, the average monthly payment for a household in the second income quintile would increase by NIS 450, to NIS 2,600, whereby the average PTI ratio for such households would increase from 26</w:t>
      </w:r>
      <w:r w:rsidRPr="004345ED">
        <w:rPr>
          <w:rFonts w:asciiTheme="majorBidi" w:hAnsiTheme="majorBidi"/>
          <w:sz w:val="24"/>
          <w:szCs w:val="24"/>
        </w:rPr>
        <w:t xml:space="preserve"> percent</w:t>
      </w:r>
      <w:r w:rsidR="000A0B42" w:rsidRPr="004345ED">
        <w:rPr>
          <w:rFonts w:asciiTheme="majorBidi" w:hAnsiTheme="majorBidi"/>
          <w:sz w:val="24"/>
          <w:szCs w:val="24"/>
        </w:rPr>
        <w:t xml:space="preserve"> to 31</w:t>
      </w:r>
      <w:r w:rsidRPr="004345ED">
        <w:rPr>
          <w:rFonts w:asciiTheme="majorBidi" w:hAnsiTheme="majorBidi"/>
          <w:sz w:val="24"/>
          <w:szCs w:val="24"/>
        </w:rPr>
        <w:t xml:space="preserve"> percent</w:t>
      </w:r>
      <w:r w:rsidR="000A0B42" w:rsidRPr="004345ED">
        <w:rPr>
          <w:rFonts w:asciiTheme="majorBidi" w:hAnsiTheme="majorBidi"/>
          <w:sz w:val="24"/>
          <w:szCs w:val="24"/>
        </w:rPr>
        <w:t xml:space="preserve">. However, the average payment for a household in the top quintile would increase by NIS 920, to </w:t>
      </w:r>
      <w:r w:rsidR="000A0B42" w:rsidRPr="004345ED">
        <w:rPr>
          <w:rFonts w:asciiTheme="majorBidi" w:hAnsiTheme="majorBidi"/>
          <w:sz w:val="24"/>
          <w:szCs w:val="24"/>
        </w:rPr>
        <w:lastRenderedPageBreak/>
        <w:t>NIS 5,400</w:t>
      </w:r>
      <w:r w:rsidR="000A0B42" w:rsidRPr="004345ED">
        <w:rPr>
          <w:rStyle w:val="a4"/>
          <w:rFonts w:asciiTheme="majorBidi" w:hAnsiTheme="majorBidi" w:cstheme="majorBidi"/>
          <w:sz w:val="24"/>
          <w:szCs w:val="24"/>
          <w:rtl/>
        </w:rPr>
        <w:footnoteReference w:id="15"/>
      </w:r>
      <w:r w:rsidR="000A0B42" w:rsidRPr="004345ED">
        <w:rPr>
          <w:rFonts w:asciiTheme="majorBidi" w:hAnsiTheme="majorBidi"/>
          <w:sz w:val="24"/>
          <w:szCs w:val="24"/>
        </w:rPr>
        <w:t>, whereby the average PTI ratio would increase from 16</w:t>
      </w:r>
      <w:r w:rsidRPr="004345ED">
        <w:rPr>
          <w:rFonts w:asciiTheme="majorBidi" w:hAnsiTheme="majorBidi"/>
          <w:sz w:val="24"/>
          <w:szCs w:val="24"/>
        </w:rPr>
        <w:t xml:space="preserve"> percent</w:t>
      </w:r>
      <w:r w:rsidR="000A0B42" w:rsidRPr="004345ED">
        <w:rPr>
          <w:rFonts w:asciiTheme="majorBidi" w:hAnsiTheme="majorBidi"/>
          <w:sz w:val="24"/>
          <w:szCs w:val="24"/>
        </w:rPr>
        <w:t xml:space="preserve"> to 19</w:t>
      </w:r>
      <w:r w:rsidRPr="004345ED">
        <w:rPr>
          <w:rFonts w:asciiTheme="majorBidi" w:hAnsiTheme="majorBidi"/>
          <w:sz w:val="24"/>
          <w:szCs w:val="24"/>
        </w:rPr>
        <w:t xml:space="preserve"> percent</w:t>
      </w:r>
      <w:r w:rsidR="000A0B42" w:rsidRPr="004345ED">
        <w:rPr>
          <w:rFonts w:asciiTheme="majorBidi" w:hAnsiTheme="majorBidi"/>
          <w:sz w:val="24"/>
          <w:szCs w:val="24"/>
        </w:rPr>
        <w:t>. Across all households, the average monthly payment would increase by 20</w:t>
      </w:r>
      <w:r w:rsidRPr="004345ED">
        <w:rPr>
          <w:rFonts w:asciiTheme="majorBidi" w:hAnsiTheme="majorBidi"/>
          <w:sz w:val="24"/>
          <w:szCs w:val="24"/>
        </w:rPr>
        <w:t xml:space="preserve"> percent</w:t>
      </w:r>
      <w:r w:rsidR="000A0B42" w:rsidRPr="004345ED">
        <w:rPr>
          <w:rFonts w:asciiTheme="majorBidi" w:hAnsiTheme="majorBidi"/>
          <w:sz w:val="24"/>
          <w:szCs w:val="24"/>
        </w:rPr>
        <w:t xml:space="preserve"> (</w:t>
      </w:r>
      <w:r w:rsidRPr="004345ED">
        <w:rPr>
          <w:rFonts w:asciiTheme="majorBidi" w:hAnsiTheme="majorBidi"/>
          <w:sz w:val="24"/>
          <w:szCs w:val="24"/>
        </w:rPr>
        <w:t xml:space="preserve">Figures </w:t>
      </w:r>
      <w:r w:rsidR="000A0B42" w:rsidRPr="004345ED">
        <w:rPr>
          <w:rFonts w:asciiTheme="majorBidi" w:hAnsiTheme="majorBidi"/>
          <w:sz w:val="24"/>
          <w:szCs w:val="24"/>
        </w:rPr>
        <w:t>5,7). The increase in monthly payment would result in a significant increase in the share of vulnerable households (with PTI ratio over 35</w:t>
      </w:r>
      <w:r w:rsidR="005F06E1" w:rsidRPr="004345ED">
        <w:rPr>
          <w:rFonts w:asciiTheme="majorBidi" w:hAnsiTheme="majorBidi"/>
          <w:sz w:val="24"/>
          <w:szCs w:val="24"/>
        </w:rPr>
        <w:t xml:space="preserve"> percent</w:t>
      </w:r>
      <w:r w:rsidR="000A0B42" w:rsidRPr="004345ED">
        <w:rPr>
          <w:rFonts w:asciiTheme="majorBidi" w:hAnsiTheme="majorBidi"/>
          <w:sz w:val="24"/>
          <w:szCs w:val="24"/>
        </w:rPr>
        <w:t>) – up to 56</w:t>
      </w:r>
      <w:r w:rsidR="005F06E1" w:rsidRPr="004345ED">
        <w:rPr>
          <w:rFonts w:asciiTheme="majorBidi" w:hAnsiTheme="majorBidi"/>
          <w:sz w:val="24"/>
          <w:szCs w:val="24"/>
        </w:rPr>
        <w:t xml:space="preserve"> percent</w:t>
      </w:r>
      <w:r w:rsidR="000A0B42" w:rsidRPr="004345ED">
        <w:rPr>
          <w:rFonts w:asciiTheme="majorBidi" w:hAnsiTheme="majorBidi"/>
          <w:sz w:val="24"/>
          <w:szCs w:val="24"/>
        </w:rPr>
        <w:t xml:space="preserve"> of households in the bottom two income quintiles, compared to one</w:t>
      </w:r>
      <w:r w:rsidR="005F06E1" w:rsidRPr="004345ED">
        <w:rPr>
          <w:rFonts w:asciiTheme="majorBidi" w:hAnsiTheme="majorBidi"/>
          <w:sz w:val="24"/>
          <w:szCs w:val="24"/>
        </w:rPr>
        <w:t>-</w:t>
      </w:r>
      <w:r w:rsidR="000A0B42" w:rsidRPr="004345ED">
        <w:rPr>
          <w:rFonts w:asciiTheme="majorBidi" w:hAnsiTheme="majorBidi"/>
          <w:sz w:val="24"/>
          <w:szCs w:val="24"/>
        </w:rPr>
        <w:t>quarter of households in the top two income quintiles (</w:t>
      </w:r>
      <w:r w:rsidR="005F06E1" w:rsidRPr="004345ED">
        <w:rPr>
          <w:rFonts w:asciiTheme="majorBidi" w:hAnsiTheme="majorBidi"/>
          <w:sz w:val="24"/>
          <w:szCs w:val="24"/>
        </w:rPr>
        <w:t xml:space="preserve">Figure </w:t>
      </w:r>
      <w:r w:rsidR="000A0B42" w:rsidRPr="004345ED">
        <w:rPr>
          <w:rFonts w:asciiTheme="majorBidi" w:hAnsiTheme="majorBidi"/>
          <w:sz w:val="24"/>
          <w:szCs w:val="24"/>
        </w:rPr>
        <w:t xml:space="preserve">6). </w:t>
      </w:r>
    </w:p>
    <w:p w:rsidR="002237F2" w:rsidRPr="004345ED" w:rsidRDefault="00537822" w:rsidP="00555652">
      <w:pPr>
        <w:spacing w:line="360" w:lineRule="auto"/>
        <w:jc w:val="both"/>
        <w:rPr>
          <w:rFonts w:asciiTheme="majorBidi" w:hAnsiTheme="majorBidi" w:cstheme="majorBidi"/>
          <w:sz w:val="24"/>
          <w:szCs w:val="24"/>
        </w:rPr>
      </w:pPr>
      <w:r w:rsidRPr="004345ED">
        <w:rPr>
          <w:rFonts w:asciiTheme="majorBidi" w:hAnsiTheme="majorBidi"/>
          <w:sz w:val="24"/>
          <w:szCs w:val="24"/>
        </w:rPr>
        <w:t>In addition to the effects of unemployment and interest rates on the housing loan portfolio, we should note that a significant share (40</w:t>
      </w:r>
      <w:r w:rsidR="006E089C" w:rsidRPr="004345ED">
        <w:rPr>
          <w:rFonts w:asciiTheme="majorBidi" w:hAnsiTheme="majorBidi"/>
          <w:sz w:val="24"/>
          <w:szCs w:val="24"/>
        </w:rPr>
        <w:t xml:space="preserve"> percent </w:t>
      </w:r>
      <w:r w:rsidRPr="004345ED">
        <w:rPr>
          <w:rFonts w:asciiTheme="majorBidi" w:hAnsiTheme="majorBidi"/>
          <w:sz w:val="24"/>
          <w:szCs w:val="24"/>
        </w:rPr>
        <w:t xml:space="preserve">) of households </w:t>
      </w:r>
      <w:r w:rsidR="00E975AA" w:rsidRPr="004345ED">
        <w:rPr>
          <w:rFonts w:asciiTheme="majorBidi" w:hAnsiTheme="majorBidi"/>
          <w:sz w:val="24"/>
          <w:szCs w:val="24"/>
        </w:rPr>
        <w:t xml:space="preserve">have also taken </w:t>
      </w:r>
      <w:r w:rsidRPr="004345ED">
        <w:rPr>
          <w:rFonts w:asciiTheme="majorBidi" w:hAnsiTheme="majorBidi"/>
          <w:sz w:val="24"/>
          <w:szCs w:val="24"/>
        </w:rPr>
        <w:t xml:space="preserve">out </w:t>
      </w:r>
      <w:r w:rsidR="00E975AA" w:rsidRPr="004345ED">
        <w:rPr>
          <w:rFonts w:asciiTheme="majorBidi" w:hAnsiTheme="majorBidi"/>
          <w:sz w:val="24"/>
          <w:szCs w:val="24"/>
        </w:rPr>
        <w:t xml:space="preserve">a </w:t>
      </w:r>
      <w:r w:rsidRPr="004345ED">
        <w:rPr>
          <w:rFonts w:asciiTheme="majorBidi" w:hAnsiTheme="majorBidi"/>
          <w:sz w:val="24"/>
          <w:szCs w:val="24"/>
        </w:rPr>
        <w:t>consumer loan, in addition to the housing loan, and would therefore face not only the higher payment rate of their mortgage, but also repayment of this other loan. This state of affairs increases the vulnerability of such borrowers and the likelihood of their facing difficulties in making their monthly payment</w:t>
      </w:r>
      <w:r w:rsidR="00F81CD5" w:rsidRPr="004345ED">
        <w:rPr>
          <w:rFonts w:asciiTheme="majorBidi" w:hAnsiTheme="majorBidi"/>
          <w:sz w:val="24"/>
          <w:szCs w:val="24"/>
        </w:rPr>
        <w:t>s.</w:t>
      </w:r>
      <w:r w:rsidR="002F7067" w:rsidRPr="004345ED">
        <w:rPr>
          <w:rStyle w:val="a4"/>
          <w:rFonts w:asciiTheme="majorBidi" w:hAnsiTheme="majorBidi" w:cstheme="majorBidi"/>
          <w:sz w:val="24"/>
          <w:szCs w:val="24"/>
          <w:rtl/>
        </w:rPr>
        <w:footnoteReference w:id="16"/>
      </w:r>
      <w:r w:rsidR="00F81CD5" w:rsidRPr="004345ED">
        <w:rPr>
          <w:rFonts w:asciiTheme="majorBidi" w:hAnsiTheme="majorBidi"/>
          <w:sz w:val="24"/>
          <w:szCs w:val="24"/>
        </w:rPr>
        <w:t xml:space="preserve"> </w:t>
      </w:r>
      <w:r w:rsidRPr="004345ED">
        <w:rPr>
          <w:rFonts w:asciiTheme="majorBidi" w:hAnsiTheme="majorBidi"/>
          <w:sz w:val="24"/>
          <w:szCs w:val="24"/>
        </w:rPr>
        <w:t xml:space="preserve">This means that such borrowers would cause banks to incur losses both for housing </w:t>
      </w:r>
      <w:r w:rsidR="00555652" w:rsidRPr="004345ED">
        <w:rPr>
          <w:rFonts w:asciiTheme="majorBidi" w:hAnsiTheme="majorBidi"/>
          <w:sz w:val="24"/>
          <w:szCs w:val="24"/>
        </w:rPr>
        <w:t>credit</w:t>
      </w:r>
      <w:r w:rsidRPr="004345ED">
        <w:rPr>
          <w:rFonts w:asciiTheme="majorBidi" w:hAnsiTheme="majorBidi"/>
          <w:sz w:val="24"/>
          <w:szCs w:val="24"/>
        </w:rPr>
        <w:t xml:space="preserve"> and for consumer</w:t>
      </w:r>
      <w:r w:rsidR="00555652" w:rsidRPr="004345ED">
        <w:rPr>
          <w:rFonts w:asciiTheme="majorBidi" w:hAnsiTheme="majorBidi"/>
          <w:sz w:val="24"/>
          <w:szCs w:val="24"/>
        </w:rPr>
        <w:t xml:space="preserve"> credit</w:t>
      </w:r>
      <w:r w:rsidRPr="004345ED">
        <w:rPr>
          <w:rFonts w:asciiTheme="majorBidi" w:hAnsiTheme="majorBidi"/>
          <w:sz w:val="24"/>
          <w:szCs w:val="24"/>
        </w:rPr>
        <w:t xml:space="preserve">. (For more details see </w:t>
      </w:r>
      <w:r w:rsidR="00E12B5F" w:rsidRPr="004345ED">
        <w:rPr>
          <w:rFonts w:asciiTheme="majorBidi" w:hAnsiTheme="majorBidi"/>
          <w:sz w:val="24"/>
          <w:szCs w:val="24"/>
        </w:rPr>
        <w:t>B</w:t>
      </w:r>
      <w:r w:rsidRPr="004345ED">
        <w:rPr>
          <w:rFonts w:asciiTheme="majorBidi" w:hAnsiTheme="majorBidi"/>
          <w:sz w:val="24"/>
          <w:szCs w:val="24"/>
        </w:rPr>
        <w:t xml:space="preserve">ox </w:t>
      </w:r>
      <w:r w:rsidR="00E12B5F" w:rsidRPr="004345ED">
        <w:rPr>
          <w:rFonts w:asciiTheme="majorBidi" w:hAnsiTheme="majorBidi"/>
          <w:sz w:val="24"/>
          <w:szCs w:val="24"/>
        </w:rPr>
        <w:t>1.2</w:t>
      </w:r>
      <w:r w:rsidRPr="004345ED">
        <w:rPr>
          <w:rFonts w:asciiTheme="majorBidi" w:hAnsiTheme="majorBidi"/>
          <w:sz w:val="24"/>
          <w:szCs w:val="24"/>
        </w:rPr>
        <w:t>: "Household</w:t>
      </w:r>
      <w:r w:rsidR="00E12B5F" w:rsidRPr="004345ED">
        <w:rPr>
          <w:rFonts w:asciiTheme="majorBidi" w:hAnsiTheme="majorBidi"/>
          <w:sz w:val="24"/>
          <w:szCs w:val="24"/>
        </w:rPr>
        <w:t>s’</w:t>
      </w:r>
      <w:r w:rsidRPr="004345ED">
        <w:rPr>
          <w:rFonts w:asciiTheme="majorBidi" w:hAnsiTheme="majorBidi"/>
          <w:sz w:val="24"/>
          <w:szCs w:val="24"/>
        </w:rPr>
        <w:t xml:space="preserve"> participation in the </w:t>
      </w:r>
      <w:r w:rsidR="00E12B5F" w:rsidRPr="004345ED">
        <w:rPr>
          <w:rFonts w:asciiTheme="majorBidi" w:hAnsiTheme="majorBidi"/>
          <w:sz w:val="24"/>
          <w:szCs w:val="24"/>
        </w:rPr>
        <w:t xml:space="preserve">loans </w:t>
      </w:r>
      <w:r w:rsidRPr="004345ED">
        <w:rPr>
          <w:rFonts w:asciiTheme="majorBidi" w:hAnsiTheme="majorBidi"/>
          <w:sz w:val="24"/>
          <w:szCs w:val="24"/>
        </w:rPr>
        <w:t xml:space="preserve">market and their financial vulnerability: </w:t>
      </w:r>
      <w:r w:rsidR="00E12B5F" w:rsidRPr="004345ED">
        <w:rPr>
          <w:rFonts w:asciiTheme="majorBidi" w:hAnsiTheme="majorBidi"/>
          <w:sz w:val="24"/>
          <w:szCs w:val="24"/>
        </w:rPr>
        <w:t>an a</w:t>
      </w:r>
      <w:r w:rsidRPr="004345ED">
        <w:rPr>
          <w:rFonts w:asciiTheme="majorBidi" w:hAnsiTheme="majorBidi"/>
          <w:sz w:val="24"/>
          <w:szCs w:val="24"/>
        </w:rPr>
        <w:t>nalysis based on the household survey</w:t>
      </w:r>
      <w:r w:rsidR="00E12B5F" w:rsidRPr="004345ED">
        <w:rPr>
          <w:rFonts w:asciiTheme="majorBidi" w:hAnsiTheme="majorBidi"/>
          <w:sz w:val="24"/>
          <w:szCs w:val="24"/>
        </w:rPr>
        <w:t xml:space="preserve"> for 2016</w:t>
      </w:r>
      <w:r w:rsidRPr="004345ED">
        <w:rPr>
          <w:rFonts w:asciiTheme="majorBidi" w:hAnsiTheme="majorBidi"/>
          <w:sz w:val="24"/>
          <w:szCs w:val="24"/>
        </w:rPr>
        <w:t xml:space="preserve">", in the 2017 </w:t>
      </w:r>
      <w:r w:rsidR="00E12B5F" w:rsidRPr="004345ED">
        <w:rPr>
          <w:rFonts w:asciiTheme="majorBidi" w:hAnsiTheme="majorBidi"/>
          <w:sz w:val="24"/>
          <w:szCs w:val="24"/>
        </w:rPr>
        <w:t>Banking Supervision Department—A</w:t>
      </w:r>
      <w:r w:rsidRPr="004345ED">
        <w:rPr>
          <w:rFonts w:asciiTheme="majorBidi" w:hAnsiTheme="majorBidi"/>
          <w:sz w:val="24"/>
          <w:szCs w:val="24"/>
        </w:rPr>
        <w:t xml:space="preserve">nnual </w:t>
      </w:r>
      <w:r w:rsidR="00E12B5F" w:rsidRPr="004345ED">
        <w:rPr>
          <w:rFonts w:asciiTheme="majorBidi" w:hAnsiTheme="majorBidi"/>
          <w:sz w:val="24"/>
          <w:szCs w:val="24"/>
        </w:rPr>
        <w:t>Survey).</w:t>
      </w:r>
    </w:p>
    <w:p w:rsidR="00860E33" w:rsidRPr="004345ED" w:rsidRDefault="00860E33" w:rsidP="00155F2D">
      <w:pPr>
        <w:spacing w:line="360" w:lineRule="auto"/>
        <w:jc w:val="center"/>
        <w:rPr>
          <w:rFonts w:asciiTheme="majorBidi" w:hAnsiTheme="majorBidi" w:cstheme="majorBidi"/>
          <w:b/>
          <w:bCs/>
          <w:sz w:val="24"/>
          <w:szCs w:val="24"/>
          <w:u w:val="single"/>
        </w:rPr>
      </w:pPr>
      <w:r w:rsidRPr="004345ED">
        <w:br w:type="page"/>
      </w:r>
    </w:p>
    <w:p w:rsidR="00902BB4" w:rsidRPr="004345ED" w:rsidRDefault="00626664" w:rsidP="00155F2D">
      <w:pPr>
        <w:spacing w:line="360" w:lineRule="auto"/>
        <w:jc w:val="center"/>
        <w:rPr>
          <w:rFonts w:asciiTheme="majorBidi" w:hAnsiTheme="majorBidi" w:cstheme="majorBidi"/>
          <w:sz w:val="24"/>
          <w:szCs w:val="24"/>
        </w:rPr>
      </w:pPr>
      <w:r w:rsidRPr="004345ED">
        <w:rPr>
          <w:rFonts w:asciiTheme="majorBidi" w:hAnsiTheme="majorBidi"/>
          <w:noProof/>
          <w:sz w:val="24"/>
          <w:szCs w:val="24"/>
        </w:rPr>
        <w:lastRenderedPageBreak/>
        <mc:AlternateContent>
          <mc:Choice Requires="wps">
            <w:drawing>
              <wp:anchor distT="0" distB="0" distL="114300" distR="114300" simplePos="0" relativeHeight="251654656" behindDoc="0" locked="0" layoutInCell="1" allowOverlap="1" wp14:anchorId="636460CB" wp14:editId="1CE2365F">
                <wp:simplePos x="0" y="0"/>
                <wp:positionH relativeFrom="margin">
                  <wp:align>center</wp:align>
                </wp:positionH>
                <wp:positionV relativeFrom="paragraph">
                  <wp:posOffset>4195445</wp:posOffset>
                </wp:positionV>
                <wp:extent cx="5741894" cy="335616"/>
                <wp:effectExtent l="0" t="0" r="0" b="0"/>
                <wp:wrapNone/>
                <wp:docPr id="3" name="TextBox 8"/>
                <wp:cNvGraphicFramePr/>
                <a:graphic xmlns:a="http://schemas.openxmlformats.org/drawingml/2006/main">
                  <a:graphicData uri="http://schemas.microsoft.com/office/word/2010/wordprocessingShape">
                    <wps:wsp>
                      <wps:cNvSpPr txBox="1"/>
                      <wps:spPr>
                        <a:xfrm>
                          <a:off x="0" y="0"/>
                          <a:ext cx="5741894" cy="335616"/>
                        </a:xfrm>
                        <a:prstGeom prst="rect">
                          <a:avLst/>
                        </a:prstGeom>
                        <a:noFill/>
                        <a:ln w="9525">
                          <a:noFill/>
                        </a:ln>
                      </wps:spPr>
                      <wps:txbx>
                        <w:txbxContent>
                          <w:p w:rsidR="00C97D52" w:rsidRDefault="00626664" w:rsidP="00626664">
                            <w:pPr>
                              <w:pStyle w:val="NormalWeb"/>
                              <w:spacing w:before="0" w:beforeAutospacing="0" w:after="0" w:afterAutospacing="0"/>
                              <w:jc w:val="center"/>
                            </w:pPr>
                            <w:r>
                              <w:rPr>
                                <w:rFonts w:ascii="David" w:hAnsi="David"/>
                                <w:b/>
                                <w:bCs/>
                                <w:color w:val="4F81BD" w:themeColor="accent1"/>
                                <w:sz w:val="22"/>
                                <w:szCs w:val="22"/>
                              </w:rPr>
                              <w:t>The r</w:t>
                            </w:r>
                            <w:r w:rsidR="00C97D52">
                              <w:rPr>
                                <w:rFonts w:ascii="David" w:hAnsi="David"/>
                                <w:b/>
                                <w:bCs/>
                                <w:color w:val="4F81BD" w:themeColor="accent1"/>
                                <w:sz w:val="22"/>
                                <w:szCs w:val="22"/>
                              </w:rPr>
                              <w:t>atio of housing debt to GDP in Israel is low by international comparison</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type w14:anchorId="636460CB" id="_x0000_t202" coordsize="21600,21600" o:spt="202" path="m,l,21600r21600,l21600,xe">
                <v:stroke joinstyle="miter"/>
                <v:path gradientshapeok="t" o:connecttype="rect"/>
              </v:shapetype>
              <v:shape id="TextBox 8" o:spid="_x0000_s1026" type="#_x0000_t202" style="position:absolute;left:0;text-align:left;margin-left:0;margin-top:330.35pt;width:452.1pt;height:26.4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" filled="f" stroked="f">
                <v:textbox>
                  <w:txbxContent>
                    <w:p w:rsidR="00C97D52" w:rsidRDefault="00626664" w:rsidP="00626664">
                      <w:pPr>
                        <w:pStyle w:val="NormalWeb"/>
                        <w:spacing w:before="0" w:beforeAutospacing="0" w:after="0" w:afterAutospacing="0"/>
                        <w:jc w:val="center"/>
                      </w:pPr>
                      <w:r>
                        <w:rPr>
                          <w:rFonts w:ascii="David" w:hAnsi="David"/>
                          <w:b/>
                          <w:bCs/>
                          <w:color w:val="4F81BD" w:themeColor="accent1"/>
                          <w:sz w:val="22"/>
                          <w:szCs w:val="22"/>
                        </w:rPr>
                        <w:t>The r</w:t>
                      </w:r>
                      <w:r w:rsidR="00C97D52">
                        <w:rPr>
                          <w:rFonts w:ascii="David" w:hAnsi="David"/>
                          <w:b/>
                          <w:bCs/>
                          <w:color w:val="4F81BD" w:themeColor="accent1"/>
                          <w:sz w:val="22"/>
                          <w:szCs w:val="22"/>
                        </w:rPr>
                        <w:t>atio of housing debt to GDP in Israel is low by international comparison</w:t>
                      </w:r>
                    </w:p>
                  </w:txbxContent>
                </v:textbox>
                <w10:wrap anchorx="margin"/>
              </v:shape>
            </w:pict>
          </mc:Fallback>
        </mc:AlternateContent>
      </w:r>
      <w:r w:rsidR="00CC73A1" w:rsidRPr="004345ED">
        <w:rPr>
          <w:noProof/>
        </w:rPr>
        <w:drawing>
          <wp:inline distT="0" distB="0" distL="0" distR="0">
            <wp:extent cx="4276725" cy="420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4200525"/>
                    </a:xfrm>
                    <a:prstGeom prst="rect">
                      <a:avLst/>
                    </a:prstGeom>
                    <a:noFill/>
                    <a:ln>
                      <a:noFill/>
                    </a:ln>
                  </pic:spPr>
                </pic:pic>
              </a:graphicData>
            </a:graphic>
          </wp:inline>
        </w:drawing>
      </w:r>
      <w:r w:rsidR="00C97D52" w:rsidRPr="004345ED">
        <w:rPr>
          <w:rFonts w:asciiTheme="majorBidi" w:hAnsiTheme="majorBidi"/>
          <w:noProof/>
          <w:sz w:val="24"/>
          <w:szCs w:val="24"/>
        </w:rPr>
        <mc:AlternateContent>
          <mc:Choice Requires="wps">
            <w:drawing>
              <wp:anchor distT="0" distB="0" distL="114300" distR="114300" simplePos="0" relativeHeight="251653632" behindDoc="0" locked="0" layoutInCell="1" allowOverlap="1" wp14:anchorId="136434F4" wp14:editId="0650389B">
                <wp:simplePos x="0" y="0"/>
                <wp:positionH relativeFrom="column">
                  <wp:posOffset>-382979</wp:posOffset>
                </wp:positionH>
                <wp:positionV relativeFrom="paragraph">
                  <wp:posOffset>-338418</wp:posOffset>
                </wp:positionV>
                <wp:extent cx="6012180" cy="295275"/>
                <wp:effectExtent l="0" t="0" r="0" b="0"/>
                <wp:wrapNone/>
                <wp:docPr id="9" name="TextBox 8"/>
                <wp:cNvGraphicFramePr/>
                <a:graphic xmlns:a="http://schemas.openxmlformats.org/drawingml/2006/main">
                  <a:graphicData uri="http://schemas.microsoft.com/office/word/2010/wordprocessingShape">
                    <wps:wsp>
                      <wps:cNvSpPr txBox="1"/>
                      <wps:spPr>
                        <a:xfrm>
                          <a:off x="0" y="0"/>
                          <a:ext cx="6012180" cy="295275"/>
                        </a:xfrm>
                        <a:prstGeom prst="rect">
                          <a:avLst/>
                        </a:prstGeom>
                        <a:noFill/>
                        <a:ln w="9525">
                          <a:noFill/>
                        </a:ln>
                      </wps:spPr>
                      <wps:txbx>
                        <w:txbxContent>
                          <w:p w:rsidR="00C97D52" w:rsidRDefault="00C97D52" w:rsidP="00AC797C">
                            <w:pPr>
                              <w:pStyle w:val="NormalWeb"/>
                              <w:spacing w:before="0" w:beforeAutospacing="0" w:after="0" w:afterAutospacing="0"/>
                              <w:jc w:val="center"/>
                            </w:pPr>
                            <w:r>
                              <w:rPr>
                                <w:rFonts w:ascii="David" w:hAnsi="David"/>
                                <w:b/>
                                <w:bCs/>
                                <w:color w:val="4F81BD" w:themeColor="accent1"/>
                                <w:sz w:val="22"/>
                                <w:szCs w:val="22"/>
                              </w:rPr>
                              <w:t xml:space="preserve">Housing credit risk </w:t>
                            </w:r>
                            <w:r w:rsidR="00AC797C">
                              <w:rPr>
                                <w:rFonts w:ascii="David" w:hAnsi="David"/>
                                <w:b/>
                                <w:bCs/>
                                <w:color w:val="4F81BD" w:themeColor="accent1"/>
                                <w:sz w:val="22"/>
                                <w:szCs w:val="22"/>
                              </w:rPr>
                              <w:t>decreased</w:t>
                            </w:r>
                            <w:r>
                              <w:rPr>
                                <w:rFonts w:ascii="David" w:hAnsi="David"/>
                                <w:b/>
                                <w:bCs/>
                                <w:color w:val="4F81BD" w:themeColor="accent1"/>
                                <w:sz w:val="22"/>
                                <w:szCs w:val="22"/>
                              </w:rPr>
                              <w:t xml:space="preserve">, while its share of the overall </w:t>
                            </w:r>
                            <w:r w:rsidR="00AC797C">
                              <w:rPr>
                                <w:rFonts w:ascii="David" w:hAnsi="David"/>
                                <w:b/>
                                <w:bCs/>
                                <w:color w:val="4F81BD" w:themeColor="accent1"/>
                                <w:sz w:val="22"/>
                                <w:szCs w:val="22"/>
                              </w:rPr>
                              <w:t xml:space="preserve">credit </w:t>
                            </w:r>
                            <w:r>
                              <w:rPr>
                                <w:rFonts w:ascii="David" w:hAnsi="David"/>
                                <w:b/>
                                <w:bCs/>
                                <w:color w:val="4F81BD" w:themeColor="accent1"/>
                                <w:sz w:val="22"/>
                                <w:szCs w:val="22"/>
                              </w:rPr>
                              <w:t xml:space="preserve">portfolio </w:t>
                            </w:r>
                            <w:r w:rsidR="00AC797C">
                              <w:rPr>
                                <w:rFonts w:ascii="David" w:hAnsi="David"/>
                                <w:b/>
                                <w:bCs/>
                                <w:color w:val="4F81BD" w:themeColor="accent1"/>
                                <w:sz w:val="22"/>
                                <w:szCs w:val="22"/>
                              </w:rPr>
                              <w:t>increased.</w:t>
                            </w:r>
                          </w:p>
                        </w:txbxContent>
                      </wps:txbx>
                      <wps:bodyPr wrap="square" rtlCol="1"/>
                    </wps:wsp>
                  </a:graphicData>
                </a:graphic>
              </wp:anchor>
            </w:drawing>
          </mc:Choice>
          <mc:Fallback>
            <w:pict>
              <v:shape w14:anchorId="136434F4" id="_x0000_s1027" type="#_x0000_t202" style="position:absolute;left:0;text-align:left;margin-left:-30.15pt;margin-top:-26.65pt;width:473.4pt;height:23.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" filled="f" stroked="f">
                <v:textbox>
                  <w:txbxContent>
                    <w:p w:rsidR="00C97D52" w:rsidRDefault="00C97D52" w:rsidP="00AC797C">
                      <w:pPr>
                        <w:pStyle w:val="NormalWeb"/>
                        <w:spacing w:before="0" w:beforeAutospacing="0" w:after="0" w:afterAutospacing="0"/>
                        <w:jc w:val="center"/>
                      </w:pPr>
                      <w:r>
                        <w:rPr>
                          <w:rFonts w:ascii="David" w:hAnsi="David"/>
                          <w:b/>
                          <w:bCs/>
                          <w:color w:val="4F81BD" w:themeColor="accent1"/>
                          <w:sz w:val="22"/>
                          <w:szCs w:val="22"/>
                        </w:rPr>
                        <w:t xml:space="preserve">Housing credit risk </w:t>
                      </w:r>
                      <w:r w:rsidR="00AC797C">
                        <w:rPr>
                          <w:rFonts w:ascii="David" w:hAnsi="David"/>
                          <w:b/>
                          <w:bCs/>
                          <w:color w:val="4F81BD" w:themeColor="accent1"/>
                          <w:sz w:val="22"/>
                          <w:szCs w:val="22"/>
                        </w:rPr>
                        <w:t>decreased</w:t>
                      </w:r>
                      <w:r>
                        <w:rPr>
                          <w:rFonts w:ascii="David" w:hAnsi="David"/>
                          <w:b/>
                          <w:bCs/>
                          <w:color w:val="4F81BD" w:themeColor="accent1"/>
                          <w:sz w:val="22"/>
                          <w:szCs w:val="22"/>
                        </w:rPr>
                        <w:t xml:space="preserve">, while its share of the overall </w:t>
                      </w:r>
                      <w:r w:rsidR="00AC797C">
                        <w:rPr>
                          <w:rFonts w:ascii="David" w:hAnsi="David"/>
                          <w:b/>
                          <w:bCs/>
                          <w:color w:val="4F81BD" w:themeColor="accent1"/>
                          <w:sz w:val="22"/>
                          <w:szCs w:val="22"/>
                        </w:rPr>
                        <w:t xml:space="preserve">credit </w:t>
                      </w:r>
                      <w:r>
                        <w:rPr>
                          <w:rFonts w:ascii="David" w:hAnsi="David"/>
                          <w:b/>
                          <w:bCs/>
                          <w:color w:val="4F81BD" w:themeColor="accent1"/>
                          <w:sz w:val="22"/>
                          <w:szCs w:val="22"/>
                        </w:rPr>
                        <w:t xml:space="preserve">portfolio </w:t>
                      </w:r>
                      <w:r w:rsidR="00AC797C">
                        <w:rPr>
                          <w:rFonts w:ascii="David" w:hAnsi="David"/>
                          <w:b/>
                          <w:bCs/>
                          <w:color w:val="4F81BD" w:themeColor="accent1"/>
                          <w:sz w:val="22"/>
                          <w:szCs w:val="22"/>
                        </w:rPr>
                        <w:t>increased.</w:t>
                      </w:r>
                    </w:p>
                  </w:txbxContent>
                </v:textbox>
              </v:shape>
            </w:pict>
          </mc:Fallback>
        </mc:AlternateContent>
      </w:r>
    </w:p>
    <w:p w:rsidR="00AE18E1" w:rsidRPr="004345ED" w:rsidRDefault="00AE18E1" w:rsidP="00626664">
      <w:pPr>
        <w:spacing w:line="360" w:lineRule="auto"/>
        <w:jc w:val="center"/>
        <w:rPr>
          <w:rFonts w:asciiTheme="majorBidi" w:hAnsiTheme="majorBidi" w:cstheme="majorBidi"/>
          <w:b/>
          <w:bCs/>
          <w:sz w:val="24"/>
          <w:szCs w:val="24"/>
          <w:u w:val="single"/>
        </w:rPr>
      </w:pPr>
    </w:p>
    <w:p w:rsidR="00626664" w:rsidRPr="004345ED" w:rsidRDefault="00C66E03" w:rsidP="00155F2D">
      <w:pPr>
        <w:spacing w:line="360" w:lineRule="auto"/>
        <w:jc w:val="center"/>
        <w:rPr>
          <w:rFonts w:asciiTheme="majorBidi" w:hAnsiTheme="majorBidi" w:cstheme="majorBidi"/>
          <w:b/>
          <w:bCs/>
          <w:sz w:val="24"/>
          <w:szCs w:val="24"/>
          <w:u w:val="single"/>
          <w:rtl/>
        </w:rPr>
      </w:pPr>
      <w:r w:rsidRPr="004345ED">
        <w:rPr>
          <w:noProof/>
        </w:rPr>
        <w:drawing>
          <wp:inline distT="0" distB="0" distL="0" distR="0">
            <wp:extent cx="36195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4357" cy="3124272"/>
                    </a:xfrm>
                    <a:prstGeom prst="rect">
                      <a:avLst/>
                    </a:prstGeom>
                    <a:noFill/>
                    <a:ln>
                      <a:noFill/>
                    </a:ln>
                  </pic:spPr>
                </pic:pic>
              </a:graphicData>
            </a:graphic>
          </wp:inline>
        </w:drawing>
      </w:r>
    </w:p>
    <w:p w:rsidR="00473A60" w:rsidRPr="004345ED" w:rsidRDefault="00C97D52" w:rsidP="00155F2D">
      <w:pPr>
        <w:spacing w:line="360" w:lineRule="auto"/>
        <w:jc w:val="center"/>
        <w:rPr>
          <w:rFonts w:asciiTheme="majorBidi" w:hAnsiTheme="majorBidi" w:cstheme="majorBidi"/>
          <w:b/>
          <w:bCs/>
          <w:sz w:val="24"/>
          <w:szCs w:val="24"/>
          <w:u w:val="single"/>
        </w:rPr>
      </w:pPr>
      <w:r w:rsidRPr="004345ED">
        <w:rPr>
          <w:rFonts w:asciiTheme="majorBidi" w:hAnsiTheme="majorBidi"/>
          <w:noProof/>
          <w:sz w:val="24"/>
          <w:szCs w:val="24"/>
        </w:rPr>
        <w:lastRenderedPageBreak/>
        <mc:AlternateContent>
          <mc:Choice Requires="wps">
            <w:drawing>
              <wp:anchor distT="0" distB="0" distL="114300" distR="114300" simplePos="0" relativeHeight="251655680" behindDoc="0" locked="0" layoutInCell="1" allowOverlap="1" wp14:anchorId="795D54F2" wp14:editId="0C90CAD1">
                <wp:simplePos x="0" y="0"/>
                <wp:positionH relativeFrom="column">
                  <wp:posOffset>-228301</wp:posOffset>
                </wp:positionH>
                <wp:positionV relativeFrom="paragraph">
                  <wp:posOffset>-8516</wp:posOffset>
                </wp:positionV>
                <wp:extent cx="5712124" cy="363071"/>
                <wp:effectExtent l="0" t="0" r="0" b="0"/>
                <wp:wrapNone/>
                <wp:docPr id="14" name="TextBox 8"/>
                <wp:cNvGraphicFramePr/>
                <a:graphic xmlns:a="http://schemas.openxmlformats.org/drawingml/2006/main">
                  <a:graphicData uri="http://schemas.microsoft.com/office/word/2010/wordprocessingShape">
                    <wps:wsp>
                      <wps:cNvSpPr txBox="1"/>
                      <wps:spPr>
                        <a:xfrm>
                          <a:off x="0" y="0"/>
                          <a:ext cx="5712124" cy="363071"/>
                        </a:xfrm>
                        <a:prstGeom prst="rect">
                          <a:avLst/>
                        </a:prstGeom>
                        <a:noFill/>
                        <a:ln w="9525">
                          <a:noFill/>
                        </a:ln>
                      </wps:spPr>
                      <wps:txbx>
                        <w:txbxContent>
                          <w:p w:rsidR="00C97D52" w:rsidRDefault="00C97D52" w:rsidP="00C97D52">
                            <w:pPr>
                              <w:pStyle w:val="NormalWeb"/>
                              <w:spacing w:before="0" w:beforeAutospacing="0" w:after="0" w:afterAutospacing="0"/>
                              <w:jc w:val="center"/>
                            </w:pPr>
                            <w:r>
                              <w:rPr>
                                <w:rFonts w:ascii="David" w:hAnsi="David"/>
                                <w:b/>
                                <w:bCs/>
                                <w:color w:val="4F81BD" w:themeColor="accent1"/>
                                <w:sz w:val="22"/>
                                <w:szCs w:val="22"/>
                              </w:rPr>
                              <w:t>Most of the housing loans are extended to higher income households</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795D54F2" id="_x0000_s1028" type="#_x0000_t202" style="position:absolute;left:0;text-align:left;margin-left:-18pt;margin-top:-.65pt;width:449.75pt;height:2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" filled="f" stroked="f">
                <v:textbox>
                  <w:txbxContent>
                    <w:p w:rsidR="00C97D52" w:rsidRDefault="00C97D52" w:rsidP="00C97D52">
                      <w:pPr>
                        <w:pStyle w:val="NormalWeb"/>
                        <w:spacing w:before="0" w:beforeAutospacing="0" w:after="0" w:afterAutospacing="0"/>
                        <w:jc w:val="center"/>
                      </w:pPr>
                      <w:r>
                        <w:rPr>
                          <w:rFonts w:ascii="David" w:hAnsi="David"/>
                          <w:b/>
                          <w:bCs/>
                          <w:color w:val="4F81BD" w:themeColor="accent1"/>
                          <w:sz w:val="22"/>
                          <w:szCs w:val="22"/>
                        </w:rPr>
                        <w:t>Most of the housing loans are extended to higher income households</w:t>
                      </w:r>
                    </w:p>
                  </w:txbxContent>
                </v:textbox>
              </v:shape>
            </w:pict>
          </mc:Fallback>
        </mc:AlternateContent>
      </w:r>
    </w:p>
    <w:p w:rsidR="00C97D52" w:rsidRPr="004345ED" w:rsidRDefault="00E7428D" w:rsidP="00155F2D">
      <w:pPr>
        <w:spacing w:line="360" w:lineRule="auto"/>
        <w:jc w:val="center"/>
        <w:rPr>
          <w:rFonts w:asciiTheme="majorBidi" w:hAnsiTheme="majorBidi" w:cstheme="majorBidi"/>
          <w:b/>
          <w:bCs/>
          <w:sz w:val="24"/>
          <w:szCs w:val="24"/>
          <w:u w:val="single"/>
        </w:rPr>
      </w:pPr>
      <w:r w:rsidRPr="004345ED">
        <w:rPr>
          <w:rFonts w:asciiTheme="majorBidi" w:hAnsiTheme="majorBidi"/>
          <w:noProof/>
          <w:sz w:val="24"/>
          <w:szCs w:val="24"/>
        </w:rPr>
        <mc:AlternateContent>
          <mc:Choice Requires="wps">
            <w:drawing>
              <wp:anchor distT="0" distB="0" distL="114300" distR="114300" simplePos="0" relativeHeight="251656704" behindDoc="0" locked="0" layoutInCell="1" allowOverlap="1" wp14:anchorId="29C173FE" wp14:editId="7D8B965C">
                <wp:simplePos x="0" y="0"/>
                <wp:positionH relativeFrom="margin">
                  <wp:align>center</wp:align>
                </wp:positionH>
                <wp:positionV relativeFrom="paragraph">
                  <wp:posOffset>3905250</wp:posOffset>
                </wp:positionV>
                <wp:extent cx="5795682" cy="322729"/>
                <wp:effectExtent l="0" t="0" r="0" b="1270"/>
                <wp:wrapNone/>
                <wp:docPr id="16" name="TextBox 8"/>
                <wp:cNvGraphicFramePr/>
                <a:graphic xmlns:a="http://schemas.openxmlformats.org/drawingml/2006/main">
                  <a:graphicData uri="http://schemas.microsoft.com/office/word/2010/wordprocessingShape">
                    <wps:wsp>
                      <wps:cNvSpPr txBox="1"/>
                      <wps:spPr>
                        <a:xfrm>
                          <a:off x="0" y="0"/>
                          <a:ext cx="5795682" cy="322729"/>
                        </a:xfrm>
                        <a:prstGeom prst="rect">
                          <a:avLst/>
                        </a:prstGeom>
                        <a:noFill/>
                        <a:ln w="9525">
                          <a:noFill/>
                        </a:ln>
                      </wps:spPr>
                      <wps:txbx>
                        <w:txbxContent>
                          <w:p w:rsidR="00C97D52" w:rsidRDefault="00E7428D" w:rsidP="00E7428D">
                            <w:pPr>
                              <w:pStyle w:val="NormalWeb"/>
                              <w:spacing w:before="0" w:beforeAutospacing="0" w:after="0" w:afterAutospacing="0"/>
                              <w:jc w:val="center"/>
                            </w:pPr>
                            <w:r>
                              <w:rPr>
                                <w:rFonts w:ascii="David" w:hAnsi="David"/>
                                <w:b/>
                                <w:bCs/>
                                <w:color w:val="4F81BD" w:themeColor="accent1"/>
                                <w:sz w:val="22"/>
                                <w:szCs w:val="22"/>
                              </w:rPr>
                              <w:t>The d</w:t>
                            </w:r>
                            <w:r w:rsidR="00C97D52">
                              <w:rPr>
                                <w:rFonts w:ascii="David" w:hAnsi="David"/>
                                <w:b/>
                                <w:bCs/>
                                <w:color w:val="4F81BD" w:themeColor="accent1"/>
                                <w:sz w:val="22"/>
                                <w:szCs w:val="22"/>
                              </w:rPr>
                              <w:t xml:space="preserve">ebt to income ratio for lower income households is </w:t>
                            </w:r>
                            <w:r>
                              <w:rPr>
                                <w:rFonts w:ascii="David" w:hAnsi="David"/>
                                <w:b/>
                                <w:bCs/>
                                <w:color w:val="4F81BD" w:themeColor="accent1"/>
                                <w:sz w:val="22"/>
                                <w:szCs w:val="22"/>
                              </w:rPr>
                              <w:t xml:space="preserve">greater </w:t>
                            </w:r>
                            <w:r w:rsidR="00C97D52">
                              <w:rPr>
                                <w:rFonts w:ascii="David" w:hAnsi="David"/>
                                <w:b/>
                                <w:bCs/>
                                <w:color w:val="4F81BD" w:themeColor="accent1"/>
                                <w:sz w:val="22"/>
                                <w:szCs w:val="22"/>
                              </w:rPr>
                              <w:t>than for higher income ones</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29C173FE" id="_x0000_s1029" type="#_x0000_t202" style="position:absolute;left:0;text-align:left;margin-left:0;margin-top:307.5pt;width:456.35pt;height:25.4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" filled="f" stroked="f">
                <v:textbox>
                  <w:txbxContent>
                    <w:p w:rsidR="00C97D52" w:rsidRDefault="00E7428D" w:rsidP="00E7428D">
                      <w:pPr>
                        <w:pStyle w:val="NormalWeb"/>
                        <w:spacing w:before="0" w:beforeAutospacing="0" w:after="0" w:afterAutospacing="0"/>
                        <w:jc w:val="center"/>
                      </w:pPr>
                      <w:r>
                        <w:rPr>
                          <w:rFonts w:ascii="David" w:hAnsi="David"/>
                          <w:b/>
                          <w:bCs/>
                          <w:color w:val="4F81BD" w:themeColor="accent1"/>
                          <w:sz w:val="22"/>
                          <w:szCs w:val="22"/>
                        </w:rPr>
                        <w:t>The d</w:t>
                      </w:r>
                      <w:r w:rsidR="00C97D52">
                        <w:rPr>
                          <w:rFonts w:ascii="David" w:hAnsi="David"/>
                          <w:b/>
                          <w:bCs/>
                          <w:color w:val="4F81BD" w:themeColor="accent1"/>
                          <w:sz w:val="22"/>
                          <w:szCs w:val="22"/>
                        </w:rPr>
                        <w:t xml:space="preserve">ebt to income ratio for lower income households is </w:t>
                      </w:r>
                      <w:r>
                        <w:rPr>
                          <w:rFonts w:ascii="David" w:hAnsi="David"/>
                          <w:b/>
                          <w:bCs/>
                          <w:color w:val="4F81BD" w:themeColor="accent1"/>
                          <w:sz w:val="22"/>
                          <w:szCs w:val="22"/>
                        </w:rPr>
                        <w:t xml:space="preserve">greater </w:t>
                      </w:r>
                      <w:r w:rsidR="00C97D52">
                        <w:rPr>
                          <w:rFonts w:ascii="David" w:hAnsi="David"/>
                          <w:b/>
                          <w:bCs/>
                          <w:color w:val="4F81BD" w:themeColor="accent1"/>
                          <w:sz w:val="22"/>
                          <w:szCs w:val="22"/>
                        </w:rPr>
                        <w:t>than for higher income ones</w:t>
                      </w:r>
                    </w:p>
                  </w:txbxContent>
                </v:textbox>
                <w10:wrap anchorx="margin"/>
              </v:shape>
            </w:pict>
          </mc:Fallback>
        </mc:AlternateContent>
      </w:r>
      <w:r w:rsidR="001A780C" w:rsidRPr="004345ED">
        <w:rPr>
          <w:noProof/>
        </w:rPr>
        <w:drawing>
          <wp:inline distT="0" distB="0" distL="0" distR="0">
            <wp:extent cx="4144367" cy="3724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0108" cy="3738421"/>
                    </a:xfrm>
                    <a:prstGeom prst="rect">
                      <a:avLst/>
                    </a:prstGeom>
                    <a:noFill/>
                    <a:ln>
                      <a:noFill/>
                    </a:ln>
                  </pic:spPr>
                </pic:pic>
              </a:graphicData>
            </a:graphic>
          </wp:inline>
        </w:drawing>
      </w:r>
    </w:p>
    <w:p w:rsidR="00292C31" w:rsidRPr="004345ED" w:rsidRDefault="00292C31" w:rsidP="00155F2D">
      <w:pPr>
        <w:spacing w:line="360" w:lineRule="auto"/>
        <w:jc w:val="center"/>
        <w:rPr>
          <w:rFonts w:asciiTheme="majorBidi" w:hAnsiTheme="majorBidi" w:cstheme="majorBidi"/>
          <w:noProof/>
          <w:sz w:val="24"/>
          <w:szCs w:val="24"/>
        </w:rPr>
      </w:pPr>
    </w:p>
    <w:p w:rsidR="00D955C1" w:rsidRPr="004345ED" w:rsidRDefault="001A780C" w:rsidP="00155F2D">
      <w:pPr>
        <w:spacing w:line="360" w:lineRule="auto"/>
        <w:jc w:val="center"/>
        <w:rPr>
          <w:rFonts w:asciiTheme="majorBidi" w:hAnsiTheme="majorBidi" w:cstheme="majorBidi"/>
          <w:b/>
          <w:bCs/>
          <w:sz w:val="24"/>
          <w:szCs w:val="24"/>
          <w:u w:val="single"/>
        </w:rPr>
      </w:pPr>
      <w:r w:rsidRPr="004345ED">
        <w:rPr>
          <w:noProof/>
        </w:rPr>
        <w:drawing>
          <wp:inline distT="0" distB="0" distL="0" distR="0">
            <wp:extent cx="3657600" cy="31442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0375" cy="3146638"/>
                    </a:xfrm>
                    <a:prstGeom prst="rect">
                      <a:avLst/>
                    </a:prstGeom>
                    <a:noFill/>
                    <a:ln>
                      <a:noFill/>
                    </a:ln>
                  </pic:spPr>
                </pic:pic>
              </a:graphicData>
            </a:graphic>
          </wp:inline>
        </w:drawing>
      </w:r>
    </w:p>
    <w:p w:rsidR="00E7428D" w:rsidRPr="004345ED" w:rsidRDefault="002273BB" w:rsidP="00155F2D">
      <w:pPr>
        <w:spacing w:line="360" w:lineRule="auto"/>
        <w:jc w:val="center"/>
        <w:rPr>
          <w:rFonts w:asciiTheme="majorBidi" w:hAnsiTheme="majorBidi" w:cstheme="majorBidi"/>
          <w:b/>
          <w:bCs/>
          <w:sz w:val="24"/>
          <w:szCs w:val="24"/>
          <w:u w:val="single"/>
        </w:rPr>
      </w:pPr>
      <w:r w:rsidRPr="004345ED">
        <w:rPr>
          <w:rFonts w:asciiTheme="majorBidi" w:hAnsiTheme="majorBidi"/>
          <w:noProof/>
          <w:sz w:val="24"/>
          <w:szCs w:val="24"/>
        </w:rPr>
        <mc:AlternateContent>
          <mc:Choice Requires="wps">
            <w:drawing>
              <wp:anchor distT="0" distB="0" distL="114300" distR="114300" simplePos="0" relativeHeight="251661824" behindDoc="0" locked="0" layoutInCell="1" allowOverlap="1" wp14:anchorId="67708537" wp14:editId="62B37E66">
                <wp:simplePos x="0" y="0"/>
                <wp:positionH relativeFrom="margin">
                  <wp:align>right</wp:align>
                </wp:positionH>
                <wp:positionV relativeFrom="paragraph">
                  <wp:posOffset>-28575</wp:posOffset>
                </wp:positionV>
                <wp:extent cx="5274310" cy="400050"/>
                <wp:effectExtent l="0" t="0" r="0" b="0"/>
                <wp:wrapNone/>
                <wp:docPr id="18" name="TextBox 8"/>
                <wp:cNvGraphicFramePr/>
                <a:graphic xmlns:a="http://schemas.openxmlformats.org/drawingml/2006/main">
                  <a:graphicData uri="http://schemas.microsoft.com/office/word/2010/wordprocessingShape">
                    <wps:wsp>
                      <wps:cNvSpPr txBox="1"/>
                      <wps:spPr>
                        <a:xfrm>
                          <a:off x="0" y="0"/>
                          <a:ext cx="5274310" cy="400050"/>
                        </a:xfrm>
                        <a:prstGeom prst="rect">
                          <a:avLst/>
                        </a:prstGeom>
                        <a:noFill/>
                        <a:ln w="9525">
                          <a:noFill/>
                        </a:ln>
                      </wps:spPr>
                      <wps:txbx>
                        <w:txbxContent>
                          <w:p w:rsidR="00D955C1" w:rsidRDefault="002273BB" w:rsidP="001D0872">
                            <w:pPr>
                              <w:pStyle w:val="NormalWeb"/>
                              <w:spacing w:before="0" w:beforeAutospacing="0" w:after="0" w:afterAutospacing="0"/>
                              <w:jc w:val="center"/>
                            </w:pPr>
                            <w:r>
                              <w:rPr>
                                <w:rFonts w:ascii="David" w:hAnsi="David"/>
                                <w:b/>
                                <w:bCs/>
                                <w:color w:val="4F81BD" w:themeColor="accent1"/>
                                <w:sz w:val="22"/>
                                <w:szCs w:val="22"/>
                              </w:rPr>
                              <w:t xml:space="preserve">The </w:t>
                            </w:r>
                            <w:r w:rsidR="001D0872">
                              <w:rPr>
                                <w:rFonts w:ascii="David" w:hAnsi="David"/>
                                <w:b/>
                                <w:bCs/>
                                <w:color w:val="4F81BD" w:themeColor="accent1"/>
                                <w:sz w:val="22"/>
                                <w:szCs w:val="22"/>
                              </w:rPr>
                              <w:t xml:space="preserve">payment </w:t>
                            </w:r>
                            <w:r w:rsidR="00D955C1">
                              <w:rPr>
                                <w:rFonts w:ascii="David" w:hAnsi="David"/>
                                <w:b/>
                                <w:bCs/>
                                <w:color w:val="4F81BD" w:themeColor="accent1"/>
                                <w:sz w:val="22"/>
                                <w:szCs w:val="22"/>
                              </w:rPr>
                              <w:t>to income ratio increases under the stress scenario for all borrowers, but is higher for lower income households</w:t>
                            </w:r>
                          </w:p>
                        </w:txbxContent>
                      </wps:txbx>
                      <wps:bodyPr wrap="square" rtlCol="1"/>
                    </wps:wsp>
                  </a:graphicData>
                </a:graphic>
                <wp14:sizeRelH relativeFrom="margin">
                  <wp14:pctWidth>0</wp14:pctWidth>
                </wp14:sizeRelH>
              </wp:anchor>
            </w:drawing>
          </mc:Choice>
          <mc:Fallback>
            <w:pict>
              <v:shape w14:anchorId="67708537" id="_x0000_s1030" type="#_x0000_t202" style="position:absolute;left:0;text-align:left;margin-left:364.1pt;margin-top:-2.25pt;width:415.3pt;height:31.5pt;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" filled="f" stroked="f">
                <v:textbox>
                  <w:txbxContent>
                    <w:p w:rsidR="00D955C1" w:rsidRDefault="002273BB" w:rsidP="001D0872">
                      <w:pPr>
                        <w:pStyle w:val="NormalWeb"/>
                        <w:spacing w:before="0" w:beforeAutospacing="0" w:after="0" w:afterAutospacing="0"/>
                        <w:jc w:val="center"/>
                      </w:pPr>
                      <w:r>
                        <w:rPr>
                          <w:rFonts w:ascii="David" w:hAnsi="David"/>
                          <w:b/>
                          <w:bCs/>
                          <w:color w:val="4F81BD" w:themeColor="accent1"/>
                          <w:sz w:val="22"/>
                          <w:szCs w:val="22"/>
                        </w:rPr>
                        <w:t xml:space="preserve">The </w:t>
                      </w:r>
                      <w:r w:rsidR="001D0872">
                        <w:rPr>
                          <w:rFonts w:ascii="David" w:hAnsi="David"/>
                          <w:b/>
                          <w:bCs/>
                          <w:color w:val="4F81BD" w:themeColor="accent1"/>
                          <w:sz w:val="22"/>
                          <w:szCs w:val="22"/>
                        </w:rPr>
                        <w:t xml:space="preserve">payment </w:t>
                      </w:r>
                      <w:r w:rsidR="00D955C1">
                        <w:rPr>
                          <w:rFonts w:ascii="David" w:hAnsi="David"/>
                          <w:b/>
                          <w:bCs/>
                          <w:color w:val="4F81BD" w:themeColor="accent1"/>
                          <w:sz w:val="22"/>
                          <w:szCs w:val="22"/>
                        </w:rPr>
                        <w:t>to income ratio increases under the stress scenario for all borrowers, but is higher for lower income households</w:t>
                      </w:r>
                    </w:p>
                  </w:txbxContent>
                </v:textbox>
                <w10:wrap anchorx="margin"/>
              </v:shape>
            </w:pict>
          </mc:Fallback>
        </mc:AlternateContent>
      </w:r>
    </w:p>
    <w:p w:rsidR="00E7428D" w:rsidRPr="004345ED" w:rsidRDefault="00DA7F06" w:rsidP="00155F2D">
      <w:pPr>
        <w:spacing w:line="360" w:lineRule="auto"/>
        <w:jc w:val="center"/>
        <w:rPr>
          <w:rFonts w:asciiTheme="majorBidi" w:hAnsiTheme="majorBidi" w:cstheme="majorBidi"/>
          <w:b/>
          <w:bCs/>
          <w:sz w:val="24"/>
          <w:szCs w:val="24"/>
          <w:u w:val="single"/>
        </w:rPr>
      </w:pPr>
      <w:r w:rsidRPr="004345ED">
        <w:rPr>
          <w:noProof/>
        </w:rPr>
        <w:lastRenderedPageBreak/>
        <w:drawing>
          <wp:inline distT="0" distB="0" distL="0" distR="0">
            <wp:extent cx="3667125" cy="31524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423" cy="3160434"/>
                    </a:xfrm>
                    <a:prstGeom prst="rect">
                      <a:avLst/>
                    </a:prstGeom>
                    <a:noFill/>
                    <a:ln>
                      <a:noFill/>
                    </a:ln>
                  </pic:spPr>
                </pic:pic>
              </a:graphicData>
            </a:graphic>
          </wp:inline>
        </w:drawing>
      </w:r>
    </w:p>
    <w:p w:rsidR="00B84699" w:rsidRPr="004345ED" w:rsidRDefault="002A7C99" w:rsidP="00155F2D">
      <w:pPr>
        <w:spacing w:line="360" w:lineRule="auto"/>
        <w:jc w:val="center"/>
        <w:rPr>
          <w:rFonts w:asciiTheme="majorBidi" w:hAnsiTheme="majorBidi" w:cstheme="majorBidi"/>
          <w:b/>
          <w:bCs/>
          <w:sz w:val="24"/>
          <w:szCs w:val="24"/>
          <w:u w:val="single"/>
        </w:rPr>
      </w:pPr>
      <w:r w:rsidRPr="004345ED">
        <w:rPr>
          <w:rFonts w:asciiTheme="majorBidi" w:hAnsiTheme="majorBidi"/>
          <w:noProof/>
          <w:sz w:val="24"/>
          <w:szCs w:val="24"/>
        </w:rPr>
        <mc:AlternateContent>
          <mc:Choice Requires="wps">
            <w:drawing>
              <wp:anchor distT="0" distB="0" distL="114300" distR="114300" simplePos="0" relativeHeight="251657728" behindDoc="0" locked="0" layoutInCell="1" allowOverlap="1" wp14:anchorId="4CA31E7D" wp14:editId="28D57D46">
                <wp:simplePos x="0" y="0"/>
                <wp:positionH relativeFrom="column">
                  <wp:posOffset>-419100</wp:posOffset>
                </wp:positionH>
                <wp:positionV relativeFrom="paragraph">
                  <wp:posOffset>23495</wp:posOffset>
                </wp:positionV>
                <wp:extent cx="6219825" cy="342900"/>
                <wp:effectExtent l="0" t="0" r="0" b="0"/>
                <wp:wrapNone/>
                <wp:docPr id="5" name="TextBox 8"/>
                <wp:cNvGraphicFramePr/>
                <a:graphic xmlns:a="http://schemas.openxmlformats.org/drawingml/2006/main">
                  <a:graphicData uri="http://schemas.microsoft.com/office/word/2010/wordprocessingShape">
                    <wps:wsp>
                      <wps:cNvSpPr txBox="1"/>
                      <wps:spPr>
                        <a:xfrm>
                          <a:off x="0" y="0"/>
                          <a:ext cx="6219825" cy="342900"/>
                        </a:xfrm>
                        <a:prstGeom prst="rect">
                          <a:avLst/>
                        </a:prstGeom>
                        <a:noFill/>
                        <a:ln w="9525">
                          <a:noFill/>
                        </a:ln>
                      </wps:spPr>
                      <wps:txbx>
                        <w:txbxContent>
                          <w:p w:rsidR="002A7C99" w:rsidRDefault="00F93A88" w:rsidP="002A7C99">
                            <w:pPr>
                              <w:pStyle w:val="NormalWeb"/>
                              <w:spacing w:before="0" w:beforeAutospacing="0" w:after="0" w:afterAutospacing="0"/>
                              <w:jc w:val="center"/>
                            </w:pPr>
                            <w:r w:rsidRPr="00F93A88">
                              <w:rPr>
                                <w:noProof/>
                              </w:rPr>
                              <w:drawing>
                                <wp:inline distT="0" distB="0" distL="0" distR="0">
                                  <wp:extent cx="5743575" cy="238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238125"/>
                                          </a:xfrm>
                                          <a:prstGeom prst="rect">
                                            <a:avLst/>
                                          </a:prstGeom>
                                          <a:noFill/>
                                          <a:ln>
                                            <a:noFill/>
                                          </a:ln>
                                        </pic:spPr>
                                      </pic:pic>
                                    </a:graphicData>
                                  </a:graphic>
                                </wp:inline>
                              </w:drawing>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4CA31E7D" id="_x0000_s1031" type="#_x0000_t202" style="position:absolute;left:0;text-align:left;margin-left:-33pt;margin-top:1.85pt;width:489.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" filled="f" stroked="f">
                <v:textbox>
                  <w:txbxContent>
                    <w:p w:rsidR="002A7C99" w:rsidRDefault="00F93A88" w:rsidP="002A7C99">
                      <w:pPr>
                        <w:pStyle w:val="NormalWeb"/>
                        <w:spacing w:before="0" w:beforeAutospacing="0" w:after="0" w:afterAutospacing="0"/>
                        <w:jc w:val="center"/>
                      </w:pPr>
                      <w:r w:rsidRPr="00F93A88">
                        <w:rPr>
                          <w:noProof/>
                        </w:rPr>
                        <w:drawing>
                          <wp:inline distT="0" distB="0" distL="0" distR="0">
                            <wp:extent cx="5743575" cy="238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238125"/>
                                    </a:xfrm>
                                    <a:prstGeom prst="rect">
                                      <a:avLst/>
                                    </a:prstGeom>
                                    <a:noFill/>
                                    <a:ln>
                                      <a:noFill/>
                                    </a:ln>
                                  </pic:spPr>
                                </pic:pic>
                              </a:graphicData>
                            </a:graphic>
                          </wp:inline>
                        </w:drawing>
                      </w:r>
                    </w:p>
                  </w:txbxContent>
                </v:textbox>
              </v:shape>
            </w:pict>
          </mc:Fallback>
        </mc:AlternateContent>
      </w:r>
    </w:p>
    <w:p w:rsidR="00DA7F06" w:rsidRPr="004345ED" w:rsidRDefault="00DA7F06" w:rsidP="00155F2D">
      <w:pPr>
        <w:spacing w:line="360" w:lineRule="auto"/>
        <w:jc w:val="center"/>
        <w:rPr>
          <w:rFonts w:asciiTheme="majorBidi" w:hAnsiTheme="majorBidi" w:cstheme="majorBidi"/>
          <w:b/>
          <w:bCs/>
          <w:sz w:val="24"/>
          <w:szCs w:val="24"/>
          <w:u w:val="single"/>
        </w:rPr>
      </w:pPr>
      <w:r w:rsidRPr="004345ED">
        <w:rPr>
          <w:noProof/>
        </w:rPr>
        <w:drawing>
          <wp:inline distT="0" distB="0" distL="0" distR="0">
            <wp:extent cx="3371850" cy="3161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5950" cy="3165365"/>
                    </a:xfrm>
                    <a:prstGeom prst="rect">
                      <a:avLst/>
                    </a:prstGeom>
                    <a:noFill/>
                    <a:ln>
                      <a:noFill/>
                    </a:ln>
                  </pic:spPr>
                </pic:pic>
              </a:graphicData>
            </a:graphic>
          </wp:inline>
        </w:drawing>
      </w:r>
    </w:p>
    <w:p w:rsidR="00DA7F06" w:rsidRPr="004345ED" w:rsidRDefault="00DA7F06" w:rsidP="00155F2D">
      <w:pPr>
        <w:spacing w:line="360" w:lineRule="auto"/>
        <w:jc w:val="center"/>
        <w:rPr>
          <w:rFonts w:asciiTheme="majorBidi" w:hAnsiTheme="majorBidi" w:cstheme="majorBidi"/>
          <w:b/>
          <w:bCs/>
          <w:sz w:val="24"/>
          <w:szCs w:val="24"/>
          <w:u w:val="single"/>
        </w:rPr>
      </w:pPr>
    </w:p>
    <w:p w:rsidR="00F93A88" w:rsidRPr="004345ED" w:rsidRDefault="00F93A88" w:rsidP="00F93A88">
      <w:pPr>
        <w:pStyle w:val="NormalWeb"/>
        <w:spacing w:before="0" w:beforeAutospacing="0" w:after="0" w:afterAutospacing="0"/>
        <w:jc w:val="center"/>
      </w:pPr>
      <w:r w:rsidRPr="004345ED">
        <w:rPr>
          <w:rFonts w:ascii="David" w:hAnsi="David"/>
          <w:b/>
          <w:bCs/>
          <w:sz w:val="22"/>
          <w:szCs w:val="22"/>
        </w:rPr>
        <w:t>Higher interest rates under this scenario would increase the monthly payment for all borrowers</w:t>
      </w:r>
    </w:p>
    <w:p w:rsidR="00DA7F06" w:rsidRPr="004345ED" w:rsidRDefault="00DA7F06" w:rsidP="00DA7F06">
      <w:pPr>
        <w:spacing w:line="360" w:lineRule="auto"/>
        <w:jc w:val="center"/>
        <w:rPr>
          <w:rFonts w:asciiTheme="majorBidi" w:hAnsiTheme="majorBidi" w:cstheme="majorBidi"/>
          <w:b/>
          <w:bCs/>
          <w:sz w:val="24"/>
          <w:szCs w:val="24"/>
          <w:u w:val="single"/>
        </w:rPr>
      </w:pPr>
      <w:r w:rsidRPr="004345ED">
        <w:rPr>
          <w:noProof/>
        </w:rPr>
        <w:lastRenderedPageBreak/>
        <w:drawing>
          <wp:inline distT="0" distB="0" distL="0" distR="0">
            <wp:extent cx="4886325" cy="4200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4200525"/>
                    </a:xfrm>
                    <a:prstGeom prst="rect">
                      <a:avLst/>
                    </a:prstGeom>
                    <a:noFill/>
                    <a:ln>
                      <a:noFill/>
                    </a:ln>
                  </pic:spPr>
                </pic:pic>
              </a:graphicData>
            </a:graphic>
          </wp:inline>
        </w:drawing>
      </w:r>
    </w:p>
    <w:p w:rsidR="00DA7F06" w:rsidRPr="004345ED" w:rsidRDefault="00DA7F06" w:rsidP="00DA7F06">
      <w:pPr>
        <w:spacing w:line="360" w:lineRule="auto"/>
        <w:jc w:val="center"/>
        <w:rPr>
          <w:rFonts w:asciiTheme="majorBidi" w:hAnsiTheme="majorBidi" w:cstheme="majorBidi"/>
          <w:b/>
          <w:bCs/>
          <w:sz w:val="24"/>
          <w:szCs w:val="24"/>
          <w:u w:val="single"/>
        </w:rPr>
      </w:pPr>
    </w:p>
    <w:sectPr w:rsidR="00DA7F06" w:rsidRPr="004345ED" w:rsidSect="00F85B28">
      <w:head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48" w:rsidRDefault="00F95C48" w:rsidP="004242CA">
      <w:pPr>
        <w:spacing w:after="0" w:line="240" w:lineRule="auto"/>
      </w:pPr>
      <w:r>
        <w:separator/>
      </w:r>
    </w:p>
  </w:endnote>
  <w:endnote w:type="continuationSeparator" w:id="0">
    <w:p w:rsidR="00F95C48" w:rsidRDefault="00F95C48" w:rsidP="0042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48" w:rsidRDefault="00F95C48" w:rsidP="004242CA">
      <w:pPr>
        <w:spacing w:after="0" w:line="240" w:lineRule="auto"/>
      </w:pPr>
      <w:r>
        <w:separator/>
      </w:r>
    </w:p>
  </w:footnote>
  <w:footnote w:type="continuationSeparator" w:id="0">
    <w:p w:rsidR="00F95C48" w:rsidRDefault="00F95C48" w:rsidP="004242CA">
      <w:pPr>
        <w:spacing w:after="0" w:line="240" w:lineRule="auto"/>
      </w:pPr>
      <w:r>
        <w:continuationSeparator/>
      </w:r>
    </w:p>
  </w:footnote>
  <w:footnote w:id="1">
    <w:p w:rsidR="00BC015E" w:rsidRPr="009654F2" w:rsidRDefault="00EB5E4A" w:rsidP="00155F2D">
      <w:pPr>
        <w:ind w:left="360" w:hanging="360"/>
        <w:rPr>
          <w:rFonts w:asciiTheme="majorBidi" w:hAnsiTheme="majorBidi" w:cstheme="majorBidi"/>
          <w:sz w:val="20"/>
          <w:szCs w:val="20"/>
        </w:rPr>
      </w:pPr>
      <w:r>
        <w:rPr>
          <w:rFonts w:asciiTheme="majorBidi" w:hAnsiTheme="majorBidi"/>
          <w:sz w:val="20"/>
          <w:szCs w:val="20"/>
          <w:vertAlign w:val="superscript"/>
        </w:rPr>
        <w:t>1</w:t>
      </w:r>
      <w:r>
        <w:rPr>
          <w:rFonts w:asciiTheme="majorBidi" w:hAnsiTheme="majorBidi"/>
          <w:sz w:val="20"/>
          <w:szCs w:val="20"/>
        </w:rPr>
        <w:tab/>
        <w:t xml:space="preserve">Bottom two quintiles in net income: Households with net monthly income of up to NIS 10,612. </w:t>
      </w:r>
    </w:p>
  </w:footnote>
  <w:footnote w:id="2">
    <w:p w:rsidR="00213865" w:rsidRPr="00155F2D" w:rsidRDefault="00213865" w:rsidP="00155F2D">
      <w:pPr>
        <w:pStyle w:val="a8"/>
        <w:spacing w:line="276" w:lineRule="auto"/>
        <w:ind w:left="360" w:hanging="360"/>
        <w:jc w:val="both"/>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Such as the prohibition on extending loans with payment to income ratio over 50</w:t>
      </w:r>
      <w:r w:rsidR="007676E9">
        <w:rPr>
          <w:rFonts w:asciiTheme="majorBidi" w:hAnsiTheme="majorBidi" w:cstheme="majorBidi"/>
        </w:rPr>
        <w:t xml:space="preserve"> percent</w:t>
      </w:r>
      <w:r w:rsidRPr="00155F2D">
        <w:rPr>
          <w:rFonts w:asciiTheme="majorBidi" w:hAnsiTheme="majorBidi" w:cstheme="majorBidi"/>
        </w:rPr>
        <w:t xml:space="preserve"> and the required further capital allocation with respect to loans with LTV ratio over 40</w:t>
      </w:r>
      <w:r w:rsidR="007676E9">
        <w:rPr>
          <w:rFonts w:asciiTheme="majorBidi" w:hAnsiTheme="majorBidi" w:cstheme="majorBidi"/>
        </w:rPr>
        <w:t xml:space="preserve"> percent</w:t>
      </w:r>
      <w:r w:rsidRPr="00155F2D">
        <w:rPr>
          <w:rFonts w:asciiTheme="majorBidi" w:hAnsiTheme="majorBidi" w:cstheme="majorBidi"/>
        </w:rPr>
        <w:t xml:space="preserve"> (as from August 2013).  </w:t>
      </w:r>
    </w:p>
  </w:footnote>
  <w:footnote w:id="3">
    <w:p w:rsidR="007C3DC8" w:rsidRPr="009654F2" w:rsidRDefault="007C3DC8" w:rsidP="000F3C17">
      <w:pPr>
        <w:ind w:left="360" w:hanging="360"/>
        <w:jc w:val="both"/>
        <w:rPr>
          <w:rFonts w:asciiTheme="majorBidi" w:hAnsiTheme="majorBidi" w:cstheme="majorBidi"/>
          <w:sz w:val="20"/>
          <w:szCs w:val="20"/>
        </w:rPr>
      </w:pPr>
      <w:r w:rsidRPr="00155F2D">
        <w:rPr>
          <w:rStyle w:val="a4"/>
          <w:rFonts w:asciiTheme="majorBidi" w:hAnsiTheme="majorBidi" w:cstheme="majorBidi"/>
          <w:sz w:val="20"/>
          <w:szCs w:val="20"/>
        </w:rPr>
        <w:footnoteRef/>
      </w:r>
      <w:r w:rsidRPr="00155F2D">
        <w:rPr>
          <w:rFonts w:asciiTheme="majorBidi" w:hAnsiTheme="majorBidi" w:cstheme="majorBidi"/>
          <w:sz w:val="20"/>
          <w:szCs w:val="20"/>
        </w:rPr>
        <w:tab/>
        <w:t>PTI is a key variable in assessing the probability of borrower default, since it reflects the household capacity to make the mortgage payment. It was found that financially vulnerable households are those with PTI ratio over 40</w:t>
      </w:r>
      <w:r w:rsidR="007676E9">
        <w:rPr>
          <w:rFonts w:asciiTheme="majorBidi" w:hAnsiTheme="majorBidi" w:cstheme="majorBidi"/>
          <w:sz w:val="20"/>
          <w:szCs w:val="20"/>
        </w:rPr>
        <w:t xml:space="preserve"> percent</w:t>
      </w:r>
      <w:r w:rsidRPr="00155F2D">
        <w:rPr>
          <w:rFonts w:asciiTheme="majorBidi" w:hAnsiTheme="majorBidi" w:cstheme="majorBidi"/>
          <w:sz w:val="20"/>
          <w:szCs w:val="20"/>
        </w:rPr>
        <w:t xml:space="preserve">. Ong, M. L. L. (2014). </w:t>
      </w:r>
      <w:r w:rsidR="000F3C17">
        <w:rPr>
          <w:rFonts w:asciiTheme="majorBidi" w:hAnsiTheme="majorBidi" w:cstheme="majorBidi"/>
          <w:sz w:val="20"/>
          <w:szCs w:val="20"/>
        </w:rPr>
        <w:t>“</w:t>
      </w:r>
      <w:r w:rsidRPr="00155F2D">
        <w:rPr>
          <w:rFonts w:asciiTheme="majorBidi" w:hAnsiTheme="majorBidi" w:cstheme="majorBidi"/>
          <w:sz w:val="20"/>
          <w:szCs w:val="20"/>
        </w:rPr>
        <w:t>A guide to IMF stress testing: methods and models</w:t>
      </w:r>
      <w:r w:rsidR="000F3C17">
        <w:rPr>
          <w:rFonts w:asciiTheme="majorBidi" w:hAnsiTheme="majorBidi" w:cstheme="majorBidi"/>
          <w:sz w:val="20"/>
          <w:szCs w:val="20"/>
        </w:rPr>
        <w:t xml:space="preserve">”, </w:t>
      </w:r>
      <w:r w:rsidRPr="00155F2D">
        <w:rPr>
          <w:rFonts w:asciiTheme="majorBidi" w:hAnsiTheme="majorBidi" w:cstheme="majorBidi"/>
          <w:sz w:val="20"/>
          <w:szCs w:val="20"/>
        </w:rPr>
        <w:t>International Monetary Fund</w:t>
      </w:r>
      <w:r w:rsidR="000F3C17">
        <w:rPr>
          <w:rFonts w:asciiTheme="majorBidi" w:hAnsiTheme="majorBidi" w:cstheme="majorBidi"/>
          <w:sz w:val="20"/>
          <w:szCs w:val="20"/>
        </w:rPr>
        <w:t>.</w:t>
      </w:r>
    </w:p>
  </w:footnote>
  <w:footnote w:id="4">
    <w:p w:rsidR="00157F69" w:rsidRPr="00155F2D" w:rsidRDefault="00157F69" w:rsidP="00155F2D">
      <w:pPr>
        <w:pStyle w:val="HTML"/>
        <w:shd w:val="clear" w:color="auto" w:fill="FFFFFF"/>
        <w:spacing w:line="276" w:lineRule="auto"/>
        <w:ind w:left="360" w:hanging="360"/>
        <w:jc w:val="both"/>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 xml:space="preserve">Test based on loan-level data, used to estimate the potential impact of a stress scenario on the banking system. </w:t>
      </w:r>
    </w:p>
  </w:footnote>
  <w:footnote w:id="5">
    <w:p w:rsidR="007B7C3F" w:rsidRPr="00155F2D" w:rsidRDefault="007B7C3F" w:rsidP="00155F2D">
      <w:pPr>
        <w:pStyle w:val="a8"/>
        <w:spacing w:line="276" w:lineRule="auto"/>
        <w:ind w:left="360" w:hanging="360"/>
        <w:jc w:val="both"/>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For mortgages originated in prior years and in 2018, the analysis was also based on aggregate housing loan data.</w:t>
      </w:r>
    </w:p>
  </w:footnote>
  <w:footnote w:id="6">
    <w:p w:rsidR="006F329F" w:rsidRPr="00155F2D" w:rsidRDefault="006F329F" w:rsidP="00155F2D">
      <w:pPr>
        <w:pStyle w:val="a8"/>
        <w:spacing w:line="276" w:lineRule="auto"/>
        <w:ind w:left="360" w:hanging="360"/>
        <w:jc w:val="both"/>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Income quintiles were determined by net monthly household income, based on the income survey conducted by the Central Bureau of Statistics in 2017 in households headed by a salary earner. This classification resulted in the following income quintiles: Bottom quintile – up to NIS 6,053; second quintile – NIS 6,053-10,612; third quintile – NIS 10,612-15,456; fourth quintile – NIS 15,456-22,644; top quintile – over NIS 22,644.</w:t>
      </w:r>
    </w:p>
  </w:footnote>
  <w:footnote w:id="7">
    <w:p w:rsidR="00974D88" w:rsidRPr="009654F2" w:rsidRDefault="00974D88" w:rsidP="00155F2D">
      <w:pPr>
        <w:pStyle w:val="1"/>
        <w:keepNext w:val="0"/>
        <w:spacing w:line="276" w:lineRule="auto"/>
        <w:ind w:left="360" w:hanging="360"/>
        <w:jc w:val="left"/>
        <w:rPr>
          <w:rFonts w:asciiTheme="majorBidi" w:hAnsiTheme="majorBidi" w:cstheme="majorBidi"/>
          <w:sz w:val="20"/>
          <w:szCs w:val="20"/>
        </w:rPr>
      </w:pPr>
      <w:r>
        <w:rPr>
          <w:rFonts w:asciiTheme="majorBidi" w:eastAsiaTheme="minorHAnsi" w:hAnsiTheme="majorBidi" w:cstheme="majorBidi"/>
          <w:b w:val="0"/>
          <w:bCs w:val="0"/>
          <w:color w:val="auto"/>
          <w:sz w:val="20"/>
          <w:szCs w:val="20"/>
          <w:vertAlign w:val="superscript"/>
          <w:lang w:eastAsia="en-US"/>
        </w:rPr>
        <w:footnoteRef/>
      </w:r>
      <w:r>
        <w:rPr>
          <w:rFonts w:asciiTheme="majorBidi" w:hAnsiTheme="majorBidi"/>
          <w:b w:val="0"/>
          <w:bCs w:val="0"/>
          <w:color w:val="auto"/>
          <w:sz w:val="20"/>
          <w:szCs w:val="20"/>
        </w:rPr>
        <w:t xml:space="preserve"> </w:t>
      </w:r>
      <w:r w:rsidR="00155F2D">
        <w:rPr>
          <w:rFonts w:asciiTheme="majorBidi" w:hAnsiTheme="majorBidi"/>
          <w:b w:val="0"/>
          <w:bCs w:val="0"/>
          <w:color w:val="auto"/>
          <w:sz w:val="20"/>
          <w:szCs w:val="20"/>
        </w:rPr>
        <w:tab/>
      </w:r>
      <w:r>
        <w:rPr>
          <w:rFonts w:asciiTheme="majorBidi" w:hAnsiTheme="majorBidi"/>
          <w:b w:val="0"/>
          <w:bCs w:val="0"/>
          <w:color w:val="auto"/>
          <w:sz w:val="20"/>
          <w:szCs w:val="20"/>
        </w:rPr>
        <w:t>Central Bureau of Statistics, Housing in Israel – Findings from Household Expense Survey, 2017.</w:t>
      </w:r>
    </w:p>
  </w:footnote>
  <w:footnote w:id="8">
    <w:p w:rsidR="00AF51B7" w:rsidRPr="00155F2D" w:rsidRDefault="00AF51B7" w:rsidP="00155F2D">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 xml:space="preserve">Probability of Default – a condition where the borrower is unable to repay the loan. </w:t>
      </w:r>
    </w:p>
  </w:footnote>
  <w:footnote w:id="9">
    <w:p w:rsidR="002237F2" w:rsidRPr="00155F2D" w:rsidRDefault="002237F2" w:rsidP="00155F2D">
      <w:pPr>
        <w:spacing w:after="0"/>
        <w:ind w:left="360" w:hanging="360"/>
        <w:rPr>
          <w:rFonts w:asciiTheme="majorBidi" w:hAnsiTheme="majorBidi" w:cstheme="majorBidi"/>
          <w:sz w:val="20"/>
          <w:szCs w:val="20"/>
        </w:rPr>
      </w:pPr>
      <w:r w:rsidRPr="00155F2D">
        <w:rPr>
          <w:rStyle w:val="a4"/>
          <w:rFonts w:asciiTheme="majorBidi" w:hAnsiTheme="majorBidi" w:cstheme="majorBidi"/>
          <w:sz w:val="20"/>
          <w:szCs w:val="20"/>
        </w:rPr>
        <w:footnoteRef/>
      </w:r>
      <w:r w:rsidRPr="00155F2D">
        <w:rPr>
          <w:rFonts w:asciiTheme="majorBidi" w:hAnsiTheme="majorBidi" w:cstheme="majorBidi"/>
          <w:sz w:val="20"/>
          <w:szCs w:val="20"/>
        </w:rPr>
        <w:tab/>
        <w:t>The borrower's financial margin is calculated as follows:</w:t>
      </w:r>
      <w:r w:rsidRPr="00155F2D">
        <w:rPr>
          <w:rFonts w:asciiTheme="majorBidi" w:hAnsiTheme="majorBidi" w:cstheme="majorBidi"/>
          <w:sz w:val="20"/>
          <w:szCs w:val="20"/>
        </w:rPr>
        <w:br/>
      </w:r>
      <m:oMathPara>
        <m:oMath>
          <m:r>
            <m:rPr>
              <m:sty m:val="p"/>
            </m:rPr>
            <w:rPr>
              <w:rFonts w:ascii="Cambria Math" w:hAnsi="Cambria Math" w:cstheme="majorBidi"/>
              <w:sz w:val="20"/>
              <w:szCs w:val="20"/>
            </w:rPr>
            <m:t xml:space="preserve"> </m:t>
          </m:r>
          <m:sSub>
            <m:sSubPr>
              <m:ctrlPr>
                <w:rPr>
                  <w:rFonts w:ascii="Cambria Math" w:hAnsi="Cambria Math" w:cstheme="majorBidi"/>
                  <w:sz w:val="20"/>
                  <w:szCs w:val="20"/>
                </w:rPr>
              </m:ctrlPr>
            </m:sSubPr>
            <m:e>
              <m:r>
                <m:rPr>
                  <m:sty m:val="p"/>
                </m:rPr>
                <w:rPr>
                  <w:rFonts w:ascii="Cambria Math" w:hAnsi="Cambria Math" w:cstheme="majorBidi"/>
                  <w:sz w:val="20"/>
                  <w:szCs w:val="20"/>
                </w:rPr>
                <m:t>FM</m:t>
              </m:r>
            </m:e>
            <m:sub>
              <m:r>
                <w:rPr>
                  <w:rFonts w:ascii="Cambria Math" w:hAnsi="Cambria Math" w:cstheme="majorBidi"/>
                  <w:sz w:val="20"/>
                  <w:szCs w:val="20"/>
                </w:rPr>
                <m:t>i</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I</m:t>
              </m:r>
            </m:e>
            <m:sub>
              <m:r>
                <w:rPr>
                  <w:rFonts w:ascii="Cambria Math" w:hAnsi="Cambria Math" w:cstheme="majorBidi"/>
                  <w:sz w:val="20"/>
                  <w:szCs w:val="20"/>
                </w:rPr>
                <m:t>i</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DP</m:t>
              </m:r>
            </m:e>
            <m:sub>
              <m:r>
                <w:rPr>
                  <w:rFonts w:ascii="Cambria Math" w:hAnsi="Cambria Math" w:cstheme="majorBidi"/>
                  <w:sz w:val="20"/>
                  <w:szCs w:val="20"/>
                </w:rPr>
                <m:t>i</m:t>
              </m:r>
            </m:sub>
          </m:sSub>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ty m:val="p"/>
                </m:rPr>
                <w:rPr>
                  <w:rFonts w:ascii="Cambria Math" w:hAnsi="Cambria Math" w:cstheme="majorBidi"/>
                  <w:sz w:val="20"/>
                  <w:szCs w:val="20"/>
                </w:rPr>
                <m:t>BLC</m:t>
              </m:r>
            </m:e>
            <m:sub>
              <m:r>
                <w:rPr>
                  <w:rFonts w:ascii="Cambria Math" w:hAnsi="Cambria Math" w:cstheme="majorBidi"/>
                  <w:sz w:val="20"/>
                  <w:szCs w:val="20"/>
                </w:rPr>
                <m:t>i</m:t>
              </m:r>
            </m:sub>
          </m:sSub>
          <m:r>
            <m:rPr>
              <m:sty m:val="p"/>
            </m:rPr>
            <w:rPr>
              <w:rFonts w:ascii="Cambria Math" w:hAnsi="Cambria Math" w:cstheme="majorBidi"/>
              <w:sz w:val="20"/>
              <w:szCs w:val="20"/>
              <w:rtl/>
            </w:rPr>
            <w:br/>
          </m:r>
        </m:oMath>
      </m:oMathPara>
      <w:r w:rsidRPr="00155F2D">
        <w:rPr>
          <w:rFonts w:asciiTheme="majorBidi" w:hAnsiTheme="majorBidi" w:cstheme="majorBidi"/>
          <w:sz w:val="20"/>
          <w:szCs w:val="20"/>
        </w:rPr>
        <w:t xml:space="preserve">where </w:t>
      </w:r>
      <m:oMath>
        <m:sSub>
          <m:sSubPr>
            <m:ctrlPr>
              <w:rPr>
                <w:rFonts w:ascii="Cambria Math" w:hAnsi="Cambria Math" w:cstheme="majorBidi"/>
                <w:sz w:val="20"/>
                <w:szCs w:val="20"/>
              </w:rPr>
            </m:ctrlPr>
          </m:sSubPr>
          <m:e>
            <m:r>
              <m:rPr>
                <m:sty m:val="p"/>
              </m:rPr>
              <w:rPr>
                <w:rFonts w:ascii="Cambria Math" w:hAnsi="Cambria Math" w:cstheme="majorBidi"/>
                <w:sz w:val="20"/>
                <w:szCs w:val="20"/>
              </w:rPr>
              <m:t>I</m:t>
            </m:r>
          </m:e>
          <m:sub>
            <m:r>
              <w:rPr>
                <w:rFonts w:ascii="Cambria Math" w:hAnsi="Cambria Math" w:cstheme="majorBidi"/>
                <w:sz w:val="20"/>
                <w:szCs w:val="20"/>
              </w:rPr>
              <m:t>i</m:t>
            </m:r>
          </m:sub>
        </m:sSub>
      </m:oMath>
      <w:r w:rsidRPr="00155F2D">
        <w:rPr>
          <w:rFonts w:asciiTheme="majorBidi" w:hAnsiTheme="majorBidi" w:cstheme="majorBidi"/>
          <w:sz w:val="20"/>
          <w:szCs w:val="20"/>
        </w:rPr>
        <w:t xml:space="preserve">– net household income; </w:t>
      </w:r>
      <m:oMath>
        <m:sSub>
          <m:sSubPr>
            <m:ctrlPr>
              <w:rPr>
                <w:rFonts w:ascii="Cambria Math" w:hAnsi="Cambria Math" w:cstheme="majorBidi"/>
                <w:sz w:val="20"/>
                <w:szCs w:val="20"/>
              </w:rPr>
            </m:ctrlPr>
          </m:sSubPr>
          <m:e>
            <m:r>
              <m:rPr>
                <m:sty m:val="p"/>
              </m:rPr>
              <w:rPr>
                <w:rFonts w:ascii="Cambria Math" w:hAnsi="Cambria Math" w:cstheme="majorBidi"/>
                <w:sz w:val="20"/>
                <w:szCs w:val="20"/>
              </w:rPr>
              <m:t>DP</m:t>
            </m:r>
          </m:e>
          <m:sub>
            <m:r>
              <w:rPr>
                <w:rFonts w:ascii="Cambria Math" w:hAnsi="Cambria Math" w:cstheme="majorBidi"/>
                <w:sz w:val="20"/>
                <w:szCs w:val="20"/>
              </w:rPr>
              <m:t>i</m:t>
            </m:r>
          </m:sub>
        </m:sSub>
      </m:oMath>
      <w:r w:rsidRPr="00155F2D">
        <w:rPr>
          <w:rFonts w:asciiTheme="majorBidi" w:hAnsiTheme="majorBidi" w:cstheme="majorBidi"/>
          <w:sz w:val="20"/>
          <w:szCs w:val="20"/>
        </w:rPr>
        <w:t xml:space="preserve"> – housing debt payments; </w:t>
      </w:r>
      <m:oMath>
        <m:sSub>
          <m:sSubPr>
            <m:ctrlPr>
              <w:rPr>
                <w:rFonts w:ascii="Cambria Math" w:hAnsi="Cambria Math" w:cstheme="majorBidi"/>
                <w:sz w:val="20"/>
                <w:szCs w:val="20"/>
              </w:rPr>
            </m:ctrlPr>
          </m:sSubPr>
          <m:e>
            <m:r>
              <m:rPr>
                <m:sty m:val="p"/>
              </m:rPr>
              <w:rPr>
                <w:rFonts w:ascii="Cambria Math" w:hAnsi="Cambria Math" w:cstheme="majorBidi"/>
                <w:sz w:val="20"/>
                <w:szCs w:val="20"/>
              </w:rPr>
              <m:t>BLC</m:t>
            </m:r>
          </m:e>
          <m:sub>
            <m:r>
              <w:rPr>
                <w:rFonts w:ascii="Cambria Math" w:hAnsi="Cambria Math" w:cstheme="majorBidi"/>
                <w:sz w:val="20"/>
                <w:szCs w:val="20"/>
              </w:rPr>
              <m:t>i</m:t>
            </m:r>
          </m:sub>
        </m:sSub>
      </m:oMath>
      <w:r w:rsidRPr="00155F2D">
        <w:rPr>
          <w:rFonts w:asciiTheme="majorBidi" w:hAnsiTheme="majorBidi" w:cstheme="majorBidi"/>
          <w:sz w:val="20"/>
          <w:szCs w:val="20"/>
        </w:rPr>
        <w:t xml:space="preserve"> – basic cost of living for the household.</w:t>
      </w:r>
    </w:p>
  </w:footnote>
  <w:footnote w:id="10">
    <w:p w:rsidR="00CE0DF4" w:rsidRPr="00155F2D" w:rsidRDefault="00CE0DF4" w:rsidP="00155F2D">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Based on the Central Bureau of Statistics' expense and income survey, and on the assumption that the household would reduce their current consumption to make their debt payments.</w:t>
      </w:r>
    </w:p>
  </w:footnote>
  <w:footnote w:id="11">
    <w:p w:rsidR="002237F2" w:rsidRPr="00155F2D" w:rsidRDefault="002237F2" w:rsidP="00155F2D">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Probability of Default.</w:t>
      </w:r>
    </w:p>
  </w:footnote>
  <w:footnote w:id="12">
    <w:p w:rsidR="002237F2" w:rsidRPr="009654F2" w:rsidRDefault="002237F2" w:rsidP="00155F2D">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Loss Given Default.</w:t>
      </w:r>
    </w:p>
  </w:footnote>
  <w:footnote w:id="13">
    <w:p w:rsidR="00537822" w:rsidRPr="00155F2D" w:rsidRDefault="00537822" w:rsidP="00621C99">
      <w:pPr>
        <w:pStyle w:val="a8"/>
        <w:spacing w:line="276" w:lineRule="auto"/>
        <w:ind w:left="360" w:hanging="360"/>
        <w:jc w:val="both"/>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The test is based on certain working assumptions, which impact the quantitative outcome of the test. Results are based on a comprehensive database at the individual loan level, including all housing loans originated in 2015</w:t>
      </w:r>
      <w:r w:rsidR="00621C99">
        <w:rPr>
          <w:rFonts w:asciiTheme="majorBidi" w:hAnsiTheme="majorBidi" w:cstheme="majorBidi"/>
        </w:rPr>
        <w:t>–</w:t>
      </w:r>
      <w:r w:rsidRPr="00155F2D">
        <w:rPr>
          <w:rFonts w:asciiTheme="majorBidi" w:hAnsiTheme="majorBidi" w:cstheme="majorBidi"/>
        </w:rPr>
        <w:t xml:space="preserve">17, along with aggregate data for housing loans in previous years and in 2018. </w:t>
      </w:r>
    </w:p>
  </w:footnote>
  <w:footnote w:id="14">
    <w:p w:rsidR="000A0862" w:rsidRPr="00155F2D" w:rsidRDefault="002038CF" w:rsidP="00155F2D">
      <w:pPr>
        <w:spacing w:after="0"/>
        <w:ind w:left="360" w:hanging="360"/>
        <w:rPr>
          <w:rFonts w:asciiTheme="majorBidi" w:hAnsiTheme="majorBidi" w:cstheme="majorBidi"/>
          <w:sz w:val="20"/>
          <w:szCs w:val="20"/>
        </w:rPr>
      </w:pPr>
      <w:r w:rsidRPr="00155F2D">
        <w:rPr>
          <w:rFonts w:asciiTheme="majorBidi" w:hAnsiTheme="majorBidi" w:cstheme="majorBidi"/>
          <w:sz w:val="20"/>
          <w:szCs w:val="20"/>
          <w:vertAlign w:val="superscript"/>
        </w:rPr>
        <w:t>14</w:t>
      </w:r>
      <w:r w:rsidRPr="00155F2D">
        <w:rPr>
          <w:rFonts w:asciiTheme="majorBidi" w:hAnsiTheme="majorBidi" w:cstheme="majorBidi"/>
          <w:sz w:val="20"/>
          <w:szCs w:val="20"/>
        </w:rPr>
        <w:tab/>
        <w:t>Bottom two quintiles in net income: Households with net monthly income of up to NIS 10,612.</w:t>
      </w:r>
    </w:p>
  </w:footnote>
  <w:footnote w:id="15">
    <w:p w:rsidR="000A0B42" w:rsidRPr="009654F2" w:rsidRDefault="000A0B42" w:rsidP="007D4C05">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An increase in interest rates by one percentage point increases the average monthly payment for a household in the second quintile by NIS 100, and for a household in the top quintile</w:t>
      </w:r>
      <w:r w:rsidR="007D4C05">
        <w:rPr>
          <w:rFonts w:asciiTheme="majorBidi" w:hAnsiTheme="majorBidi" w:cstheme="majorBidi"/>
        </w:rPr>
        <w:t>—</w:t>
      </w:r>
      <w:r w:rsidRPr="00155F2D">
        <w:rPr>
          <w:rFonts w:asciiTheme="majorBidi" w:hAnsiTheme="majorBidi" w:cstheme="majorBidi"/>
        </w:rPr>
        <w:t>by NIS 200.</w:t>
      </w:r>
      <w:r>
        <w:rPr>
          <w:rFonts w:asciiTheme="majorBidi" w:hAnsiTheme="majorBidi"/>
        </w:rPr>
        <w:t xml:space="preserve"> </w:t>
      </w:r>
    </w:p>
  </w:footnote>
  <w:footnote w:id="16">
    <w:p w:rsidR="002F7067" w:rsidRPr="00155F2D" w:rsidRDefault="002F7067" w:rsidP="00155F2D">
      <w:pPr>
        <w:pStyle w:val="a8"/>
        <w:spacing w:line="276" w:lineRule="auto"/>
        <w:ind w:left="360" w:hanging="360"/>
        <w:rPr>
          <w:rFonts w:asciiTheme="majorBidi" w:hAnsiTheme="majorBidi" w:cstheme="majorBidi"/>
        </w:rPr>
      </w:pPr>
      <w:r w:rsidRPr="00155F2D">
        <w:rPr>
          <w:rStyle w:val="a4"/>
          <w:rFonts w:asciiTheme="majorBidi" w:hAnsiTheme="majorBidi" w:cstheme="majorBidi"/>
        </w:rPr>
        <w:footnoteRef/>
      </w:r>
      <w:r w:rsidRPr="00155F2D">
        <w:rPr>
          <w:rFonts w:asciiTheme="majorBidi" w:hAnsiTheme="majorBidi" w:cstheme="majorBidi"/>
        </w:rPr>
        <w:tab/>
        <w:t>It is likely that in case of difficulties in debt repayment, they would try to continue their mortgage payment, hence repayment of the consumer loan would be impacted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3A" w:rsidRPr="009654F2" w:rsidRDefault="00154A3A" w:rsidP="009654F2">
    <w:pPr>
      <w:pStyle w:val="af0"/>
      <w:spacing w:line="276" w:lineRule="auto"/>
      <w:rPr>
        <w:rFonts w:asciiTheme="majorBidi" w:hAnsiTheme="majorBidi" w:cstheme="majorBidi"/>
        <w:sz w:val="24"/>
        <w:szCs w:val="24"/>
      </w:rPr>
    </w:pPr>
  </w:p>
  <w:p w:rsidR="00154A3A" w:rsidRPr="009654F2" w:rsidRDefault="00154A3A" w:rsidP="009654F2">
    <w:pPr>
      <w:pStyle w:val="af0"/>
      <w:spacing w:line="276" w:lineRule="auto"/>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583"/>
    <w:multiLevelType w:val="hybridMultilevel"/>
    <w:tmpl w:val="CEBC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006C37"/>
    <w:multiLevelType w:val="hybridMultilevel"/>
    <w:tmpl w:val="9EA4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BD5705"/>
    <w:multiLevelType w:val="hybridMultilevel"/>
    <w:tmpl w:val="59B4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9813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D458D9"/>
    <w:multiLevelType w:val="multilevel"/>
    <w:tmpl w:val="6DA48648"/>
    <w:lvl w:ilvl="0">
      <w:start w:val="1"/>
      <w:numFmt w:val="decimal"/>
      <w:lvlText w:val="%1."/>
      <w:lvlJc w:val="left"/>
      <w:pPr>
        <w:tabs>
          <w:tab w:val="num" w:pos="360"/>
        </w:tabs>
        <w:ind w:left="567" w:hanging="567"/>
      </w:pPr>
      <w:rPr>
        <w:rFonts w:hint="default"/>
        <w:b/>
        <w:bCs/>
      </w:rPr>
    </w:lvl>
    <w:lvl w:ilvl="1">
      <w:start w:val="1"/>
      <w:numFmt w:val="decimal"/>
      <w:lvlText w:val="%1.%2."/>
      <w:lvlJc w:val="left"/>
      <w:pPr>
        <w:tabs>
          <w:tab w:val="num" w:pos="792"/>
        </w:tabs>
        <w:ind w:left="851" w:hanging="284"/>
      </w:pPr>
      <w:rPr>
        <w:rFonts w:cs="David" w:hint="default"/>
        <w:b w:val="0"/>
        <w:bCs w:val="0"/>
        <w:szCs w:val="24"/>
      </w:rPr>
    </w:lvl>
    <w:lvl w:ilvl="2">
      <w:start w:val="1"/>
      <w:numFmt w:val="decimal"/>
      <w:lvlText w:val="%1.%2.%3."/>
      <w:lvlJc w:val="left"/>
      <w:pPr>
        <w:tabs>
          <w:tab w:val="num" w:pos="2149"/>
        </w:tabs>
        <w:ind w:left="2127" w:hanging="567"/>
      </w:pPr>
      <w:rPr>
        <w:rFonts w:hint="default"/>
        <w:lang w:val="en-US"/>
      </w:rPr>
    </w:lvl>
    <w:lvl w:ilvl="3">
      <w:start w:val="1"/>
      <w:numFmt w:val="bullet"/>
      <w:lvlText w:val=""/>
      <w:lvlJc w:val="left"/>
      <w:pPr>
        <w:tabs>
          <w:tab w:val="num" w:pos="1800"/>
        </w:tabs>
        <w:ind w:left="2268" w:hanging="850"/>
      </w:pPr>
      <w:rPr>
        <w:rFonts w:ascii="Symbol" w:hAnsi="Symbol" w:hint="default"/>
      </w:rPr>
    </w:lvl>
    <w:lvl w:ilvl="4">
      <w:start w:val="1"/>
      <w:numFmt w:val="decimal"/>
      <w:lvlText w:val="%1.%2.%3.%4.%5."/>
      <w:lvlJc w:val="left"/>
      <w:pPr>
        <w:tabs>
          <w:tab w:val="num" w:pos="2268"/>
        </w:tabs>
        <w:ind w:left="2381" w:hanging="453"/>
      </w:pPr>
      <w:rPr>
        <w:rFonts w:hint="default"/>
      </w:rPr>
    </w:lvl>
    <w:lvl w:ilvl="5">
      <w:start w:val="1"/>
      <w:numFmt w:val="decimal"/>
      <w:lvlText w:val="%1.%2.%3.%4.%5.%6."/>
      <w:lvlJc w:val="left"/>
      <w:pPr>
        <w:tabs>
          <w:tab w:val="num" w:pos="2880"/>
        </w:tabs>
        <w:ind w:left="2739" w:hanging="93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A"/>
    <w:rsid w:val="00001EB1"/>
    <w:rsid w:val="00012E6A"/>
    <w:rsid w:val="00013A02"/>
    <w:rsid w:val="00015684"/>
    <w:rsid w:val="000206C7"/>
    <w:rsid w:val="00022905"/>
    <w:rsid w:val="000247E9"/>
    <w:rsid w:val="00024FD9"/>
    <w:rsid w:val="00032215"/>
    <w:rsid w:val="00040F83"/>
    <w:rsid w:val="00041CD8"/>
    <w:rsid w:val="00042B8C"/>
    <w:rsid w:val="000472DD"/>
    <w:rsid w:val="00062214"/>
    <w:rsid w:val="000640F4"/>
    <w:rsid w:val="00073F6F"/>
    <w:rsid w:val="000A0862"/>
    <w:rsid w:val="000A0B42"/>
    <w:rsid w:val="000A29EC"/>
    <w:rsid w:val="000A3295"/>
    <w:rsid w:val="000B484A"/>
    <w:rsid w:val="000C25DD"/>
    <w:rsid w:val="000C26A0"/>
    <w:rsid w:val="000C4510"/>
    <w:rsid w:val="000C4CBC"/>
    <w:rsid w:val="000D0AE7"/>
    <w:rsid w:val="000D293B"/>
    <w:rsid w:val="000D4961"/>
    <w:rsid w:val="000D4B55"/>
    <w:rsid w:val="000D57F0"/>
    <w:rsid w:val="000D6D02"/>
    <w:rsid w:val="000E0DBC"/>
    <w:rsid w:val="000E326E"/>
    <w:rsid w:val="000E6583"/>
    <w:rsid w:val="000F3C17"/>
    <w:rsid w:val="000F779E"/>
    <w:rsid w:val="00113AEB"/>
    <w:rsid w:val="00117662"/>
    <w:rsid w:val="00124145"/>
    <w:rsid w:val="00131173"/>
    <w:rsid w:val="00131999"/>
    <w:rsid w:val="001338CC"/>
    <w:rsid w:val="001407A8"/>
    <w:rsid w:val="001544E3"/>
    <w:rsid w:val="0015470F"/>
    <w:rsid w:val="00154A3A"/>
    <w:rsid w:val="00154F3D"/>
    <w:rsid w:val="00154F81"/>
    <w:rsid w:val="00155F2D"/>
    <w:rsid w:val="00157688"/>
    <w:rsid w:val="00157F69"/>
    <w:rsid w:val="00160855"/>
    <w:rsid w:val="00160E04"/>
    <w:rsid w:val="00163A42"/>
    <w:rsid w:val="00164DE7"/>
    <w:rsid w:val="00164E27"/>
    <w:rsid w:val="00172BE1"/>
    <w:rsid w:val="00173FDF"/>
    <w:rsid w:val="0018190C"/>
    <w:rsid w:val="00181F1D"/>
    <w:rsid w:val="0018225E"/>
    <w:rsid w:val="001860C3"/>
    <w:rsid w:val="001919B0"/>
    <w:rsid w:val="00196792"/>
    <w:rsid w:val="001A780C"/>
    <w:rsid w:val="001B2325"/>
    <w:rsid w:val="001B2D10"/>
    <w:rsid w:val="001C6F98"/>
    <w:rsid w:val="001C7C5B"/>
    <w:rsid w:val="001D0872"/>
    <w:rsid w:val="001D73FC"/>
    <w:rsid w:val="001F709D"/>
    <w:rsid w:val="00200A21"/>
    <w:rsid w:val="002011C1"/>
    <w:rsid w:val="00202026"/>
    <w:rsid w:val="00202641"/>
    <w:rsid w:val="002038CF"/>
    <w:rsid w:val="00213865"/>
    <w:rsid w:val="00214EBD"/>
    <w:rsid w:val="00216C43"/>
    <w:rsid w:val="0022016F"/>
    <w:rsid w:val="00221C04"/>
    <w:rsid w:val="002237F2"/>
    <w:rsid w:val="002273BB"/>
    <w:rsid w:val="00231198"/>
    <w:rsid w:val="00234E75"/>
    <w:rsid w:val="00240E83"/>
    <w:rsid w:val="00244BFB"/>
    <w:rsid w:val="00246E5C"/>
    <w:rsid w:val="00256AA4"/>
    <w:rsid w:val="002605D4"/>
    <w:rsid w:val="00260EF1"/>
    <w:rsid w:val="002610FC"/>
    <w:rsid w:val="00262E5B"/>
    <w:rsid w:val="00272155"/>
    <w:rsid w:val="0027328D"/>
    <w:rsid w:val="00273E4C"/>
    <w:rsid w:val="002830F1"/>
    <w:rsid w:val="00291D16"/>
    <w:rsid w:val="00292C31"/>
    <w:rsid w:val="00293406"/>
    <w:rsid w:val="00294781"/>
    <w:rsid w:val="00296BBD"/>
    <w:rsid w:val="002A7C99"/>
    <w:rsid w:val="002B1893"/>
    <w:rsid w:val="002B3527"/>
    <w:rsid w:val="002B4A42"/>
    <w:rsid w:val="002C488A"/>
    <w:rsid w:val="002C4ED8"/>
    <w:rsid w:val="002D03D3"/>
    <w:rsid w:val="002D3041"/>
    <w:rsid w:val="002E3625"/>
    <w:rsid w:val="002E6B8F"/>
    <w:rsid w:val="002F008E"/>
    <w:rsid w:val="002F3C69"/>
    <w:rsid w:val="002F7067"/>
    <w:rsid w:val="00300413"/>
    <w:rsid w:val="003045AD"/>
    <w:rsid w:val="00304D05"/>
    <w:rsid w:val="00304EBE"/>
    <w:rsid w:val="00307142"/>
    <w:rsid w:val="00311F71"/>
    <w:rsid w:val="00314B6F"/>
    <w:rsid w:val="00320882"/>
    <w:rsid w:val="003336AD"/>
    <w:rsid w:val="00336032"/>
    <w:rsid w:val="00340F19"/>
    <w:rsid w:val="00345BED"/>
    <w:rsid w:val="00364166"/>
    <w:rsid w:val="00376522"/>
    <w:rsid w:val="00376D4E"/>
    <w:rsid w:val="00390080"/>
    <w:rsid w:val="00391D35"/>
    <w:rsid w:val="00393320"/>
    <w:rsid w:val="003A262D"/>
    <w:rsid w:val="003B0602"/>
    <w:rsid w:val="003B074D"/>
    <w:rsid w:val="003C2C6A"/>
    <w:rsid w:val="003D7C61"/>
    <w:rsid w:val="003E05DE"/>
    <w:rsid w:val="003E37DD"/>
    <w:rsid w:val="003E6044"/>
    <w:rsid w:val="003F17DA"/>
    <w:rsid w:val="003F408B"/>
    <w:rsid w:val="003F7769"/>
    <w:rsid w:val="0040132A"/>
    <w:rsid w:val="00401C80"/>
    <w:rsid w:val="00404A97"/>
    <w:rsid w:val="00404BA7"/>
    <w:rsid w:val="0040597C"/>
    <w:rsid w:val="00407210"/>
    <w:rsid w:val="00412044"/>
    <w:rsid w:val="004137F1"/>
    <w:rsid w:val="00414FA6"/>
    <w:rsid w:val="00421409"/>
    <w:rsid w:val="004215B4"/>
    <w:rsid w:val="004227CD"/>
    <w:rsid w:val="004242CA"/>
    <w:rsid w:val="0042564B"/>
    <w:rsid w:val="00433B03"/>
    <w:rsid w:val="004345ED"/>
    <w:rsid w:val="00437123"/>
    <w:rsid w:val="00451899"/>
    <w:rsid w:val="004559EC"/>
    <w:rsid w:val="0046006F"/>
    <w:rsid w:val="00460768"/>
    <w:rsid w:val="00460D40"/>
    <w:rsid w:val="004710D8"/>
    <w:rsid w:val="00473A60"/>
    <w:rsid w:val="00476427"/>
    <w:rsid w:val="00480078"/>
    <w:rsid w:val="00480525"/>
    <w:rsid w:val="00483019"/>
    <w:rsid w:val="0049276E"/>
    <w:rsid w:val="004953A0"/>
    <w:rsid w:val="004A03E8"/>
    <w:rsid w:val="004A10FF"/>
    <w:rsid w:val="004A580F"/>
    <w:rsid w:val="004A581C"/>
    <w:rsid w:val="004A755D"/>
    <w:rsid w:val="004B0A1C"/>
    <w:rsid w:val="004B10D9"/>
    <w:rsid w:val="004B129F"/>
    <w:rsid w:val="004B26C3"/>
    <w:rsid w:val="004B422A"/>
    <w:rsid w:val="004B7E02"/>
    <w:rsid w:val="004C2CF7"/>
    <w:rsid w:val="004C3E9C"/>
    <w:rsid w:val="004C411E"/>
    <w:rsid w:val="004C7952"/>
    <w:rsid w:val="004D3F22"/>
    <w:rsid w:val="004D4C3F"/>
    <w:rsid w:val="004E5A18"/>
    <w:rsid w:val="004F0019"/>
    <w:rsid w:val="004F4BCA"/>
    <w:rsid w:val="00502BCC"/>
    <w:rsid w:val="00506918"/>
    <w:rsid w:val="005148C2"/>
    <w:rsid w:val="00517138"/>
    <w:rsid w:val="00532BD9"/>
    <w:rsid w:val="00537822"/>
    <w:rsid w:val="00546852"/>
    <w:rsid w:val="00551AFD"/>
    <w:rsid w:val="005549EB"/>
    <w:rsid w:val="00555652"/>
    <w:rsid w:val="0055652E"/>
    <w:rsid w:val="00560F35"/>
    <w:rsid w:val="005702EA"/>
    <w:rsid w:val="00581632"/>
    <w:rsid w:val="00583FFC"/>
    <w:rsid w:val="005914E7"/>
    <w:rsid w:val="005930AD"/>
    <w:rsid w:val="005A360C"/>
    <w:rsid w:val="005A652C"/>
    <w:rsid w:val="005B145D"/>
    <w:rsid w:val="005C564C"/>
    <w:rsid w:val="005C5832"/>
    <w:rsid w:val="005D0291"/>
    <w:rsid w:val="005D715E"/>
    <w:rsid w:val="005E02E4"/>
    <w:rsid w:val="005E3201"/>
    <w:rsid w:val="005F06E1"/>
    <w:rsid w:val="005F4C75"/>
    <w:rsid w:val="00615B91"/>
    <w:rsid w:val="00621C99"/>
    <w:rsid w:val="006259B8"/>
    <w:rsid w:val="00626664"/>
    <w:rsid w:val="0063018A"/>
    <w:rsid w:val="00637E11"/>
    <w:rsid w:val="00641991"/>
    <w:rsid w:val="00642474"/>
    <w:rsid w:val="00644940"/>
    <w:rsid w:val="006505DE"/>
    <w:rsid w:val="00656F7D"/>
    <w:rsid w:val="0069077D"/>
    <w:rsid w:val="006A0956"/>
    <w:rsid w:val="006B0821"/>
    <w:rsid w:val="006B2295"/>
    <w:rsid w:val="006B3EE2"/>
    <w:rsid w:val="006C6EFC"/>
    <w:rsid w:val="006E089C"/>
    <w:rsid w:val="006E5415"/>
    <w:rsid w:val="006E7F59"/>
    <w:rsid w:val="006F329F"/>
    <w:rsid w:val="006F45CB"/>
    <w:rsid w:val="006F5983"/>
    <w:rsid w:val="0071042C"/>
    <w:rsid w:val="00711E63"/>
    <w:rsid w:val="00716EE7"/>
    <w:rsid w:val="0073167C"/>
    <w:rsid w:val="00733CF8"/>
    <w:rsid w:val="00733FD5"/>
    <w:rsid w:val="00735473"/>
    <w:rsid w:val="00737273"/>
    <w:rsid w:val="0075033D"/>
    <w:rsid w:val="00752AC1"/>
    <w:rsid w:val="00756D17"/>
    <w:rsid w:val="007676E9"/>
    <w:rsid w:val="00770C32"/>
    <w:rsid w:val="00771638"/>
    <w:rsid w:val="00772261"/>
    <w:rsid w:val="0078101B"/>
    <w:rsid w:val="00781437"/>
    <w:rsid w:val="00784F39"/>
    <w:rsid w:val="00794553"/>
    <w:rsid w:val="00796F44"/>
    <w:rsid w:val="007A0BAA"/>
    <w:rsid w:val="007A2E9A"/>
    <w:rsid w:val="007A532E"/>
    <w:rsid w:val="007B1B69"/>
    <w:rsid w:val="007B4CF0"/>
    <w:rsid w:val="007B7C3F"/>
    <w:rsid w:val="007C0540"/>
    <w:rsid w:val="007C3DC8"/>
    <w:rsid w:val="007C6E7E"/>
    <w:rsid w:val="007D071C"/>
    <w:rsid w:val="007D306C"/>
    <w:rsid w:val="007D4C05"/>
    <w:rsid w:val="007D7A2D"/>
    <w:rsid w:val="007F26E9"/>
    <w:rsid w:val="007F4578"/>
    <w:rsid w:val="00810BEA"/>
    <w:rsid w:val="00814953"/>
    <w:rsid w:val="00821370"/>
    <w:rsid w:val="00823444"/>
    <w:rsid w:val="008275C7"/>
    <w:rsid w:val="008301DB"/>
    <w:rsid w:val="00860E33"/>
    <w:rsid w:val="00862804"/>
    <w:rsid w:val="00864919"/>
    <w:rsid w:val="00866ECA"/>
    <w:rsid w:val="00874C99"/>
    <w:rsid w:val="0088031F"/>
    <w:rsid w:val="0088355A"/>
    <w:rsid w:val="00887461"/>
    <w:rsid w:val="008879B4"/>
    <w:rsid w:val="00893DDD"/>
    <w:rsid w:val="008A222F"/>
    <w:rsid w:val="008A5AFA"/>
    <w:rsid w:val="008A5EB7"/>
    <w:rsid w:val="008C558E"/>
    <w:rsid w:val="008D67C4"/>
    <w:rsid w:val="008D750F"/>
    <w:rsid w:val="008E06BB"/>
    <w:rsid w:val="008E0988"/>
    <w:rsid w:val="008F185C"/>
    <w:rsid w:val="008F25A4"/>
    <w:rsid w:val="00902BB4"/>
    <w:rsid w:val="0091665B"/>
    <w:rsid w:val="00917C49"/>
    <w:rsid w:val="00940055"/>
    <w:rsid w:val="0094343A"/>
    <w:rsid w:val="0094621B"/>
    <w:rsid w:val="00946DA9"/>
    <w:rsid w:val="00950631"/>
    <w:rsid w:val="00955EC6"/>
    <w:rsid w:val="00961AB8"/>
    <w:rsid w:val="00962545"/>
    <w:rsid w:val="009630DC"/>
    <w:rsid w:val="009654F2"/>
    <w:rsid w:val="0097289B"/>
    <w:rsid w:val="00974D88"/>
    <w:rsid w:val="00980A53"/>
    <w:rsid w:val="00982575"/>
    <w:rsid w:val="00984241"/>
    <w:rsid w:val="009842D5"/>
    <w:rsid w:val="00993C75"/>
    <w:rsid w:val="00997252"/>
    <w:rsid w:val="009A1224"/>
    <w:rsid w:val="009A356B"/>
    <w:rsid w:val="009C6AFD"/>
    <w:rsid w:val="009C6BDD"/>
    <w:rsid w:val="009F05DB"/>
    <w:rsid w:val="00A00157"/>
    <w:rsid w:val="00A020C2"/>
    <w:rsid w:val="00A072FD"/>
    <w:rsid w:val="00A12800"/>
    <w:rsid w:val="00A23D5D"/>
    <w:rsid w:val="00A2691D"/>
    <w:rsid w:val="00A32AC0"/>
    <w:rsid w:val="00A33E60"/>
    <w:rsid w:val="00A352CC"/>
    <w:rsid w:val="00A46FF4"/>
    <w:rsid w:val="00A503DB"/>
    <w:rsid w:val="00A54804"/>
    <w:rsid w:val="00A6452D"/>
    <w:rsid w:val="00A64909"/>
    <w:rsid w:val="00A7025B"/>
    <w:rsid w:val="00A71904"/>
    <w:rsid w:val="00A71FC2"/>
    <w:rsid w:val="00A8400B"/>
    <w:rsid w:val="00A90705"/>
    <w:rsid w:val="00A91904"/>
    <w:rsid w:val="00A93BA3"/>
    <w:rsid w:val="00AA1ECC"/>
    <w:rsid w:val="00AA4737"/>
    <w:rsid w:val="00AB120E"/>
    <w:rsid w:val="00AB2166"/>
    <w:rsid w:val="00AB23B0"/>
    <w:rsid w:val="00AB7E72"/>
    <w:rsid w:val="00AC77FC"/>
    <w:rsid w:val="00AC797C"/>
    <w:rsid w:val="00AE18E1"/>
    <w:rsid w:val="00AE39E6"/>
    <w:rsid w:val="00AE5BDE"/>
    <w:rsid w:val="00AF0277"/>
    <w:rsid w:val="00AF254F"/>
    <w:rsid w:val="00AF51B7"/>
    <w:rsid w:val="00B011FA"/>
    <w:rsid w:val="00B05663"/>
    <w:rsid w:val="00B1703D"/>
    <w:rsid w:val="00B21108"/>
    <w:rsid w:val="00B224A4"/>
    <w:rsid w:val="00B244B9"/>
    <w:rsid w:val="00B2523E"/>
    <w:rsid w:val="00B41E19"/>
    <w:rsid w:val="00B47F56"/>
    <w:rsid w:val="00B5629A"/>
    <w:rsid w:val="00B64DC1"/>
    <w:rsid w:val="00B726A9"/>
    <w:rsid w:val="00B829B1"/>
    <w:rsid w:val="00B84699"/>
    <w:rsid w:val="00B904DC"/>
    <w:rsid w:val="00BA00ED"/>
    <w:rsid w:val="00BA11BB"/>
    <w:rsid w:val="00BA2DE0"/>
    <w:rsid w:val="00BA3E2E"/>
    <w:rsid w:val="00BC015E"/>
    <w:rsid w:val="00BC5C46"/>
    <w:rsid w:val="00BD07A2"/>
    <w:rsid w:val="00BD72A5"/>
    <w:rsid w:val="00BD77D5"/>
    <w:rsid w:val="00BE2CAD"/>
    <w:rsid w:val="00BE75D7"/>
    <w:rsid w:val="00BF07C5"/>
    <w:rsid w:val="00BF6B3F"/>
    <w:rsid w:val="00BF7F32"/>
    <w:rsid w:val="00C01938"/>
    <w:rsid w:val="00C04AC3"/>
    <w:rsid w:val="00C054D5"/>
    <w:rsid w:val="00C11CB2"/>
    <w:rsid w:val="00C314B6"/>
    <w:rsid w:val="00C335DB"/>
    <w:rsid w:val="00C3768B"/>
    <w:rsid w:val="00C4599A"/>
    <w:rsid w:val="00C527E6"/>
    <w:rsid w:val="00C5727D"/>
    <w:rsid w:val="00C572BD"/>
    <w:rsid w:val="00C64340"/>
    <w:rsid w:val="00C6535E"/>
    <w:rsid w:val="00C66E03"/>
    <w:rsid w:val="00C75850"/>
    <w:rsid w:val="00C97D52"/>
    <w:rsid w:val="00CA31DF"/>
    <w:rsid w:val="00CA450C"/>
    <w:rsid w:val="00CB4354"/>
    <w:rsid w:val="00CB5428"/>
    <w:rsid w:val="00CB74C5"/>
    <w:rsid w:val="00CC24A1"/>
    <w:rsid w:val="00CC3447"/>
    <w:rsid w:val="00CC73A1"/>
    <w:rsid w:val="00CD089C"/>
    <w:rsid w:val="00CE0DF4"/>
    <w:rsid w:val="00CE2287"/>
    <w:rsid w:val="00CE3054"/>
    <w:rsid w:val="00CE64E6"/>
    <w:rsid w:val="00D01B05"/>
    <w:rsid w:val="00D14DAA"/>
    <w:rsid w:val="00D20504"/>
    <w:rsid w:val="00D245B3"/>
    <w:rsid w:val="00D350C8"/>
    <w:rsid w:val="00D41912"/>
    <w:rsid w:val="00D50D06"/>
    <w:rsid w:val="00D53AE7"/>
    <w:rsid w:val="00D664F0"/>
    <w:rsid w:val="00D7101E"/>
    <w:rsid w:val="00D85D33"/>
    <w:rsid w:val="00D910FB"/>
    <w:rsid w:val="00D934FA"/>
    <w:rsid w:val="00D93B92"/>
    <w:rsid w:val="00D955C1"/>
    <w:rsid w:val="00D97342"/>
    <w:rsid w:val="00D9736B"/>
    <w:rsid w:val="00D97543"/>
    <w:rsid w:val="00DA1164"/>
    <w:rsid w:val="00DA7F06"/>
    <w:rsid w:val="00DB7350"/>
    <w:rsid w:val="00DC5D41"/>
    <w:rsid w:val="00DC6B8A"/>
    <w:rsid w:val="00DD6A86"/>
    <w:rsid w:val="00DD7D98"/>
    <w:rsid w:val="00DF09BE"/>
    <w:rsid w:val="00DF09FB"/>
    <w:rsid w:val="00DF5D44"/>
    <w:rsid w:val="00E102B3"/>
    <w:rsid w:val="00E1265B"/>
    <w:rsid w:val="00E12B5F"/>
    <w:rsid w:val="00E1551B"/>
    <w:rsid w:val="00E15807"/>
    <w:rsid w:val="00E2249B"/>
    <w:rsid w:val="00E248AE"/>
    <w:rsid w:val="00E26855"/>
    <w:rsid w:val="00E34814"/>
    <w:rsid w:val="00E4401E"/>
    <w:rsid w:val="00E5243B"/>
    <w:rsid w:val="00E52762"/>
    <w:rsid w:val="00E55C07"/>
    <w:rsid w:val="00E57BF6"/>
    <w:rsid w:val="00E62838"/>
    <w:rsid w:val="00E7178D"/>
    <w:rsid w:val="00E72AB4"/>
    <w:rsid w:val="00E7428D"/>
    <w:rsid w:val="00E7787C"/>
    <w:rsid w:val="00E825B8"/>
    <w:rsid w:val="00E90786"/>
    <w:rsid w:val="00E93B53"/>
    <w:rsid w:val="00E953C3"/>
    <w:rsid w:val="00E97128"/>
    <w:rsid w:val="00E975AA"/>
    <w:rsid w:val="00E97BAF"/>
    <w:rsid w:val="00EA5C0E"/>
    <w:rsid w:val="00EB15AF"/>
    <w:rsid w:val="00EB179A"/>
    <w:rsid w:val="00EB5E4A"/>
    <w:rsid w:val="00EC1E48"/>
    <w:rsid w:val="00EC37F8"/>
    <w:rsid w:val="00ED2C31"/>
    <w:rsid w:val="00ED2C37"/>
    <w:rsid w:val="00EE0C79"/>
    <w:rsid w:val="00EE1B1F"/>
    <w:rsid w:val="00EF1237"/>
    <w:rsid w:val="00EF1733"/>
    <w:rsid w:val="00F009FE"/>
    <w:rsid w:val="00F02972"/>
    <w:rsid w:val="00F07511"/>
    <w:rsid w:val="00F13267"/>
    <w:rsid w:val="00F25DB7"/>
    <w:rsid w:val="00F43910"/>
    <w:rsid w:val="00F4592F"/>
    <w:rsid w:val="00F527E3"/>
    <w:rsid w:val="00F547FB"/>
    <w:rsid w:val="00F5605D"/>
    <w:rsid w:val="00F749B9"/>
    <w:rsid w:val="00F75AAC"/>
    <w:rsid w:val="00F81CD5"/>
    <w:rsid w:val="00F83F59"/>
    <w:rsid w:val="00F84B0A"/>
    <w:rsid w:val="00F85B28"/>
    <w:rsid w:val="00F875B8"/>
    <w:rsid w:val="00F87742"/>
    <w:rsid w:val="00F92591"/>
    <w:rsid w:val="00F93229"/>
    <w:rsid w:val="00F93A88"/>
    <w:rsid w:val="00F95C48"/>
    <w:rsid w:val="00F977E2"/>
    <w:rsid w:val="00FA02A3"/>
    <w:rsid w:val="00FA085C"/>
    <w:rsid w:val="00FA677F"/>
    <w:rsid w:val="00FA742B"/>
    <w:rsid w:val="00FB1173"/>
    <w:rsid w:val="00FB44FE"/>
    <w:rsid w:val="00FC1E16"/>
    <w:rsid w:val="00FC2D23"/>
    <w:rsid w:val="00FD455E"/>
    <w:rsid w:val="00FD53C7"/>
    <w:rsid w:val="00FE3F4F"/>
    <w:rsid w:val="00FF4589"/>
    <w:rsid w:val="00FF62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3AEFD"/>
  <w15:docId w15:val="{5C9465D5-346D-4151-9B75-86038CE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74D88"/>
    <w:pPr>
      <w:keepNext/>
      <w:spacing w:after="0" w:line="360" w:lineRule="auto"/>
      <w:jc w:val="center"/>
      <w:outlineLvl w:val="0"/>
    </w:pPr>
    <w:rPr>
      <w:rFonts w:ascii="Times New Roman" w:eastAsia="Times New Roman" w:hAnsi="Times New Roman" w:cs="Arial"/>
      <w:b/>
      <w:bCs/>
      <w:color w:val="215868" w:themeColor="accent5" w:themeShade="80"/>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2CA"/>
    <w:pPr>
      <w:ind w:left="720"/>
      <w:contextualSpacing/>
    </w:pPr>
    <w:rPr>
      <w:rFonts w:ascii="David" w:hAnsi="David" w:cs="David"/>
      <w:sz w:val="20"/>
      <w:szCs w:val="20"/>
    </w:rPr>
  </w:style>
  <w:style w:type="character" w:styleId="a4">
    <w:name w:val="footnote reference"/>
    <w:basedOn w:val="a0"/>
    <w:uiPriority w:val="99"/>
    <w:semiHidden/>
    <w:unhideWhenUsed/>
    <w:rsid w:val="004242CA"/>
    <w:rPr>
      <w:vertAlign w:val="superscript"/>
    </w:rPr>
  </w:style>
  <w:style w:type="paragraph" w:styleId="a5">
    <w:name w:val="Balloon Text"/>
    <w:basedOn w:val="a"/>
    <w:link w:val="a6"/>
    <w:uiPriority w:val="99"/>
    <w:semiHidden/>
    <w:unhideWhenUsed/>
    <w:rsid w:val="004242C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242CA"/>
    <w:rPr>
      <w:rFonts w:ascii="Tahoma" w:hAnsi="Tahoma" w:cs="Tahoma"/>
      <w:sz w:val="16"/>
      <w:szCs w:val="16"/>
    </w:rPr>
  </w:style>
  <w:style w:type="character" w:styleId="a7">
    <w:name w:val="Placeholder Text"/>
    <w:basedOn w:val="a0"/>
    <w:uiPriority w:val="99"/>
    <w:semiHidden/>
    <w:rsid w:val="004242CA"/>
    <w:rPr>
      <w:color w:val="808080"/>
    </w:rPr>
  </w:style>
  <w:style w:type="paragraph" w:styleId="a8">
    <w:name w:val="footnote text"/>
    <w:basedOn w:val="a"/>
    <w:link w:val="a9"/>
    <w:semiHidden/>
    <w:unhideWhenUsed/>
    <w:rsid w:val="00F977E2"/>
    <w:pPr>
      <w:spacing w:after="0" w:line="240" w:lineRule="auto"/>
    </w:pPr>
    <w:rPr>
      <w:sz w:val="20"/>
      <w:szCs w:val="20"/>
    </w:rPr>
  </w:style>
  <w:style w:type="character" w:customStyle="1" w:styleId="a9">
    <w:name w:val="טקסט הערת שוליים תו"/>
    <w:basedOn w:val="a0"/>
    <w:link w:val="a8"/>
    <w:uiPriority w:val="99"/>
    <w:semiHidden/>
    <w:rsid w:val="00F977E2"/>
    <w:rPr>
      <w:sz w:val="20"/>
      <w:szCs w:val="20"/>
    </w:rPr>
  </w:style>
  <w:style w:type="character" w:styleId="aa">
    <w:name w:val="annotation reference"/>
    <w:basedOn w:val="a0"/>
    <w:uiPriority w:val="99"/>
    <w:semiHidden/>
    <w:unhideWhenUsed/>
    <w:rsid w:val="00FD455E"/>
    <w:rPr>
      <w:sz w:val="16"/>
      <w:szCs w:val="16"/>
    </w:rPr>
  </w:style>
  <w:style w:type="paragraph" w:styleId="ab">
    <w:name w:val="annotation text"/>
    <w:basedOn w:val="a"/>
    <w:link w:val="ac"/>
    <w:uiPriority w:val="99"/>
    <w:semiHidden/>
    <w:unhideWhenUsed/>
    <w:rsid w:val="00FD455E"/>
    <w:pPr>
      <w:spacing w:line="240" w:lineRule="auto"/>
    </w:pPr>
    <w:rPr>
      <w:sz w:val="20"/>
      <w:szCs w:val="20"/>
    </w:rPr>
  </w:style>
  <w:style w:type="character" w:customStyle="1" w:styleId="ac">
    <w:name w:val="טקסט הערה תו"/>
    <w:basedOn w:val="a0"/>
    <w:link w:val="ab"/>
    <w:uiPriority w:val="99"/>
    <w:semiHidden/>
    <w:rsid w:val="00FD455E"/>
    <w:rPr>
      <w:sz w:val="20"/>
      <w:szCs w:val="20"/>
    </w:rPr>
  </w:style>
  <w:style w:type="paragraph" w:styleId="ad">
    <w:name w:val="annotation subject"/>
    <w:basedOn w:val="ab"/>
    <w:next w:val="ab"/>
    <w:link w:val="ae"/>
    <w:uiPriority w:val="99"/>
    <w:semiHidden/>
    <w:unhideWhenUsed/>
    <w:rsid w:val="00FD455E"/>
    <w:rPr>
      <w:b/>
      <w:bCs/>
    </w:rPr>
  </w:style>
  <w:style w:type="character" w:customStyle="1" w:styleId="ae">
    <w:name w:val="נושא הערה תו"/>
    <w:basedOn w:val="ac"/>
    <w:link w:val="ad"/>
    <w:uiPriority w:val="99"/>
    <w:semiHidden/>
    <w:rsid w:val="00FD455E"/>
    <w:rPr>
      <w:b/>
      <w:bCs/>
      <w:sz w:val="20"/>
      <w:szCs w:val="20"/>
    </w:rPr>
  </w:style>
  <w:style w:type="paragraph" w:styleId="af">
    <w:name w:val="Revision"/>
    <w:hidden/>
    <w:uiPriority w:val="99"/>
    <w:semiHidden/>
    <w:rsid w:val="00CA31DF"/>
    <w:pPr>
      <w:spacing w:after="0" w:line="240" w:lineRule="auto"/>
    </w:pPr>
  </w:style>
  <w:style w:type="character" w:customStyle="1" w:styleId="10">
    <w:name w:val="כותרת 1 תו"/>
    <w:basedOn w:val="a0"/>
    <w:link w:val="1"/>
    <w:rsid w:val="00974D88"/>
    <w:rPr>
      <w:rFonts w:ascii="Times New Roman" w:eastAsia="Times New Roman" w:hAnsi="Times New Roman" w:cs="Arial"/>
      <w:b/>
      <w:bCs/>
      <w:color w:val="215868" w:themeColor="accent5" w:themeShade="80"/>
      <w:sz w:val="26"/>
      <w:szCs w:val="26"/>
      <w:lang w:eastAsia="he-IL"/>
    </w:rPr>
  </w:style>
  <w:style w:type="paragraph" w:styleId="af0">
    <w:name w:val="header"/>
    <w:basedOn w:val="a"/>
    <w:link w:val="af1"/>
    <w:uiPriority w:val="99"/>
    <w:unhideWhenUsed/>
    <w:rsid w:val="00154A3A"/>
    <w:pPr>
      <w:tabs>
        <w:tab w:val="center" w:pos="4153"/>
        <w:tab w:val="right" w:pos="8306"/>
      </w:tabs>
      <w:spacing w:after="0" w:line="240" w:lineRule="auto"/>
    </w:pPr>
  </w:style>
  <w:style w:type="character" w:customStyle="1" w:styleId="af1">
    <w:name w:val="כותרת עליונה תו"/>
    <w:basedOn w:val="a0"/>
    <w:link w:val="af0"/>
    <w:uiPriority w:val="99"/>
    <w:rsid w:val="00154A3A"/>
  </w:style>
  <w:style w:type="paragraph" w:styleId="af2">
    <w:name w:val="footer"/>
    <w:basedOn w:val="a"/>
    <w:link w:val="af3"/>
    <w:uiPriority w:val="99"/>
    <w:unhideWhenUsed/>
    <w:rsid w:val="00154A3A"/>
    <w:pPr>
      <w:tabs>
        <w:tab w:val="center" w:pos="4153"/>
        <w:tab w:val="right" w:pos="8306"/>
      </w:tabs>
      <w:spacing w:after="0" w:line="240" w:lineRule="auto"/>
    </w:pPr>
  </w:style>
  <w:style w:type="character" w:customStyle="1" w:styleId="af3">
    <w:name w:val="כותרת תחתונה תו"/>
    <w:basedOn w:val="a0"/>
    <w:link w:val="af2"/>
    <w:uiPriority w:val="99"/>
    <w:rsid w:val="00154A3A"/>
  </w:style>
  <w:style w:type="paragraph" w:styleId="HTML">
    <w:name w:val="HTML Preformatted"/>
    <w:basedOn w:val="a"/>
    <w:link w:val="HTML0"/>
    <w:uiPriority w:val="99"/>
    <w:unhideWhenUsed/>
    <w:rsid w:val="0017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173FDF"/>
    <w:rPr>
      <w:rFonts w:ascii="Courier New" w:eastAsia="Times New Roman" w:hAnsi="Courier New" w:cs="Courier New"/>
      <w:sz w:val="20"/>
      <w:szCs w:val="20"/>
    </w:rPr>
  </w:style>
  <w:style w:type="paragraph" w:styleId="NormalWeb">
    <w:name w:val="Normal (Web)"/>
    <w:basedOn w:val="a"/>
    <w:uiPriority w:val="99"/>
    <w:semiHidden/>
    <w:unhideWhenUsed/>
    <w:rsid w:val="00C97D5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etterheadBOI">
    <w:name w:val="Letterhead BOI"/>
    <w:basedOn w:val="a"/>
    <w:link w:val="LetterheadBOIChar"/>
    <w:qFormat/>
    <w:rsid w:val="004345ED"/>
    <w:pPr>
      <w:spacing w:after="0" w:line="300" w:lineRule="atLeast"/>
      <w:jc w:val="center"/>
    </w:pPr>
    <w:rPr>
      <w:rFonts w:ascii="Times New Roman" w:eastAsia="Times New Roman" w:hAnsi="Times New Roman" w:cs="David"/>
      <w:b/>
      <w:sz w:val="24"/>
      <w:szCs w:val="24"/>
    </w:rPr>
  </w:style>
  <w:style w:type="paragraph" w:customStyle="1" w:styleId="Letterhead2">
    <w:name w:val="Letterhead 2"/>
    <w:basedOn w:val="a"/>
    <w:link w:val="Letterhead2Char"/>
    <w:qFormat/>
    <w:rsid w:val="004345ED"/>
    <w:pPr>
      <w:spacing w:after="0" w:line="300" w:lineRule="atLeast"/>
      <w:jc w:val="center"/>
    </w:pPr>
    <w:rPr>
      <w:rFonts w:ascii="Times New Roman" w:eastAsia="Times New Roman" w:hAnsi="Times New Roman" w:cs="Times New Roman"/>
      <w:sz w:val="26"/>
      <w:szCs w:val="26"/>
    </w:rPr>
  </w:style>
  <w:style w:type="character" w:customStyle="1" w:styleId="LetterheadBOIChar">
    <w:name w:val="Letterhead BOI Char"/>
    <w:basedOn w:val="a0"/>
    <w:link w:val="LetterheadBOI"/>
    <w:rsid w:val="004345ED"/>
    <w:rPr>
      <w:rFonts w:ascii="Times New Roman" w:eastAsia="Times New Roman" w:hAnsi="Times New Roman" w:cs="David"/>
      <w:b/>
      <w:sz w:val="24"/>
      <w:szCs w:val="24"/>
    </w:rPr>
  </w:style>
  <w:style w:type="character" w:customStyle="1" w:styleId="Letterhead2Char">
    <w:name w:val="Letterhead 2 Char"/>
    <w:basedOn w:val="a0"/>
    <w:link w:val="Letterhead2"/>
    <w:rsid w:val="004345ED"/>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4345ED"/>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4345ED"/>
    <w:rPr>
      <w:rFonts w:ascii="Times New Roman" w:eastAsia="Times New Roman" w:hAnsi="Times New Roman" w:cs="David"/>
      <w:b/>
      <w:bCs/>
      <w:sz w:val="26"/>
      <w:szCs w:val="26"/>
    </w:rPr>
  </w:style>
  <w:style w:type="paragraph" w:customStyle="1" w:styleId="Pressreleaseheading2">
    <w:name w:val="Press release heading 2"/>
    <w:basedOn w:val="a"/>
    <w:link w:val="Pressreleaseheading2Char"/>
    <w:qFormat/>
    <w:rsid w:val="004345ED"/>
    <w:pPr>
      <w:tabs>
        <w:tab w:val="center" w:pos="4156"/>
        <w:tab w:val="right" w:pos="8312"/>
      </w:tabs>
      <w:spacing w:after="0" w:line="240" w:lineRule="auto"/>
      <w:jc w:val="center"/>
    </w:pPr>
    <w:rPr>
      <w:rFonts w:ascii="Times New Roman" w:eastAsia="Times New Roman" w:hAnsi="Times New Roman" w:cs="David"/>
      <w:sz w:val="26"/>
      <w:szCs w:val="26"/>
    </w:rPr>
  </w:style>
  <w:style w:type="character" w:customStyle="1" w:styleId="Pressreleaseheading2Char">
    <w:name w:val="Press release heading 2 Char"/>
    <w:basedOn w:val="a0"/>
    <w:link w:val="Pressreleaseheading2"/>
    <w:rsid w:val="004345ED"/>
    <w:rPr>
      <w:rFonts w:ascii="Times New Roman" w:eastAsia="Times New Roman" w:hAnsi="Times New Roman"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70248">
      <w:bodyDiv w:val="1"/>
      <w:marLeft w:val="0"/>
      <w:marRight w:val="0"/>
      <w:marTop w:val="0"/>
      <w:marBottom w:val="0"/>
      <w:divBdr>
        <w:top w:val="none" w:sz="0" w:space="0" w:color="auto"/>
        <w:left w:val="none" w:sz="0" w:space="0" w:color="auto"/>
        <w:bottom w:val="none" w:sz="0" w:space="0" w:color="auto"/>
        <w:right w:val="none" w:sz="0" w:space="0" w:color="auto"/>
      </w:divBdr>
    </w:div>
    <w:div w:id="602802011">
      <w:bodyDiv w:val="1"/>
      <w:marLeft w:val="0"/>
      <w:marRight w:val="0"/>
      <w:marTop w:val="0"/>
      <w:marBottom w:val="0"/>
      <w:divBdr>
        <w:top w:val="none" w:sz="0" w:space="0" w:color="auto"/>
        <w:left w:val="none" w:sz="0" w:space="0" w:color="auto"/>
        <w:bottom w:val="none" w:sz="0" w:space="0" w:color="auto"/>
        <w:right w:val="none" w:sz="0" w:space="0" w:color="auto"/>
      </w:divBdr>
    </w:div>
    <w:div w:id="1544442805">
      <w:bodyDiv w:val="1"/>
      <w:marLeft w:val="0"/>
      <w:marRight w:val="0"/>
      <w:marTop w:val="0"/>
      <w:marBottom w:val="0"/>
      <w:divBdr>
        <w:top w:val="none" w:sz="0" w:space="0" w:color="auto"/>
        <w:left w:val="none" w:sz="0" w:space="0" w:color="auto"/>
        <w:bottom w:val="none" w:sz="0" w:space="0" w:color="auto"/>
        <w:right w:val="none" w:sz="0" w:space="0" w:color="auto"/>
      </w:divBdr>
      <w:divsChild>
        <w:div w:id="1784836578">
          <w:marLeft w:val="0"/>
          <w:marRight w:val="0"/>
          <w:marTop w:val="0"/>
          <w:marBottom w:val="0"/>
          <w:divBdr>
            <w:top w:val="none" w:sz="0" w:space="0" w:color="auto"/>
            <w:left w:val="none" w:sz="0" w:space="0" w:color="auto"/>
            <w:bottom w:val="none" w:sz="0" w:space="0" w:color="auto"/>
            <w:right w:val="none" w:sz="0" w:space="0" w:color="auto"/>
          </w:divBdr>
        </w:div>
        <w:div w:id="431319196">
          <w:marLeft w:val="0"/>
          <w:marRight w:val="0"/>
          <w:marTop w:val="0"/>
          <w:marBottom w:val="0"/>
          <w:divBdr>
            <w:top w:val="none" w:sz="0" w:space="0" w:color="auto"/>
            <w:left w:val="none" w:sz="0" w:space="0" w:color="auto"/>
            <w:bottom w:val="none" w:sz="0" w:space="0" w:color="auto"/>
            <w:right w:val="none" w:sz="0" w:space="0" w:color="auto"/>
          </w:divBdr>
        </w:div>
        <w:div w:id="1563832630">
          <w:marLeft w:val="0"/>
          <w:marRight w:val="0"/>
          <w:marTop w:val="0"/>
          <w:marBottom w:val="0"/>
          <w:divBdr>
            <w:top w:val="none" w:sz="0" w:space="0" w:color="auto"/>
            <w:left w:val="none" w:sz="0" w:space="0" w:color="auto"/>
            <w:bottom w:val="none" w:sz="0" w:space="0" w:color="auto"/>
            <w:right w:val="none" w:sz="0" w:space="0" w:color="auto"/>
          </w:divBdr>
        </w:div>
        <w:div w:id="1954901127">
          <w:marLeft w:val="0"/>
          <w:marRight w:val="0"/>
          <w:marTop w:val="0"/>
          <w:marBottom w:val="0"/>
          <w:divBdr>
            <w:top w:val="none" w:sz="0" w:space="0" w:color="auto"/>
            <w:left w:val="none" w:sz="0" w:space="0" w:color="auto"/>
            <w:bottom w:val="none" w:sz="0" w:space="0" w:color="auto"/>
            <w:right w:val="none" w:sz="0" w:space="0" w:color="auto"/>
          </w:divBdr>
        </w:div>
        <w:div w:id="391655410">
          <w:marLeft w:val="0"/>
          <w:marRight w:val="0"/>
          <w:marTop w:val="0"/>
          <w:marBottom w:val="0"/>
          <w:divBdr>
            <w:top w:val="none" w:sz="0" w:space="0" w:color="auto"/>
            <w:left w:val="none" w:sz="0" w:space="0" w:color="auto"/>
            <w:bottom w:val="none" w:sz="0" w:space="0" w:color="auto"/>
            <w:right w:val="none" w:sz="0" w:space="0" w:color="auto"/>
          </w:divBdr>
        </w:div>
      </w:divsChild>
    </w:div>
    <w:div w:id="19925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DB7CD-0F3F-4554-A03F-29245C9EB8F9}"/>
</file>

<file path=customXml/itemProps2.xml><?xml version="1.0" encoding="utf-8"?>
<ds:datastoreItem xmlns:ds="http://schemas.openxmlformats.org/officeDocument/2006/customXml" ds:itemID="{4DA83FCF-0D91-4450-BE8D-733945849742}"/>
</file>

<file path=customXml/itemProps3.xml><?xml version="1.0" encoding="utf-8"?>
<ds:datastoreItem xmlns:ds="http://schemas.openxmlformats.org/officeDocument/2006/customXml" ds:itemID="{87AEAB2A-E3DA-4E10-97B0-F1F6AB8161D0}"/>
</file>

<file path=customXml/itemProps4.xml><?xml version="1.0" encoding="utf-8"?>
<ds:datastoreItem xmlns:ds="http://schemas.openxmlformats.org/officeDocument/2006/customXml" ds:itemID="{0485583E-3C58-4C41-96A5-6A1CE8E6DD37}"/>
</file>

<file path=docProps/app.xml><?xml version="1.0" encoding="utf-8"?>
<Properties xmlns="http://schemas.openxmlformats.org/officeDocument/2006/extended-properties" xmlns:vt="http://schemas.openxmlformats.org/officeDocument/2006/docPropsVTypes">
  <Template>Normal.dotm</Template>
  <TotalTime>0</TotalTime>
  <Pages>12</Pages>
  <Words>2398</Words>
  <Characters>11993</Characters>
  <Application>Microsoft Office Word</Application>
  <DocSecurity>4</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מירי רוזנשטוק</dc:creator>
  <cp:lastModifiedBy>מיטל רולניצקי</cp:lastModifiedBy>
  <cp:revision>2</cp:revision>
  <cp:lastPrinted>2019-04-02T04:21:00Z</cp:lastPrinted>
  <dcterms:created xsi:type="dcterms:W3CDTF">2019-05-20T05:34:00Z</dcterms:created>
  <dcterms:modified xsi:type="dcterms:W3CDTF">2019-05-20T05:34:00Z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