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DD" w:rsidRPr="00B93FDD" w:rsidRDefault="00B93FDD" w:rsidP="00B93FDD">
      <w:pPr>
        <w:bidi/>
        <w:spacing w:after="0" w:line="360" w:lineRule="auto"/>
        <w:ind w:right="-101"/>
        <w:jc w:val="right"/>
        <w:rPr>
          <w:rFonts w:ascii="Calibri" w:eastAsia="Calibri" w:hAnsi="Calibri" w:cs="David"/>
          <w:sz w:val="24"/>
          <w:szCs w:val="24"/>
          <w:rtl/>
        </w:rPr>
      </w:pPr>
      <w:r w:rsidRPr="00B93FDD">
        <w:rPr>
          <w:rFonts w:ascii="Calibri" w:eastAsia="Calibri" w:hAnsi="Calibri" w:cs="David" w:hint="eastAsia"/>
          <w:sz w:val="24"/>
          <w:szCs w:val="24"/>
          <w:rtl/>
        </w:rPr>
        <w:t>‏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B93FDD" w:rsidRPr="00B93FDD" w:rsidTr="00B7532E">
        <w:trPr>
          <w:jc w:val="center"/>
        </w:trPr>
        <w:tc>
          <w:tcPr>
            <w:tcW w:w="2840" w:type="dxa"/>
            <w:vAlign w:val="center"/>
          </w:tcPr>
          <w:p w:rsidR="00B93FDD" w:rsidRPr="00B93FDD" w:rsidRDefault="00B93FDD" w:rsidP="00B93FDD">
            <w:pPr>
              <w:bidi/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B93FDD" w:rsidRPr="00B93FDD" w:rsidRDefault="00B93FDD" w:rsidP="00B93FDD">
            <w:pPr>
              <w:bidi/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B93FDD" w:rsidRPr="00B93FDD" w:rsidRDefault="00B93FDD" w:rsidP="00B93FDD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5C9EAB08" wp14:editId="4E144452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B93FDD" w:rsidRPr="00B93FDD" w:rsidRDefault="00B93FDD" w:rsidP="00EE7F0E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B93FD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ירושלים, </w:t>
            </w:r>
            <w:r w:rsidR="00EE7F0E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י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"</w:t>
            </w:r>
            <w:r w:rsidR="00EE7F0E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ג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ב</w:t>
            </w:r>
            <w:r w:rsidR="008B0D0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ניסן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</w:t>
            </w:r>
            <w:proofErr w:type="spellStart"/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תש"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ף</w:t>
            </w:r>
            <w:proofErr w:type="spellEnd"/>
          </w:p>
          <w:p w:rsidR="00B93FDD" w:rsidRPr="00B93FDD" w:rsidRDefault="00EE7F0E" w:rsidP="00381953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7</w:t>
            </w:r>
            <w:r w:rsidR="00B93FDD"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ב</w:t>
            </w:r>
            <w:r w:rsidR="00381953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אפריל</w:t>
            </w:r>
            <w:r w:rsidR="00B93FDD"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2020</w:t>
            </w:r>
          </w:p>
        </w:tc>
      </w:tr>
      <w:tr w:rsidR="00B93FDD" w:rsidRPr="00B93FDD" w:rsidTr="00B7532E">
        <w:trPr>
          <w:jc w:val="center"/>
        </w:trPr>
        <w:tc>
          <w:tcPr>
            <w:tcW w:w="2840" w:type="dxa"/>
            <w:vAlign w:val="center"/>
          </w:tcPr>
          <w:p w:rsidR="00B93FDD" w:rsidRPr="00B93FDD" w:rsidRDefault="00B93FDD" w:rsidP="00B93FDD">
            <w:pPr>
              <w:bidi/>
              <w:spacing w:before="240" w:after="0" w:line="36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6" w:type="dxa"/>
          </w:tcPr>
          <w:p w:rsidR="00B93FDD" w:rsidRPr="00B93FDD" w:rsidRDefault="00B93FDD" w:rsidP="00B93FDD">
            <w:pPr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</w:pPr>
          </w:p>
        </w:tc>
        <w:tc>
          <w:tcPr>
            <w:tcW w:w="3084" w:type="dxa"/>
            <w:vAlign w:val="center"/>
          </w:tcPr>
          <w:p w:rsidR="00B93FDD" w:rsidRPr="00B93FDD" w:rsidRDefault="00B93FDD" w:rsidP="00B93FDD">
            <w:pPr>
              <w:bidi/>
              <w:spacing w:before="240" w:after="0" w:line="48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</w:p>
        </w:tc>
      </w:tr>
    </w:tbl>
    <w:p w:rsidR="00B93FDD" w:rsidRDefault="00B93FDD" w:rsidP="00B93FDD">
      <w:pPr>
        <w:bidi/>
        <w:spacing w:after="16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  <w:r w:rsidRPr="00B93FDD">
        <w:rPr>
          <w:rFonts w:ascii="Calibri" w:eastAsia="Calibri" w:hAnsi="Calibri" w:cs="David" w:hint="cs"/>
          <w:sz w:val="24"/>
          <w:szCs w:val="24"/>
          <w:rtl/>
        </w:rPr>
        <w:t>הודעה לעיתונות:</w:t>
      </w:r>
    </w:p>
    <w:p w:rsidR="000E11DA" w:rsidRPr="00B93FDD" w:rsidRDefault="000E11DA" w:rsidP="000E11DA">
      <w:pPr>
        <w:bidi/>
        <w:spacing w:after="16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</w:p>
    <w:p w:rsidR="00640C7E" w:rsidRDefault="00640C7E" w:rsidP="000E11DA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ED49C4">
        <w:rPr>
          <w:rFonts w:cs="David"/>
          <w:b/>
          <w:bCs/>
          <w:sz w:val="28"/>
          <w:szCs w:val="28"/>
          <w:rtl/>
        </w:rPr>
        <w:t xml:space="preserve">דיווח </w:t>
      </w:r>
      <w:r w:rsidR="00E6338F">
        <w:rPr>
          <w:rFonts w:cs="David" w:hint="cs"/>
          <w:b/>
          <w:bCs/>
          <w:sz w:val="28"/>
          <w:szCs w:val="28"/>
          <w:rtl/>
        </w:rPr>
        <w:t xml:space="preserve">חודשי בדבר </w:t>
      </w:r>
      <w:r w:rsidR="00985C53">
        <w:rPr>
          <w:rFonts w:cs="David" w:hint="cs"/>
          <w:b/>
          <w:bCs/>
          <w:sz w:val="28"/>
          <w:szCs w:val="28"/>
          <w:rtl/>
        </w:rPr>
        <w:t xml:space="preserve">התכניות </w:t>
      </w:r>
      <w:r w:rsidR="00E6338F">
        <w:rPr>
          <w:rFonts w:cs="David" w:hint="cs"/>
          <w:b/>
          <w:bCs/>
          <w:sz w:val="28"/>
          <w:szCs w:val="28"/>
          <w:rtl/>
        </w:rPr>
        <w:t>שבנק ישראל מפעיל בשווקים הפיננסיים</w:t>
      </w:r>
      <w:r w:rsidR="00EE7A53">
        <w:rPr>
          <w:rFonts w:cs="David" w:hint="cs"/>
          <w:b/>
          <w:bCs/>
          <w:sz w:val="28"/>
          <w:szCs w:val="28"/>
          <w:rtl/>
        </w:rPr>
        <w:t xml:space="preserve"> </w:t>
      </w:r>
      <w:r w:rsidRPr="00ED49C4">
        <w:rPr>
          <w:rFonts w:cs="David"/>
          <w:b/>
          <w:bCs/>
          <w:sz w:val="28"/>
          <w:szCs w:val="28"/>
          <w:rtl/>
        </w:rPr>
        <w:t>לאור משבר הקורונה</w:t>
      </w:r>
    </w:p>
    <w:p w:rsidR="000E11DA" w:rsidRPr="00ED49C4" w:rsidRDefault="000E11DA" w:rsidP="000E11DA">
      <w:pPr>
        <w:bidi/>
        <w:spacing w:line="360" w:lineRule="auto"/>
        <w:jc w:val="center"/>
        <w:rPr>
          <w:rFonts w:cs="David"/>
          <w:b/>
          <w:bCs/>
          <w:sz w:val="28"/>
          <w:szCs w:val="28"/>
        </w:rPr>
      </w:pPr>
    </w:p>
    <w:p w:rsidR="008B0D0D" w:rsidRDefault="008B0D0D" w:rsidP="00EE7A5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בנק ישראל </w:t>
      </w:r>
      <w:r w:rsidR="00855330">
        <w:rPr>
          <w:rFonts w:ascii="David" w:hAnsi="David" w:cs="David" w:hint="cs"/>
          <w:sz w:val="24"/>
          <w:szCs w:val="24"/>
          <w:rtl/>
        </w:rPr>
        <w:t>מפעיל</w:t>
      </w:r>
      <w:r w:rsidR="00887667">
        <w:rPr>
          <w:rFonts w:ascii="David" w:hAnsi="David" w:cs="David" w:hint="cs"/>
          <w:sz w:val="24"/>
          <w:szCs w:val="24"/>
          <w:rtl/>
        </w:rPr>
        <w:t xml:space="preserve"> מספר </w:t>
      </w:r>
      <w:r w:rsidR="00EE7A53">
        <w:rPr>
          <w:rFonts w:ascii="David" w:hAnsi="David" w:cs="David" w:hint="cs"/>
          <w:sz w:val="24"/>
          <w:szCs w:val="24"/>
          <w:rtl/>
        </w:rPr>
        <w:t>תכניות</w:t>
      </w:r>
      <w:r w:rsidR="004F2FC2">
        <w:rPr>
          <w:rFonts w:ascii="David" w:hAnsi="David" w:cs="David" w:hint="cs"/>
          <w:sz w:val="24"/>
          <w:szCs w:val="24"/>
          <w:rtl/>
        </w:rPr>
        <w:t xml:space="preserve"> </w:t>
      </w:r>
      <w:r w:rsidR="00855330">
        <w:rPr>
          <w:rFonts w:ascii="David" w:hAnsi="David" w:cs="David" w:hint="cs"/>
          <w:sz w:val="24"/>
          <w:szCs w:val="24"/>
          <w:rtl/>
        </w:rPr>
        <w:t>כדי לטפל ב</w:t>
      </w:r>
      <w:r w:rsidR="004F2FC2">
        <w:rPr>
          <w:rFonts w:ascii="David" w:hAnsi="David" w:cs="David" w:hint="cs"/>
          <w:sz w:val="24"/>
          <w:szCs w:val="24"/>
          <w:rtl/>
        </w:rPr>
        <w:t>קשיי נזילות שפגעו ב</w:t>
      </w:r>
      <w:r w:rsidR="0073390F">
        <w:rPr>
          <w:rFonts w:ascii="David" w:hAnsi="David" w:cs="David" w:hint="cs"/>
          <w:sz w:val="24"/>
          <w:szCs w:val="24"/>
          <w:rtl/>
        </w:rPr>
        <w:t>מערכת הפיננסית</w:t>
      </w:r>
      <w:r w:rsidR="00356507">
        <w:rPr>
          <w:rFonts w:ascii="David" w:hAnsi="David" w:cs="David" w:hint="cs"/>
          <w:sz w:val="24"/>
          <w:szCs w:val="24"/>
          <w:rtl/>
        </w:rPr>
        <w:t xml:space="preserve"> </w:t>
      </w:r>
      <w:r w:rsidR="00176046">
        <w:rPr>
          <w:rFonts w:ascii="David" w:hAnsi="David" w:cs="David" w:hint="cs"/>
          <w:sz w:val="24"/>
          <w:szCs w:val="24"/>
          <w:rtl/>
        </w:rPr>
        <w:t>בעקבות</w:t>
      </w:r>
      <w:r w:rsidR="00356507">
        <w:rPr>
          <w:rFonts w:ascii="David" w:hAnsi="David" w:cs="David" w:hint="cs"/>
          <w:sz w:val="24"/>
          <w:szCs w:val="24"/>
          <w:rtl/>
        </w:rPr>
        <w:t xml:space="preserve"> משבר הקורונה</w:t>
      </w:r>
      <w:r w:rsidR="00855330">
        <w:rPr>
          <w:rFonts w:ascii="David" w:hAnsi="David" w:cs="David" w:hint="cs"/>
          <w:sz w:val="24"/>
          <w:szCs w:val="24"/>
          <w:rtl/>
        </w:rPr>
        <w:t xml:space="preserve">, להבטיח את התפקוד התקין של השווקים הפיננסיים, </w:t>
      </w:r>
      <w:r w:rsidR="00E0438C">
        <w:rPr>
          <w:rFonts w:ascii="David" w:hAnsi="David" w:cs="David" w:hint="cs"/>
          <w:sz w:val="24"/>
          <w:szCs w:val="24"/>
          <w:rtl/>
        </w:rPr>
        <w:t xml:space="preserve">להקל על תנאי האשראי במשק ולתמוך </w:t>
      </w:r>
      <w:r w:rsidR="00176046">
        <w:rPr>
          <w:rFonts w:ascii="David" w:hAnsi="David" w:cs="David" w:hint="cs"/>
          <w:sz w:val="24"/>
          <w:szCs w:val="24"/>
          <w:rtl/>
        </w:rPr>
        <w:t>ב</w:t>
      </w:r>
      <w:r w:rsidR="00E0438C">
        <w:rPr>
          <w:rFonts w:ascii="David" w:hAnsi="David" w:cs="David" w:hint="cs"/>
          <w:sz w:val="24"/>
          <w:szCs w:val="24"/>
          <w:rtl/>
        </w:rPr>
        <w:t>פעילות הכלכלית וביציבות הפיננסית</w:t>
      </w:r>
      <w:r w:rsidR="00855330">
        <w:rPr>
          <w:rFonts w:ascii="David" w:hAnsi="David" w:cs="David" w:hint="cs"/>
          <w:sz w:val="24"/>
          <w:szCs w:val="24"/>
          <w:rtl/>
        </w:rPr>
        <w:t>.</w:t>
      </w:r>
      <w:r w:rsidR="0035650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B0D0D" w:rsidRDefault="008B0D0D" w:rsidP="008F02E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להלן עדכון חודשי של </w:t>
      </w:r>
      <w:r w:rsidR="008F02E0">
        <w:rPr>
          <w:rFonts w:ascii="David" w:hAnsi="David" w:cs="David" w:hint="cs"/>
          <w:sz w:val="24"/>
          <w:szCs w:val="24"/>
          <w:rtl/>
        </w:rPr>
        <w:t xml:space="preserve">יתרת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73390F">
        <w:rPr>
          <w:rFonts w:ascii="David" w:hAnsi="David" w:cs="David" w:hint="cs"/>
          <w:sz w:val="24"/>
          <w:szCs w:val="24"/>
          <w:rtl/>
        </w:rPr>
        <w:t>תכניות שהופעלו נכון ל-31/</w:t>
      </w:r>
      <w:r w:rsidR="00226A26">
        <w:rPr>
          <w:rFonts w:ascii="David" w:hAnsi="David" w:cs="David" w:hint="cs"/>
          <w:sz w:val="24"/>
          <w:szCs w:val="24"/>
          <w:rtl/>
        </w:rPr>
        <w:t>0</w:t>
      </w:r>
      <w:r w:rsidR="0073390F">
        <w:rPr>
          <w:rFonts w:ascii="David" w:hAnsi="David" w:cs="David" w:hint="cs"/>
          <w:sz w:val="24"/>
          <w:szCs w:val="24"/>
          <w:rtl/>
        </w:rPr>
        <w:t>3/2020</w:t>
      </w:r>
      <w:r w:rsidR="00E0438C">
        <w:rPr>
          <w:rFonts w:ascii="David" w:hAnsi="David" w:cs="David" w:hint="cs"/>
          <w:sz w:val="24"/>
          <w:szCs w:val="24"/>
          <w:rtl/>
        </w:rPr>
        <w:t>:</w:t>
      </w:r>
    </w:p>
    <w:p w:rsidR="00D65F95" w:rsidRDefault="00D65F95" w:rsidP="00D65F95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tbl>
      <w:tblPr>
        <w:tblStyle w:val="6"/>
        <w:bidiVisual/>
        <w:tblW w:w="9059" w:type="dxa"/>
        <w:tblLook w:val="04A0" w:firstRow="1" w:lastRow="0" w:firstColumn="1" w:lastColumn="0" w:noHBand="0" w:noVBand="1"/>
      </w:tblPr>
      <w:tblGrid>
        <w:gridCol w:w="2568"/>
        <w:gridCol w:w="2231"/>
        <w:gridCol w:w="1987"/>
        <w:gridCol w:w="2273"/>
      </w:tblGrid>
      <w:tr w:rsidR="00D65F95" w:rsidRPr="00E0438C" w:rsidTr="00D03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:rsidR="00D65F95" w:rsidRPr="00E0438C" w:rsidRDefault="00D65F95" w:rsidP="004F4FCF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:rsidR="00D65F95" w:rsidRPr="00E0438C" w:rsidRDefault="00D65F95" w:rsidP="00D65F9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E0438C">
              <w:rPr>
                <w:rFonts w:cs="David" w:hint="cs"/>
                <w:sz w:val="24"/>
                <w:szCs w:val="24"/>
                <w:rtl/>
              </w:rPr>
              <w:t xml:space="preserve">עסקאות ריפו </w:t>
            </w:r>
            <w:r>
              <w:rPr>
                <w:rFonts w:cs="David" w:hint="cs"/>
                <w:sz w:val="24"/>
                <w:szCs w:val="24"/>
                <w:rtl/>
              </w:rPr>
              <w:t>עם</w:t>
            </w:r>
            <w:r w:rsidRPr="00E0438C">
              <w:rPr>
                <w:rFonts w:cs="David" w:hint="cs"/>
                <w:sz w:val="24"/>
                <w:szCs w:val="24"/>
                <w:rtl/>
              </w:rPr>
              <w:t xml:space="preserve"> אג"ח ממשלתיות כבטוחה</w:t>
            </w:r>
          </w:p>
        </w:tc>
        <w:tc>
          <w:tcPr>
            <w:tcW w:w="1987" w:type="dxa"/>
          </w:tcPr>
          <w:p w:rsidR="00D65F95" w:rsidRPr="00887667" w:rsidRDefault="00D65F95" w:rsidP="00D65F9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עסק</w:t>
            </w:r>
            <w:r>
              <w:rPr>
                <w:rFonts w:cs="David" w:hint="cs"/>
                <w:sz w:val="24"/>
                <w:szCs w:val="24"/>
                <w:rtl/>
              </w:rPr>
              <w:t>או</w:t>
            </w:r>
            <w:r w:rsidRPr="00887667">
              <w:rPr>
                <w:rFonts w:cs="David"/>
                <w:sz w:val="24"/>
                <w:szCs w:val="24"/>
                <w:rtl/>
              </w:rPr>
              <w:t>ת החלף דולר/שקל</w:t>
            </w:r>
          </w:p>
          <w:p w:rsidR="00D65F95" w:rsidRPr="00E0438C" w:rsidRDefault="00D65F95" w:rsidP="004F4FCF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3" w:type="dxa"/>
          </w:tcPr>
          <w:p w:rsidR="00D65F95" w:rsidRPr="00E0438C" w:rsidRDefault="00D65F95" w:rsidP="004F4FCF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E0438C">
              <w:rPr>
                <w:rFonts w:cs="David" w:hint="cs"/>
                <w:sz w:val="24"/>
                <w:szCs w:val="24"/>
                <w:rtl/>
              </w:rPr>
              <w:t>רכישות אג"ח ממשלתי</w:t>
            </w:r>
          </w:p>
        </w:tc>
      </w:tr>
      <w:tr w:rsidR="00D65F95" w:rsidRPr="00E0438C" w:rsidTr="00497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shd w:val="clear" w:color="auto" w:fill="auto"/>
          </w:tcPr>
          <w:p w:rsidR="00D65F95" w:rsidRPr="00E0438C" w:rsidRDefault="00D65F95" w:rsidP="004F4FCF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2231" w:type="dxa"/>
            <w:shd w:val="clear" w:color="auto" w:fill="auto"/>
          </w:tcPr>
          <w:p w:rsidR="00D65F95" w:rsidRPr="00E0438C" w:rsidRDefault="000E11DA" w:rsidP="003E6FE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hyperlink r:id="rId12" w:history="1"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15</w:t>
              </w:r>
              <w:r w:rsidR="00D65F95">
                <w:rPr>
                  <w:rStyle w:val="Hyperlink"/>
                  <w:rFonts w:cs="David" w:hint="cs"/>
                  <w:sz w:val="24"/>
                  <w:szCs w:val="24"/>
                  <w:rtl/>
                </w:rPr>
                <w:t>/0</w:t>
              </w:r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  <w:r w:rsidR="00D65F95">
                <w:rPr>
                  <w:rStyle w:val="Hyperlink"/>
                  <w:rFonts w:cs="David" w:hint="cs"/>
                  <w:sz w:val="24"/>
                  <w:szCs w:val="24"/>
                  <w:rtl/>
                </w:rPr>
                <w:t>/</w:t>
              </w:r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2020</w:t>
              </w:r>
            </w:hyperlink>
          </w:p>
        </w:tc>
        <w:tc>
          <w:tcPr>
            <w:tcW w:w="1987" w:type="dxa"/>
            <w:shd w:val="clear" w:color="auto" w:fill="auto"/>
          </w:tcPr>
          <w:p w:rsidR="00D65F95" w:rsidRDefault="000E11DA" w:rsidP="003E6FE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hyperlink r:id="rId13" w:history="1"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18</w:t>
              </w:r>
              <w:r w:rsidR="00D65F95">
                <w:rPr>
                  <w:rStyle w:val="Hyperlink"/>
                  <w:rFonts w:cs="David" w:hint="cs"/>
                  <w:sz w:val="24"/>
                  <w:szCs w:val="24"/>
                  <w:rtl/>
                </w:rPr>
                <w:t>/0</w:t>
              </w:r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  <w:r w:rsidR="00D65F95">
                <w:rPr>
                  <w:rStyle w:val="Hyperlink"/>
                  <w:rFonts w:cs="David" w:hint="cs"/>
                  <w:sz w:val="24"/>
                  <w:szCs w:val="24"/>
                  <w:rtl/>
                </w:rPr>
                <w:t>/</w:t>
              </w:r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2020</w:t>
              </w:r>
            </w:hyperlink>
          </w:p>
        </w:tc>
        <w:tc>
          <w:tcPr>
            <w:tcW w:w="2273" w:type="dxa"/>
            <w:shd w:val="clear" w:color="auto" w:fill="auto"/>
          </w:tcPr>
          <w:p w:rsidR="00D65F95" w:rsidRPr="00E0438C" w:rsidRDefault="000E11DA" w:rsidP="003E6FE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hyperlink r:id="rId14" w:history="1"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23</w:t>
              </w:r>
              <w:r w:rsidR="00D65F95">
                <w:rPr>
                  <w:rStyle w:val="Hyperlink"/>
                  <w:rFonts w:cs="David" w:hint="cs"/>
                  <w:sz w:val="24"/>
                  <w:szCs w:val="24"/>
                  <w:rtl/>
                </w:rPr>
                <w:t>/0</w:t>
              </w:r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  <w:r w:rsidR="00D65F95">
                <w:rPr>
                  <w:rStyle w:val="Hyperlink"/>
                  <w:rFonts w:cs="David" w:hint="cs"/>
                  <w:sz w:val="24"/>
                  <w:szCs w:val="24"/>
                  <w:rtl/>
                </w:rPr>
                <w:t>/</w:t>
              </w:r>
              <w:r w:rsidR="00D65F95"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2020</w:t>
              </w:r>
            </w:hyperlink>
          </w:p>
        </w:tc>
      </w:tr>
      <w:tr w:rsidR="00D65F95" w:rsidRPr="00E0438C" w:rsidTr="00D03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:rsidR="00D65F95" w:rsidRDefault="000E11DA" w:rsidP="00D65F95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יתרה נכון ל -31/3/2020</w:t>
            </w:r>
            <w:r w:rsidR="00D65F9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31" w:type="dxa"/>
          </w:tcPr>
          <w:p w:rsidR="00D65F95" w:rsidRPr="00E0438C" w:rsidRDefault="00D65F95" w:rsidP="001E2A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5.5 מיליארדי ש"ח</w:t>
            </w:r>
          </w:p>
        </w:tc>
        <w:tc>
          <w:tcPr>
            <w:tcW w:w="1987" w:type="dxa"/>
          </w:tcPr>
          <w:p w:rsidR="00D65F95" w:rsidRDefault="00D65F95" w:rsidP="001E2A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7.5 מיליארדי דולר</w:t>
            </w:r>
          </w:p>
        </w:tc>
        <w:tc>
          <w:tcPr>
            <w:tcW w:w="2273" w:type="dxa"/>
          </w:tcPr>
          <w:p w:rsidR="00D65F95" w:rsidRPr="00E0438C" w:rsidRDefault="00D65F95" w:rsidP="001E2A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8.5 מיליארדי ש"ח</w:t>
            </w:r>
          </w:p>
        </w:tc>
      </w:tr>
    </w:tbl>
    <w:p w:rsidR="00D65F95" w:rsidRDefault="00D65F95" w:rsidP="00D65F95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bookmarkStart w:id="0" w:name="_GoBack"/>
      <w:bookmarkEnd w:id="0"/>
    </w:p>
    <w:sectPr w:rsidR="00D65F95">
      <w:headerReference w:type="default" r:id="rId15"/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A2" w:rsidRDefault="006630A2" w:rsidP="0082626D">
      <w:pPr>
        <w:spacing w:after="0" w:line="240" w:lineRule="auto"/>
      </w:pPr>
      <w:r>
        <w:separator/>
      </w:r>
    </w:p>
  </w:endnote>
  <w:endnote w:type="continuationSeparator" w:id="0">
    <w:p w:rsidR="006630A2" w:rsidRDefault="006630A2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1" w:rsidRDefault="00A30BD1" w:rsidP="000E11DA">
    <w:pPr>
      <w:pStyle w:val="a9"/>
      <w:jc w:val="center"/>
    </w:pPr>
  </w:p>
  <w:p w:rsidR="00A30BD1" w:rsidRDefault="00A30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A2" w:rsidRDefault="006630A2" w:rsidP="0082626D">
      <w:pPr>
        <w:spacing w:after="0" w:line="240" w:lineRule="auto"/>
      </w:pPr>
      <w:r>
        <w:separator/>
      </w:r>
    </w:p>
  </w:footnote>
  <w:footnote w:type="continuationSeparator" w:id="0">
    <w:p w:rsidR="006630A2" w:rsidRDefault="006630A2" w:rsidP="0082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CE" w:rsidRPr="007674CE" w:rsidRDefault="007674CE" w:rsidP="007674CE">
    <w:pPr>
      <w:pStyle w:val="a7"/>
      <w:jc w:val="center"/>
      <w:rPr>
        <w:color w:val="FF0000"/>
      </w:rPr>
    </w:pPr>
  </w:p>
  <w:p w:rsidR="007674CE" w:rsidRDefault="007674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16098"/>
    <w:rsid w:val="0001792D"/>
    <w:rsid w:val="000431FD"/>
    <w:rsid w:val="00057612"/>
    <w:rsid w:val="00085533"/>
    <w:rsid w:val="000A2F75"/>
    <w:rsid w:val="000A4059"/>
    <w:rsid w:val="000C3290"/>
    <w:rsid w:val="000E11DA"/>
    <w:rsid w:val="000E133D"/>
    <w:rsid w:val="000E2879"/>
    <w:rsid w:val="00176046"/>
    <w:rsid w:val="00191E80"/>
    <w:rsid w:val="001D4613"/>
    <w:rsid w:val="001D795B"/>
    <w:rsid w:val="001E2ACA"/>
    <w:rsid w:val="00210F2B"/>
    <w:rsid w:val="00226A26"/>
    <w:rsid w:val="002374B4"/>
    <w:rsid w:val="00241556"/>
    <w:rsid w:val="00242E98"/>
    <w:rsid w:val="0026535F"/>
    <w:rsid w:val="002C795C"/>
    <w:rsid w:val="002E6981"/>
    <w:rsid w:val="00300886"/>
    <w:rsid w:val="00356507"/>
    <w:rsid w:val="003704E6"/>
    <w:rsid w:val="003812B6"/>
    <w:rsid w:val="00381953"/>
    <w:rsid w:val="003872C4"/>
    <w:rsid w:val="003E6FEA"/>
    <w:rsid w:val="00497AD8"/>
    <w:rsid w:val="004A06FD"/>
    <w:rsid w:val="004B4BF3"/>
    <w:rsid w:val="004C555E"/>
    <w:rsid w:val="004C5D77"/>
    <w:rsid w:val="004E6D37"/>
    <w:rsid w:val="004F2FC2"/>
    <w:rsid w:val="00524E99"/>
    <w:rsid w:val="00554B61"/>
    <w:rsid w:val="00576DEF"/>
    <w:rsid w:val="00577BBD"/>
    <w:rsid w:val="005813A7"/>
    <w:rsid w:val="005825E4"/>
    <w:rsid w:val="005B23CF"/>
    <w:rsid w:val="00613C9A"/>
    <w:rsid w:val="00620666"/>
    <w:rsid w:val="00633B13"/>
    <w:rsid w:val="00640C7E"/>
    <w:rsid w:val="006453CE"/>
    <w:rsid w:val="006630A2"/>
    <w:rsid w:val="0067350C"/>
    <w:rsid w:val="00675225"/>
    <w:rsid w:val="006932D1"/>
    <w:rsid w:val="00696D47"/>
    <w:rsid w:val="006C7678"/>
    <w:rsid w:val="006F2580"/>
    <w:rsid w:val="007262E9"/>
    <w:rsid w:val="0073390F"/>
    <w:rsid w:val="00743A1C"/>
    <w:rsid w:val="0074427A"/>
    <w:rsid w:val="0076216E"/>
    <w:rsid w:val="00764250"/>
    <w:rsid w:val="007674CE"/>
    <w:rsid w:val="007B7E88"/>
    <w:rsid w:val="007D16C9"/>
    <w:rsid w:val="008050FB"/>
    <w:rsid w:val="00821E7D"/>
    <w:rsid w:val="008237AE"/>
    <w:rsid w:val="008246DE"/>
    <w:rsid w:val="0082626D"/>
    <w:rsid w:val="00855330"/>
    <w:rsid w:val="0086209A"/>
    <w:rsid w:val="00887667"/>
    <w:rsid w:val="008B0D0D"/>
    <w:rsid w:val="008C0002"/>
    <w:rsid w:val="008E4003"/>
    <w:rsid w:val="008F02E0"/>
    <w:rsid w:val="008F3B5A"/>
    <w:rsid w:val="009037FD"/>
    <w:rsid w:val="009230D9"/>
    <w:rsid w:val="0093260C"/>
    <w:rsid w:val="00944576"/>
    <w:rsid w:val="00954779"/>
    <w:rsid w:val="00985C53"/>
    <w:rsid w:val="00990035"/>
    <w:rsid w:val="009953C2"/>
    <w:rsid w:val="009A4066"/>
    <w:rsid w:val="009B7D28"/>
    <w:rsid w:val="009D7B1F"/>
    <w:rsid w:val="009E29DA"/>
    <w:rsid w:val="009F09AF"/>
    <w:rsid w:val="009F119C"/>
    <w:rsid w:val="00A26568"/>
    <w:rsid w:val="00A30BD1"/>
    <w:rsid w:val="00A53216"/>
    <w:rsid w:val="00A556AC"/>
    <w:rsid w:val="00A70C92"/>
    <w:rsid w:val="00A73C0D"/>
    <w:rsid w:val="00AB4079"/>
    <w:rsid w:val="00AC0658"/>
    <w:rsid w:val="00AC6FFE"/>
    <w:rsid w:val="00B61615"/>
    <w:rsid w:val="00B93FDD"/>
    <w:rsid w:val="00BF27E4"/>
    <w:rsid w:val="00BF49B8"/>
    <w:rsid w:val="00C04A9E"/>
    <w:rsid w:val="00C055FD"/>
    <w:rsid w:val="00C153A9"/>
    <w:rsid w:val="00C523F7"/>
    <w:rsid w:val="00C665B2"/>
    <w:rsid w:val="00CA23C8"/>
    <w:rsid w:val="00CD578D"/>
    <w:rsid w:val="00D03A17"/>
    <w:rsid w:val="00D3623A"/>
    <w:rsid w:val="00D46C91"/>
    <w:rsid w:val="00D65F95"/>
    <w:rsid w:val="00DC62BD"/>
    <w:rsid w:val="00DF34A4"/>
    <w:rsid w:val="00DF43A7"/>
    <w:rsid w:val="00E0438C"/>
    <w:rsid w:val="00E13563"/>
    <w:rsid w:val="00E45F10"/>
    <w:rsid w:val="00E50AC3"/>
    <w:rsid w:val="00E6338F"/>
    <w:rsid w:val="00E7718D"/>
    <w:rsid w:val="00EA2E55"/>
    <w:rsid w:val="00EE7A53"/>
    <w:rsid w:val="00EE7F0E"/>
    <w:rsid w:val="00F02EBC"/>
    <w:rsid w:val="00F35D98"/>
    <w:rsid w:val="00F70F87"/>
    <w:rsid w:val="00F74D5D"/>
    <w:rsid w:val="00F8315C"/>
    <w:rsid w:val="00F85CA0"/>
    <w:rsid w:val="00F91C45"/>
    <w:rsid w:val="00F9554F"/>
    <w:rsid w:val="00F972B9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CFD7"/>
  <w15:docId w15:val="{ED252891-7E58-4DA1-B349-51D0168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i.org.il/he/NewsAndPublications/PressReleases/Pages/18-3-2020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he/NewsAndPublications/PressReleases/Pages/15-03-2020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i.org.il/he/NewsAndPublications/PressReleases/Pages/22-3-20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EAA6-34A1-49DC-B3DC-734578741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B31C0-798C-4F09-A781-B68F25210FCC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EE6682-4305-4541-B556-945CE7FA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5D2CF-2A11-45CF-80D4-EAE0B4C1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790</Characters>
  <Application>Microsoft Office Word</Application>
  <DocSecurity>4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פרידמן</dc:creator>
  <cp:keywords/>
  <dc:description/>
  <cp:lastModifiedBy>יפעת כהן סידי</cp:lastModifiedBy>
  <cp:revision>2</cp:revision>
  <cp:lastPrinted>2020-03-23T06:35:00Z</cp:lastPrinted>
  <dcterms:created xsi:type="dcterms:W3CDTF">2020-04-07T07:35:00Z</dcterms:created>
  <dcterms:modified xsi:type="dcterms:W3CDTF">2020-04-07T07:35:00Z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