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C87F7" w14:textId="30B399EE" w:rsidR="008A7212" w:rsidRPr="00E8008F" w:rsidRDefault="009C1E74" w:rsidP="001E3DF2">
      <w:pPr>
        <w:bidi w:val="0"/>
        <w:jc w:val="center"/>
        <w:rPr>
          <w:rtl/>
        </w:rPr>
      </w:pPr>
      <w:r>
        <w:rPr>
          <w:noProof/>
          <w:rtl/>
        </w:rPr>
        <w:drawing>
          <wp:anchor distT="0" distB="0" distL="114300" distR="114300" simplePos="0" relativeHeight="251670528" behindDoc="0" locked="0" layoutInCell="1" allowOverlap="1" wp14:anchorId="002B862C" wp14:editId="4FB12A1E">
            <wp:simplePos x="0" y="0"/>
            <wp:positionH relativeFrom="margin">
              <wp:posOffset>2298065</wp:posOffset>
            </wp:positionH>
            <wp:positionV relativeFrom="margin">
              <wp:posOffset>-327660</wp:posOffset>
            </wp:positionV>
            <wp:extent cx="1191260" cy="1191260"/>
            <wp:effectExtent l="0" t="0" r="8890" b="8890"/>
            <wp:wrapSquare wrapText="bothSides"/>
            <wp:docPr id="1"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8F995" w14:textId="77777777" w:rsidR="008A7212" w:rsidRDefault="008A7212" w:rsidP="001E3DF2">
      <w:pPr>
        <w:pStyle w:val="regpar"/>
        <w:spacing w:line="240" w:lineRule="auto"/>
        <w:ind w:firstLine="0"/>
        <w:jc w:val="center"/>
        <w:rPr>
          <w:b/>
        </w:rPr>
      </w:pPr>
    </w:p>
    <w:p w14:paraId="3BCB7D5B" w14:textId="77777777" w:rsidR="009C1E74" w:rsidRDefault="009C1E74" w:rsidP="001E3DF2">
      <w:pPr>
        <w:pStyle w:val="regpar"/>
        <w:spacing w:line="240" w:lineRule="auto"/>
        <w:ind w:firstLine="0"/>
        <w:jc w:val="center"/>
        <w:rPr>
          <w:rFonts w:ascii="Times New Roman" w:hAnsi="Times New Roman" w:cs="David"/>
          <w:bCs/>
        </w:rPr>
      </w:pPr>
    </w:p>
    <w:p w14:paraId="0894D6B1" w14:textId="77777777" w:rsidR="009C1E74" w:rsidRDefault="009C1E74" w:rsidP="001E3DF2">
      <w:pPr>
        <w:pStyle w:val="regpar"/>
        <w:spacing w:line="240" w:lineRule="auto"/>
        <w:ind w:firstLine="0"/>
        <w:jc w:val="center"/>
        <w:rPr>
          <w:rFonts w:ascii="Times New Roman" w:hAnsi="Times New Roman" w:cs="David"/>
          <w:bCs/>
        </w:rPr>
      </w:pPr>
    </w:p>
    <w:p w14:paraId="50FD0B7B" w14:textId="77777777" w:rsidR="009C1E74" w:rsidRDefault="009C1E74" w:rsidP="001E3DF2">
      <w:pPr>
        <w:pStyle w:val="regpar"/>
        <w:spacing w:line="240" w:lineRule="auto"/>
        <w:ind w:firstLine="0"/>
        <w:jc w:val="center"/>
        <w:rPr>
          <w:rFonts w:ascii="Times New Roman" w:hAnsi="Times New Roman" w:cs="David"/>
          <w:bCs/>
        </w:rPr>
      </w:pPr>
    </w:p>
    <w:p w14:paraId="7D1CEFD0" w14:textId="77777777" w:rsidR="008A7212" w:rsidRPr="00000A06" w:rsidRDefault="008A7212" w:rsidP="001E3DF2">
      <w:pPr>
        <w:pStyle w:val="regpar"/>
        <w:spacing w:line="240" w:lineRule="auto"/>
        <w:ind w:firstLine="0"/>
        <w:jc w:val="center"/>
        <w:rPr>
          <w:rFonts w:ascii="Times New Roman" w:hAnsi="Times New Roman" w:cs="David"/>
          <w:bCs/>
        </w:rPr>
      </w:pPr>
      <w:r w:rsidRPr="00000A06">
        <w:rPr>
          <w:rFonts w:ascii="Times New Roman" w:hAnsi="Times New Roman" w:cs="David"/>
          <w:bCs/>
        </w:rPr>
        <w:t>BANK OF ISRAEL</w:t>
      </w:r>
    </w:p>
    <w:p w14:paraId="5A28EB35" w14:textId="77777777" w:rsidR="008A7212" w:rsidRPr="00000A06" w:rsidRDefault="008A7212" w:rsidP="001E3DF2">
      <w:pPr>
        <w:pStyle w:val="regpar"/>
        <w:spacing w:line="240" w:lineRule="auto"/>
        <w:ind w:firstLine="0"/>
        <w:jc w:val="center"/>
        <w:rPr>
          <w:rFonts w:ascii="Times New Roman" w:hAnsi="Times New Roman" w:cs="Times New Roman"/>
          <w:b/>
        </w:rPr>
      </w:pPr>
      <w:r w:rsidRPr="00000A06">
        <w:rPr>
          <w:rFonts w:ascii="Times New Roman" w:hAnsi="Times New Roman" w:cs="Times New Roman"/>
        </w:rPr>
        <w:t>Office of the Spokes</w:t>
      </w:r>
      <w:r w:rsidR="003D6F31">
        <w:rPr>
          <w:rFonts w:ascii="Times New Roman" w:hAnsi="Times New Roman" w:cs="Times New Roman"/>
        </w:rPr>
        <w:t>person</w:t>
      </w:r>
      <w:r w:rsidRPr="00000A06">
        <w:rPr>
          <w:rFonts w:ascii="Times New Roman" w:hAnsi="Times New Roman" w:cs="Times New Roman"/>
        </w:rPr>
        <w:t xml:space="preserve"> and Economic Information</w:t>
      </w:r>
    </w:p>
    <w:p w14:paraId="6ED438C7" w14:textId="77777777" w:rsidR="00A62731" w:rsidRDefault="00A62731" w:rsidP="001E3DF2">
      <w:pPr>
        <w:bidi w:val="0"/>
        <w:jc w:val="center"/>
        <w:rPr>
          <w:rFonts w:cs="David"/>
          <w:b/>
          <w:bCs/>
          <w:sz w:val="26"/>
          <w:szCs w:val="26"/>
        </w:rPr>
      </w:pPr>
    </w:p>
    <w:p w14:paraId="5E93130B" w14:textId="0EF73F39" w:rsidR="00A62731" w:rsidRDefault="00104A7D" w:rsidP="005B1850">
      <w:pPr>
        <w:bidi w:val="0"/>
        <w:jc w:val="right"/>
      </w:pPr>
      <w:r w:rsidRPr="005B1850">
        <w:t>August</w:t>
      </w:r>
      <w:r w:rsidR="00353385" w:rsidRPr="005B1850">
        <w:t xml:space="preserve"> </w:t>
      </w:r>
      <w:r w:rsidR="005B1850" w:rsidRPr="005B1850">
        <w:rPr>
          <w:rFonts w:hint="cs"/>
          <w:rtl/>
        </w:rPr>
        <w:t>5</w:t>
      </w:r>
      <w:r w:rsidR="00353385" w:rsidRPr="005B1850">
        <w:t>, 2025</w:t>
      </w:r>
    </w:p>
    <w:p w14:paraId="4B4E6470" w14:textId="52BE1C7B" w:rsidR="00716379" w:rsidRPr="00A725A1" w:rsidRDefault="00716379" w:rsidP="00A725A1">
      <w:pPr>
        <w:pStyle w:val="PressReleaseTitle"/>
        <w:jc w:val="left"/>
        <w:rPr>
          <w:sz w:val="24"/>
          <w:szCs w:val="24"/>
        </w:rPr>
      </w:pPr>
      <w:r w:rsidRPr="00A725A1">
        <w:rPr>
          <w:sz w:val="24"/>
          <w:szCs w:val="24"/>
        </w:rPr>
        <w:t>Press Release</w:t>
      </w:r>
      <w:r w:rsidR="00A725A1" w:rsidRPr="00A725A1">
        <w:rPr>
          <w:sz w:val="24"/>
          <w:szCs w:val="24"/>
        </w:rPr>
        <w:t>:</w:t>
      </w:r>
    </w:p>
    <w:p w14:paraId="62578AA0" w14:textId="77777777" w:rsidR="00A725A1" w:rsidRPr="0094738B" w:rsidRDefault="00A725A1" w:rsidP="00A725A1">
      <w:pPr>
        <w:pStyle w:val="PressReleaseTitle"/>
        <w:jc w:val="left"/>
      </w:pPr>
    </w:p>
    <w:p w14:paraId="772C0C65" w14:textId="1426DB9D" w:rsidR="00716379" w:rsidRPr="00C809DA" w:rsidRDefault="00716379" w:rsidP="00AE7F22">
      <w:pPr>
        <w:pStyle w:val="PressReleaseTitle"/>
        <w:rPr>
          <w:sz w:val="32"/>
          <w:szCs w:val="32"/>
        </w:rPr>
      </w:pPr>
      <w:r w:rsidRPr="00C809DA">
        <w:rPr>
          <w:sz w:val="32"/>
          <w:szCs w:val="32"/>
        </w:rPr>
        <w:t xml:space="preserve">Israel’s foreign currency market in </w:t>
      </w:r>
      <w:r w:rsidR="006811E6" w:rsidRPr="00C809DA">
        <w:rPr>
          <w:sz w:val="32"/>
          <w:szCs w:val="32"/>
        </w:rPr>
        <w:t xml:space="preserve">the </w:t>
      </w:r>
      <w:r w:rsidR="00104A7D">
        <w:rPr>
          <w:sz w:val="32"/>
          <w:szCs w:val="32"/>
        </w:rPr>
        <w:t>second</w:t>
      </w:r>
      <w:r w:rsidR="006346E3">
        <w:rPr>
          <w:sz w:val="32"/>
          <w:szCs w:val="32"/>
        </w:rPr>
        <w:t xml:space="preserve"> </w:t>
      </w:r>
      <w:r w:rsidR="0013070F" w:rsidRPr="00C809DA">
        <w:rPr>
          <w:sz w:val="32"/>
          <w:szCs w:val="32"/>
        </w:rPr>
        <w:t>quarter</w:t>
      </w:r>
      <w:r w:rsidR="0017665B" w:rsidRPr="00C809DA">
        <w:rPr>
          <w:sz w:val="32"/>
          <w:szCs w:val="32"/>
        </w:rPr>
        <w:t xml:space="preserve"> </w:t>
      </w:r>
      <w:r w:rsidR="00B9767B" w:rsidRPr="00C809DA">
        <w:rPr>
          <w:sz w:val="32"/>
          <w:szCs w:val="32"/>
        </w:rPr>
        <w:t>of</w:t>
      </w:r>
      <w:r w:rsidR="006346E3">
        <w:rPr>
          <w:sz w:val="32"/>
          <w:szCs w:val="32"/>
        </w:rPr>
        <w:t xml:space="preserve"> </w:t>
      </w:r>
      <w:r w:rsidR="00353385">
        <w:rPr>
          <w:sz w:val="32"/>
          <w:szCs w:val="32"/>
        </w:rPr>
        <w:t>2025</w:t>
      </w:r>
    </w:p>
    <w:p w14:paraId="6FE4674A" w14:textId="77777777" w:rsidR="00316A5F" w:rsidRDefault="00316A5F" w:rsidP="001E3DF2">
      <w:pPr>
        <w:bidi w:val="0"/>
        <w:jc w:val="center"/>
        <w:rPr>
          <w:sz w:val="22"/>
          <w:szCs w:val="22"/>
        </w:rPr>
      </w:pPr>
    </w:p>
    <w:p w14:paraId="285B719A" w14:textId="77777777" w:rsidR="00716379" w:rsidRDefault="00716379" w:rsidP="001E3DF2">
      <w:pPr>
        <w:bidi w:val="0"/>
        <w:jc w:val="both"/>
        <w:rPr>
          <w:b/>
          <w:bCs/>
        </w:rPr>
      </w:pPr>
    </w:p>
    <w:p w14:paraId="5721F431" w14:textId="5C1D20E8" w:rsidR="00716379" w:rsidRDefault="00716379" w:rsidP="001E6AE3">
      <w:pPr>
        <w:bidi w:val="0"/>
        <w:jc w:val="both"/>
        <w:rPr>
          <w:b/>
          <w:bCs/>
        </w:rPr>
      </w:pPr>
      <w:r>
        <w:rPr>
          <w:b/>
          <w:bCs/>
        </w:rPr>
        <w:t>1. Exchange Rate</w:t>
      </w:r>
      <w:r w:rsidR="001E6AE3">
        <w:rPr>
          <w:b/>
          <w:bCs/>
        </w:rPr>
        <w:t xml:space="preserve"> Development</w:t>
      </w:r>
    </w:p>
    <w:p w14:paraId="5B18533B" w14:textId="77777777" w:rsidR="001E3DF2" w:rsidRDefault="001E3DF2" w:rsidP="001E3DF2">
      <w:pPr>
        <w:bidi w:val="0"/>
        <w:jc w:val="both"/>
        <w:rPr>
          <w:b/>
          <w:bCs/>
        </w:rPr>
      </w:pPr>
    </w:p>
    <w:p w14:paraId="4CA1CE12" w14:textId="17F374CD" w:rsidR="00716379" w:rsidRDefault="007F44E2" w:rsidP="00104A7D">
      <w:pPr>
        <w:bidi w:val="0"/>
        <w:jc w:val="both"/>
        <w:rPr>
          <w:b/>
          <w:bCs/>
        </w:rPr>
      </w:pPr>
      <w:r>
        <w:rPr>
          <w:b/>
          <w:bCs/>
        </w:rPr>
        <w:t xml:space="preserve">A </w:t>
      </w:r>
      <w:r w:rsidR="00104A7D">
        <w:rPr>
          <w:b/>
          <w:bCs/>
        </w:rPr>
        <w:t>strengthening</w:t>
      </w:r>
      <w:r w:rsidR="00353385">
        <w:rPr>
          <w:b/>
          <w:bCs/>
        </w:rPr>
        <w:t xml:space="preserve"> </w:t>
      </w:r>
      <w:r w:rsidR="00A3533A">
        <w:rPr>
          <w:b/>
          <w:bCs/>
        </w:rPr>
        <w:t xml:space="preserve">of the shekel </w:t>
      </w:r>
      <w:r w:rsidR="00104A7D">
        <w:rPr>
          <w:b/>
          <w:bCs/>
        </w:rPr>
        <w:t xml:space="preserve">against the background of a </w:t>
      </w:r>
      <w:r w:rsidR="00AE7F22">
        <w:rPr>
          <w:b/>
          <w:bCs/>
        </w:rPr>
        <w:t>weak</w:t>
      </w:r>
      <w:r w:rsidR="006346E3">
        <w:rPr>
          <w:b/>
          <w:bCs/>
        </w:rPr>
        <w:t xml:space="preserve">ening </w:t>
      </w:r>
      <w:r w:rsidR="00EC6A33">
        <w:rPr>
          <w:b/>
          <w:bCs/>
        </w:rPr>
        <w:t xml:space="preserve">of </w:t>
      </w:r>
      <w:r w:rsidR="00716379">
        <w:rPr>
          <w:b/>
          <w:bCs/>
        </w:rPr>
        <w:t>the dollar</w:t>
      </w:r>
      <w:r w:rsidR="00EC6A33">
        <w:rPr>
          <w:b/>
          <w:bCs/>
        </w:rPr>
        <w:t xml:space="preserve"> worldwide</w:t>
      </w:r>
      <w:r w:rsidR="00ED2DF8">
        <w:rPr>
          <w:b/>
          <w:bCs/>
        </w:rPr>
        <w:t>.</w:t>
      </w:r>
    </w:p>
    <w:p w14:paraId="6868F97A" w14:textId="77777777" w:rsidR="001E3DF2" w:rsidRDefault="001E3DF2" w:rsidP="001E3DF2">
      <w:pPr>
        <w:bidi w:val="0"/>
        <w:jc w:val="both"/>
      </w:pPr>
    </w:p>
    <w:p w14:paraId="133397AF" w14:textId="3A844DA1" w:rsidR="00AB5B37" w:rsidRDefault="00605171" w:rsidP="002362CA">
      <w:pPr>
        <w:bidi w:val="0"/>
        <w:jc w:val="both"/>
      </w:pPr>
      <w:r>
        <w:t xml:space="preserve">In </w:t>
      </w:r>
      <w:r w:rsidR="0002528B">
        <w:t xml:space="preserve">the </w:t>
      </w:r>
      <w:r w:rsidR="00104A7D">
        <w:t>second</w:t>
      </w:r>
      <w:r w:rsidR="00A3533A">
        <w:t xml:space="preserve"> quarter</w:t>
      </w:r>
      <w:r w:rsidR="00353385">
        <w:t xml:space="preserve"> of 2025</w:t>
      </w:r>
      <w:r w:rsidR="00716379">
        <w:t>,</w:t>
      </w:r>
      <w:r w:rsidR="005D39B6">
        <w:t xml:space="preserve"> </w:t>
      </w:r>
      <w:r w:rsidR="00A3533A">
        <w:t xml:space="preserve">the </w:t>
      </w:r>
      <w:r w:rsidR="005E5212">
        <w:t xml:space="preserve">shekel </w:t>
      </w:r>
      <w:r w:rsidR="00104A7D">
        <w:t xml:space="preserve">strengthened markedly, in view of improving investor sentiment after the events of Operation Rising Lion and the weakening of the dollar against major currencies worldwide. During the </w:t>
      </w:r>
      <w:r>
        <w:t xml:space="preserve">course of the </w:t>
      </w:r>
      <w:r w:rsidR="00104A7D">
        <w:t xml:space="preserve">quarter, the shekel strengthened by approximately 9.3 percent vis-à-vis the dollar and by 1.5 percent vis-à-vis the euro. </w:t>
      </w:r>
      <w:r w:rsidR="006346E3">
        <w:t xml:space="preserve">In addition, the shekel </w:t>
      </w:r>
      <w:r w:rsidR="00104A7D">
        <w:t xml:space="preserve">strengthened </w:t>
      </w:r>
      <w:r w:rsidR="006346E3">
        <w:t xml:space="preserve">by </w:t>
      </w:r>
      <w:r w:rsidR="00104A7D">
        <w:t xml:space="preserve">6 </w:t>
      </w:r>
      <w:r w:rsidR="006346E3">
        <w:t xml:space="preserve">percent against the </w:t>
      </w:r>
      <w:r w:rsidR="00716379" w:rsidRPr="00B602F6">
        <w:t xml:space="preserve">currencies of Israel's main trading partners, </w:t>
      </w:r>
      <w:r w:rsidR="005B529D" w:rsidRPr="00B602F6">
        <w:t>in terms of</w:t>
      </w:r>
      <w:r w:rsidR="00716379" w:rsidRPr="00B602F6">
        <w:t xml:space="preserve"> the nominal effective exchange rate (i.e., the trade-weighted average shekel exchange rate against those currencies)</w:t>
      </w:r>
      <w:r w:rsidR="005F20E9" w:rsidRPr="00B602F6">
        <w:t>.</w:t>
      </w:r>
      <w:r w:rsidR="008D6BC5">
        <w:t xml:space="preserve"> </w:t>
      </w:r>
    </w:p>
    <w:p w14:paraId="385CB1C4" w14:textId="571C8704" w:rsidR="0081371F" w:rsidRDefault="0081371F" w:rsidP="001E3DF2">
      <w:pPr>
        <w:bidi w:val="0"/>
        <w:jc w:val="both"/>
      </w:pPr>
    </w:p>
    <w:p w14:paraId="6A35F835" w14:textId="28DDE116" w:rsidR="00F84DAD" w:rsidRDefault="003143C1" w:rsidP="00605171">
      <w:pPr>
        <w:bidi w:val="0"/>
        <w:jc w:val="both"/>
      </w:pPr>
      <w:r>
        <w:rPr>
          <w:noProof/>
        </w:rPr>
        <w:drawing>
          <wp:anchor distT="0" distB="0" distL="114300" distR="114300" simplePos="0" relativeHeight="251689984" behindDoc="0" locked="0" layoutInCell="1" allowOverlap="1" wp14:anchorId="276BAFE2" wp14:editId="51BC4ED1">
            <wp:simplePos x="0" y="0"/>
            <wp:positionH relativeFrom="margin">
              <wp:align>center</wp:align>
            </wp:positionH>
            <wp:positionV relativeFrom="paragraph">
              <wp:posOffset>875665</wp:posOffset>
            </wp:positionV>
            <wp:extent cx="4822190" cy="256667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190" cy="2566670"/>
                    </a:xfrm>
                    <a:prstGeom prst="rect">
                      <a:avLst/>
                    </a:prstGeom>
                    <a:noFill/>
                  </pic:spPr>
                </pic:pic>
              </a:graphicData>
            </a:graphic>
          </wp:anchor>
        </w:drawing>
      </w:r>
      <w:r w:rsidR="00104A7D">
        <w:t xml:space="preserve">Worldwide, the trend of dollar weakness continued, in view of the tension over the global trade war, and the continued lack of certainty </w:t>
      </w:r>
      <w:r w:rsidR="00BD1BAB">
        <w:t xml:space="preserve">over the US tariff policy. Among other things, the </w:t>
      </w:r>
      <w:r w:rsidR="00441348">
        <w:t>d</w:t>
      </w:r>
      <w:r w:rsidR="00A3533A">
        <w:t>ollar</w:t>
      </w:r>
      <w:r w:rsidR="008049BE">
        <w:t xml:space="preserve"> </w:t>
      </w:r>
      <w:r w:rsidR="00441348">
        <w:t xml:space="preserve">weakened </w:t>
      </w:r>
      <w:r w:rsidR="00BD1BAB">
        <w:t>during the course</w:t>
      </w:r>
      <w:r w:rsidR="00605171">
        <w:t xml:space="preserve"> </w:t>
      </w:r>
      <w:r w:rsidR="00BD1BAB">
        <w:t xml:space="preserve">of the quarter by 3.4 percent </w:t>
      </w:r>
      <w:r w:rsidR="008049BE">
        <w:t xml:space="preserve">against </w:t>
      </w:r>
      <w:r w:rsidR="00BD1BAB">
        <w:t xml:space="preserve">the Japanese yen and by 7.8 percent against the euro </w:t>
      </w:r>
      <w:r w:rsidR="00F8267E">
        <w:t>(Figure 2</w:t>
      </w:r>
      <w:r w:rsidR="0033007A">
        <w:t>)</w:t>
      </w:r>
      <w:r w:rsidR="00BD1BAB">
        <w:t>.</w:t>
      </w:r>
      <w:r w:rsidR="00F8267E">
        <w:t xml:space="preserve"> </w:t>
      </w:r>
    </w:p>
    <w:p w14:paraId="4CA51C7A" w14:textId="15FB20DC" w:rsidR="00F84DAD" w:rsidRDefault="00F84DAD" w:rsidP="00F84DAD">
      <w:pPr>
        <w:bidi w:val="0"/>
        <w:jc w:val="both"/>
      </w:pPr>
    </w:p>
    <w:p w14:paraId="3171D6FC" w14:textId="52286993" w:rsidR="00AB5B37" w:rsidRDefault="00AB5B37" w:rsidP="00CE319F">
      <w:pPr>
        <w:bidi w:val="0"/>
        <w:jc w:val="both"/>
      </w:pPr>
    </w:p>
    <w:p w14:paraId="775159BC" w14:textId="4F3273F4" w:rsidR="00AB5B37" w:rsidRDefault="00AB5B37" w:rsidP="001E3DF2">
      <w:pPr>
        <w:bidi w:val="0"/>
        <w:jc w:val="both"/>
      </w:pPr>
    </w:p>
    <w:p w14:paraId="68337812" w14:textId="47A4F26E" w:rsidR="00AB5B37" w:rsidRDefault="00AB5B37" w:rsidP="006E38CA">
      <w:pPr>
        <w:bidi w:val="0"/>
        <w:jc w:val="both"/>
      </w:pPr>
    </w:p>
    <w:p w14:paraId="603D1EA2" w14:textId="77777777" w:rsidR="003143C1" w:rsidRDefault="003143C1" w:rsidP="001E3DF2">
      <w:pPr>
        <w:bidi w:val="0"/>
        <w:jc w:val="both"/>
        <w:rPr>
          <w:b/>
          <w:bCs/>
          <w:rtl/>
        </w:rPr>
      </w:pPr>
    </w:p>
    <w:p w14:paraId="5C60E047" w14:textId="3033A7D2" w:rsidR="009F177B" w:rsidRDefault="00902D9D" w:rsidP="003143C1">
      <w:pPr>
        <w:bidi w:val="0"/>
        <w:jc w:val="both"/>
        <w:rPr>
          <w:noProof/>
          <w:rtl/>
        </w:rPr>
      </w:pPr>
      <w:r>
        <w:rPr>
          <w:noProof/>
        </w:rPr>
        <w:lastRenderedPageBreak/>
        <w:drawing>
          <wp:anchor distT="0" distB="0" distL="114300" distR="114300" simplePos="0" relativeHeight="251697152" behindDoc="0" locked="0" layoutInCell="1" allowOverlap="1" wp14:anchorId="29DF187A" wp14:editId="64EE2BBC">
            <wp:simplePos x="0" y="0"/>
            <wp:positionH relativeFrom="margin">
              <wp:align>center</wp:align>
            </wp:positionH>
            <wp:positionV relativeFrom="paragraph">
              <wp:posOffset>3175</wp:posOffset>
            </wp:positionV>
            <wp:extent cx="4850130" cy="2566670"/>
            <wp:effectExtent l="0" t="0" r="7620" b="508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0130" cy="2566670"/>
                    </a:xfrm>
                    <a:prstGeom prst="rect">
                      <a:avLst/>
                    </a:prstGeom>
                    <a:noFill/>
                  </pic:spPr>
                </pic:pic>
              </a:graphicData>
            </a:graphic>
            <wp14:sizeRelH relativeFrom="margin">
              <wp14:pctWidth>0</wp14:pctWidth>
            </wp14:sizeRelH>
            <wp14:sizeRelV relativeFrom="margin">
              <wp14:pctHeight>0</wp14:pctHeight>
            </wp14:sizeRelV>
          </wp:anchor>
        </w:drawing>
      </w:r>
    </w:p>
    <w:p w14:paraId="5D608DF4" w14:textId="77777777" w:rsidR="00902D9D" w:rsidRDefault="00902D9D" w:rsidP="00902D9D">
      <w:pPr>
        <w:bidi w:val="0"/>
        <w:jc w:val="both"/>
        <w:rPr>
          <w:b/>
          <w:bCs/>
          <w:rtl/>
        </w:rPr>
      </w:pPr>
    </w:p>
    <w:p w14:paraId="19923D68" w14:textId="0C6A76BB" w:rsidR="00716379" w:rsidRDefault="00716379" w:rsidP="009F177B">
      <w:pPr>
        <w:bidi w:val="0"/>
        <w:jc w:val="both"/>
        <w:rPr>
          <w:b/>
          <w:bCs/>
        </w:rPr>
      </w:pPr>
      <w:r>
        <w:rPr>
          <w:b/>
          <w:bCs/>
        </w:rPr>
        <w:t>2. Exchange Rate Volatility</w:t>
      </w:r>
    </w:p>
    <w:p w14:paraId="6612A6DC" w14:textId="5F398964" w:rsidR="001E3DF2" w:rsidRDefault="001E3DF2" w:rsidP="001E3DF2">
      <w:pPr>
        <w:bidi w:val="0"/>
        <w:jc w:val="both"/>
        <w:rPr>
          <w:b/>
          <w:bCs/>
        </w:rPr>
      </w:pPr>
    </w:p>
    <w:p w14:paraId="1A4A83B8" w14:textId="6E90D357" w:rsidR="00716379" w:rsidRDefault="00A561E0" w:rsidP="00A561E0">
      <w:pPr>
        <w:bidi w:val="0"/>
        <w:jc w:val="both"/>
        <w:rPr>
          <w:b/>
          <w:bCs/>
        </w:rPr>
      </w:pPr>
      <w:r>
        <w:rPr>
          <w:b/>
          <w:bCs/>
        </w:rPr>
        <w:t xml:space="preserve">Increase </w:t>
      </w:r>
      <w:r w:rsidR="00716379">
        <w:rPr>
          <w:b/>
          <w:bCs/>
        </w:rPr>
        <w:t>in actual volatilit</w:t>
      </w:r>
      <w:r w:rsidR="007F44E2">
        <w:rPr>
          <w:b/>
          <w:bCs/>
        </w:rPr>
        <w:t>y</w:t>
      </w:r>
      <w:r w:rsidR="00024A52">
        <w:rPr>
          <w:b/>
          <w:bCs/>
        </w:rPr>
        <w:t xml:space="preserve"> </w:t>
      </w:r>
      <w:r w:rsidR="00473C1E">
        <w:rPr>
          <w:b/>
          <w:bCs/>
        </w:rPr>
        <w:t xml:space="preserve">alongside </w:t>
      </w:r>
      <w:r>
        <w:rPr>
          <w:b/>
          <w:bCs/>
        </w:rPr>
        <w:t xml:space="preserve">an increase </w:t>
      </w:r>
      <w:r w:rsidR="00AE7F22">
        <w:rPr>
          <w:b/>
          <w:bCs/>
        </w:rPr>
        <w:t>in implied volatility</w:t>
      </w:r>
    </w:p>
    <w:p w14:paraId="0C0FC19E" w14:textId="22E9216B" w:rsidR="001E3DF2" w:rsidRDefault="001E3DF2" w:rsidP="001E3DF2">
      <w:pPr>
        <w:bidi w:val="0"/>
        <w:jc w:val="both"/>
      </w:pPr>
    </w:p>
    <w:p w14:paraId="37ABE184" w14:textId="5CD2F6C5" w:rsidR="006C3672" w:rsidRPr="00FA0E1A" w:rsidRDefault="00716379" w:rsidP="00A561E0">
      <w:pPr>
        <w:bidi w:val="0"/>
        <w:jc w:val="both"/>
      </w:pPr>
      <w:r w:rsidRPr="00FA0E1A">
        <w:t xml:space="preserve">The </w:t>
      </w:r>
      <w:r w:rsidR="00FC2164" w:rsidRPr="00FA0E1A">
        <w:t xml:space="preserve">average </w:t>
      </w:r>
      <w:r w:rsidRPr="00FA0E1A">
        <w:t>standard deviation of changes in the shekel</w:t>
      </w:r>
      <w:r w:rsidR="00724066" w:rsidRPr="00FA0E1A">
        <w:t>/</w:t>
      </w:r>
      <w:r w:rsidRPr="00FA0E1A">
        <w:t xml:space="preserve">dollar exchange rate, which represents its </w:t>
      </w:r>
      <w:r w:rsidRPr="00FA0E1A">
        <w:rPr>
          <w:b/>
          <w:bCs/>
        </w:rPr>
        <w:t>actual</w:t>
      </w:r>
      <w:r w:rsidRPr="00FA0E1A">
        <w:t xml:space="preserve"> volatility, </w:t>
      </w:r>
      <w:r w:rsidR="00A561E0">
        <w:t xml:space="preserve">increased </w:t>
      </w:r>
      <w:r w:rsidR="007F44E2" w:rsidRPr="00FA0E1A">
        <w:t xml:space="preserve">by </w:t>
      </w:r>
      <w:r w:rsidR="00A561E0">
        <w:t xml:space="preserve">3 </w:t>
      </w:r>
      <w:r w:rsidR="007F44E2" w:rsidRPr="00FA0E1A">
        <w:t xml:space="preserve">percentage points </w:t>
      </w:r>
      <w:r w:rsidR="0063362C" w:rsidRPr="00FA0E1A">
        <w:t xml:space="preserve">during the quarter, </w:t>
      </w:r>
      <w:r w:rsidR="0081371F" w:rsidRPr="00FA0E1A">
        <w:t>to</w:t>
      </w:r>
      <w:r w:rsidRPr="00FA0E1A">
        <w:t xml:space="preserve"> </w:t>
      </w:r>
      <w:r w:rsidR="002669C3" w:rsidRPr="00FA0E1A">
        <w:t xml:space="preserve">an average </w:t>
      </w:r>
      <w:r w:rsidR="0063362C" w:rsidRPr="00FA0E1A">
        <w:t xml:space="preserve">level of </w:t>
      </w:r>
      <w:r w:rsidR="00A561E0">
        <w:t xml:space="preserve">11.1 </w:t>
      </w:r>
      <w:r w:rsidRPr="00FA0E1A">
        <w:t>percent</w:t>
      </w:r>
      <w:r w:rsidR="002A6B07" w:rsidRPr="00FA0E1A">
        <w:t>.</w:t>
      </w:r>
    </w:p>
    <w:p w14:paraId="7721C4CD" w14:textId="164EF601" w:rsidR="001E3DF2" w:rsidRPr="00FA0E1A" w:rsidRDefault="001E3DF2" w:rsidP="001E3DF2">
      <w:pPr>
        <w:bidi w:val="0"/>
        <w:jc w:val="both"/>
      </w:pPr>
    </w:p>
    <w:p w14:paraId="682E63E5" w14:textId="1F62B8C6" w:rsidR="002331FC" w:rsidRDefault="00716379" w:rsidP="002362CA">
      <w:pPr>
        <w:bidi w:val="0"/>
        <w:jc w:val="both"/>
      </w:pPr>
      <w:r w:rsidRPr="00FA0E1A">
        <w:t xml:space="preserve">The </w:t>
      </w:r>
      <w:r w:rsidR="005F7744" w:rsidRPr="00FA0E1A">
        <w:t xml:space="preserve">average </w:t>
      </w:r>
      <w:r w:rsidRPr="00FA0E1A">
        <w:t xml:space="preserve">implied volatility in </w:t>
      </w:r>
      <w:r w:rsidR="002B1BC6" w:rsidRPr="00FA0E1A">
        <w:t>over-the-counter</w:t>
      </w:r>
      <w:r w:rsidRPr="00FA0E1A">
        <w:t xml:space="preserve"> shekel</w:t>
      </w:r>
      <w:r w:rsidR="00724066" w:rsidRPr="00FA0E1A">
        <w:t>/</w:t>
      </w:r>
      <w:r w:rsidRPr="00FA0E1A">
        <w:t>dollar options</w:t>
      </w:r>
      <w:r w:rsidR="002362CA">
        <w:t xml:space="preserve"> </w:t>
      </w:r>
      <w:r w:rsidR="002362CA" w:rsidRPr="002362CA">
        <w:t>—an indicator of expected exchange-rate volatility—</w:t>
      </w:r>
      <w:r w:rsidR="002362CA">
        <w:t xml:space="preserve"> </w:t>
      </w:r>
      <w:r w:rsidR="00EA4081">
        <w:t>in</w:t>
      </w:r>
      <w:r w:rsidR="00AE7F22" w:rsidRPr="00FA0E1A">
        <w:t>creased</w:t>
      </w:r>
      <w:r w:rsidR="007F44E2" w:rsidRPr="00FA0E1A">
        <w:t xml:space="preserve"> </w:t>
      </w:r>
      <w:r w:rsidR="00AE7F22" w:rsidRPr="00FA0E1A">
        <w:t xml:space="preserve">by </w:t>
      </w:r>
      <w:r w:rsidR="00446C7F" w:rsidRPr="00EA4081">
        <w:t>1.</w:t>
      </w:r>
      <w:r w:rsidR="00EA4081" w:rsidRPr="00EA4081">
        <w:t>1</w:t>
      </w:r>
      <w:r w:rsidR="00446C7F" w:rsidRPr="00EA4081">
        <w:t xml:space="preserve"> </w:t>
      </w:r>
      <w:r w:rsidR="00DD7D9C" w:rsidRPr="00EA4081">
        <w:t>p</w:t>
      </w:r>
      <w:r w:rsidR="00AE7F22" w:rsidRPr="00EA4081">
        <w:t>ercent</w:t>
      </w:r>
      <w:r w:rsidR="00EA4081" w:rsidRPr="00EA4081">
        <w:t>age points</w:t>
      </w:r>
      <w:r w:rsidR="008D1F4D" w:rsidRPr="00EA4081">
        <w:t xml:space="preserve"> </w:t>
      </w:r>
      <w:r w:rsidR="007F44E2" w:rsidRPr="00EA4081">
        <w:t>during the quarter</w:t>
      </w:r>
      <w:r w:rsidR="003F6116" w:rsidRPr="00EA4081">
        <w:t xml:space="preserve">, </w:t>
      </w:r>
      <w:r w:rsidR="00AE7F22" w:rsidRPr="00EA4081">
        <w:t>to</w:t>
      </w:r>
      <w:r w:rsidR="006E0BC7" w:rsidRPr="00EA4081">
        <w:t xml:space="preserve"> </w:t>
      </w:r>
      <w:r w:rsidR="007F44E2" w:rsidRPr="00EA4081">
        <w:t xml:space="preserve">an average level of </w:t>
      </w:r>
      <w:r w:rsidR="006E0BC7" w:rsidRPr="00EA4081">
        <w:t xml:space="preserve">about </w:t>
      </w:r>
      <w:r w:rsidR="00EA4081" w:rsidRPr="00EA4081">
        <w:t>9.8</w:t>
      </w:r>
      <w:r w:rsidR="00DF3848">
        <w:t xml:space="preserve"> </w:t>
      </w:r>
      <w:r w:rsidR="006E0BC7" w:rsidRPr="00EA4081">
        <w:t>percent</w:t>
      </w:r>
      <w:r w:rsidR="007F29B3" w:rsidRPr="00EA4081">
        <w:t xml:space="preserve"> at the end</w:t>
      </w:r>
      <w:r w:rsidR="007F29B3">
        <w:t xml:space="preserve"> of the quarter</w:t>
      </w:r>
      <w:r w:rsidR="006E0BC7">
        <w:t>.</w:t>
      </w:r>
      <w:r w:rsidRPr="00887755">
        <w:t xml:space="preserve"> </w:t>
      </w:r>
    </w:p>
    <w:p w14:paraId="7118F2E4" w14:textId="561FAA32" w:rsidR="002331FC" w:rsidRDefault="002331FC" w:rsidP="002331FC">
      <w:pPr>
        <w:bidi w:val="0"/>
        <w:jc w:val="both"/>
      </w:pPr>
    </w:p>
    <w:p w14:paraId="47C00622" w14:textId="0C45A500" w:rsidR="00716379" w:rsidRDefault="007924C8" w:rsidP="00F45800">
      <w:pPr>
        <w:bidi w:val="0"/>
        <w:jc w:val="both"/>
      </w:pPr>
      <w:r>
        <w:t xml:space="preserve">This is </w:t>
      </w:r>
      <w:r w:rsidR="00B82927">
        <w:t xml:space="preserve">alongside </w:t>
      </w:r>
      <w:r w:rsidR="006E0BC7">
        <w:t xml:space="preserve">the average level of </w:t>
      </w:r>
      <w:r w:rsidR="00716379" w:rsidRPr="00887755">
        <w:t xml:space="preserve">implied volatility in foreign exchange options </w:t>
      </w:r>
      <w:r w:rsidR="007B2448" w:rsidRPr="00887755">
        <w:t>in</w:t>
      </w:r>
      <w:r w:rsidR="00877705">
        <w:t xml:space="preserve"> </w:t>
      </w:r>
      <w:r w:rsidR="007B2448" w:rsidRPr="00887755">
        <w:t xml:space="preserve">emerging </w:t>
      </w:r>
      <w:r w:rsidR="002A6B07" w:rsidRPr="00F45800">
        <w:t>markets</w:t>
      </w:r>
      <w:r w:rsidRPr="00F45800">
        <w:t xml:space="preserve">, which </w:t>
      </w:r>
      <w:r w:rsidR="00F45800" w:rsidRPr="00F45800">
        <w:t>in</w:t>
      </w:r>
      <w:r w:rsidRPr="00F45800">
        <w:t>creased by 0.</w:t>
      </w:r>
      <w:r w:rsidR="00F45800" w:rsidRPr="00F45800">
        <w:t>8</w:t>
      </w:r>
      <w:r w:rsidRPr="00F45800">
        <w:t xml:space="preserve"> p</w:t>
      </w:r>
      <w:r w:rsidR="007B2448" w:rsidRPr="00F45800">
        <w:t>ercent</w:t>
      </w:r>
      <w:r w:rsidRPr="00F45800">
        <w:t xml:space="preserve">age points compared to the previous </w:t>
      </w:r>
      <w:r w:rsidR="0013070F" w:rsidRPr="00F45800">
        <w:t>quarter</w:t>
      </w:r>
      <w:r w:rsidRPr="00F45800">
        <w:t xml:space="preserve">, to </w:t>
      </w:r>
      <w:r w:rsidR="00F45800">
        <w:t xml:space="preserve">11.1 </w:t>
      </w:r>
      <w:r w:rsidR="00B82927">
        <w:t>p</w:t>
      </w:r>
      <w:r>
        <w:t xml:space="preserve">ercent at the end of the quarter. </w:t>
      </w:r>
      <w:r w:rsidR="00B82927">
        <w:t>In advanced economies, t</w:t>
      </w:r>
      <w:r>
        <w:t xml:space="preserve">here was a </w:t>
      </w:r>
      <w:r w:rsidR="00B82927">
        <w:t>moderate increase of about 0.</w:t>
      </w:r>
      <w:r w:rsidR="00F45800">
        <w:t>8</w:t>
      </w:r>
      <w:r w:rsidR="00B82927">
        <w:t xml:space="preserve"> percent </w:t>
      </w:r>
      <w:r>
        <w:t xml:space="preserve">in </w:t>
      </w:r>
      <w:r w:rsidR="000015AF">
        <w:t xml:space="preserve">its </w:t>
      </w:r>
      <w:r>
        <w:t xml:space="preserve">average level, to </w:t>
      </w:r>
      <w:r w:rsidR="00F45800">
        <w:t xml:space="preserve">about 9 </w:t>
      </w:r>
      <w:r>
        <w:t xml:space="preserve">percent at the end of the quarter </w:t>
      </w:r>
      <w:r w:rsidR="00716379" w:rsidRPr="00520577">
        <w:t>(Figure 4).</w:t>
      </w:r>
      <w:r w:rsidR="00176396">
        <w:t xml:space="preserve"> </w:t>
      </w:r>
    </w:p>
    <w:p w14:paraId="716D0A07" w14:textId="1D042F98" w:rsidR="001E3DF2" w:rsidRDefault="001E3DF2" w:rsidP="001E3DF2">
      <w:pPr>
        <w:bidi w:val="0"/>
        <w:jc w:val="both"/>
      </w:pPr>
    </w:p>
    <w:p w14:paraId="2A4BC26F" w14:textId="1BDEF34B" w:rsidR="002331FC" w:rsidRDefault="00D47318" w:rsidP="002331FC">
      <w:pPr>
        <w:bidi w:val="0"/>
        <w:jc w:val="both"/>
        <w:rPr>
          <w:b/>
          <w:bCs/>
        </w:rPr>
      </w:pPr>
      <w:r>
        <w:rPr>
          <w:b/>
          <w:bCs/>
          <w:noProof/>
        </w:rPr>
        <w:drawing>
          <wp:anchor distT="0" distB="0" distL="114300" distR="114300" simplePos="0" relativeHeight="251692032" behindDoc="0" locked="0" layoutInCell="1" allowOverlap="1" wp14:anchorId="1CEF003E" wp14:editId="7DE9AD25">
            <wp:simplePos x="0" y="0"/>
            <wp:positionH relativeFrom="margin">
              <wp:align>center</wp:align>
            </wp:positionH>
            <wp:positionV relativeFrom="paragraph">
              <wp:posOffset>330532</wp:posOffset>
            </wp:positionV>
            <wp:extent cx="5194300" cy="2505710"/>
            <wp:effectExtent l="0" t="0" r="635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505710"/>
                    </a:xfrm>
                    <a:prstGeom prst="rect">
                      <a:avLst/>
                    </a:prstGeom>
                    <a:noFill/>
                  </pic:spPr>
                </pic:pic>
              </a:graphicData>
            </a:graphic>
          </wp:anchor>
        </w:drawing>
      </w:r>
    </w:p>
    <w:p w14:paraId="6C637E50" w14:textId="285DA347" w:rsidR="002331FC" w:rsidRDefault="002331FC" w:rsidP="002331FC">
      <w:pPr>
        <w:bidi w:val="0"/>
        <w:jc w:val="both"/>
        <w:rPr>
          <w:b/>
          <w:bCs/>
        </w:rPr>
      </w:pPr>
    </w:p>
    <w:p w14:paraId="4FFA2192" w14:textId="64FBECBA" w:rsidR="002331FC" w:rsidRDefault="002331FC" w:rsidP="002331FC">
      <w:pPr>
        <w:bidi w:val="0"/>
        <w:jc w:val="both"/>
        <w:rPr>
          <w:b/>
          <w:bCs/>
        </w:rPr>
      </w:pPr>
    </w:p>
    <w:p w14:paraId="7BED2918" w14:textId="38E78526" w:rsidR="002331FC" w:rsidRDefault="002331FC" w:rsidP="002331FC">
      <w:pPr>
        <w:bidi w:val="0"/>
        <w:jc w:val="both"/>
        <w:rPr>
          <w:b/>
          <w:bCs/>
        </w:rPr>
      </w:pPr>
    </w:p>
    <w:p w14:paraId="01305D92" w14:textId="77777777" w:rsidR="002331FC" w:rsidRDefault="002331FC" w:rsidP="002331FC">
      <w:pPr>
        <w:bidi w:val="0"/>
        <w:jc w:val="both"/>
        <w:rPr>
          <w:b/>
          <w:bCs/>
        </w:rPr>
      </w:pPr>
    </w:p>
    <w:p w14:paraId="7C565D7A" w14:textId="6780194D" w:rsidR="002331FC" w:rsidRDefault="002331FC" w:rsidP="002331FC">
      <w:pPr>
        <w:bidi w:val="0"/>
        <w:jc w:val="both"/>
        <w:rPr>
          <w:b/>
          <w:bCs/>
        </w:rPr>
      </w:pPr>
    </w:p>
    <w:p w14:paraId="70950FCC" w14:textId="2958ED90" w:rsidR="002331FC" w:rsidRDefault="00D47318" w:rsidP="002331FC">
      <w:pPr>
        <w:bidi w:val="0"/>
        <w:jc w:val="both"/>
        <w:rPr>
          <w:b/>
          <w:bCs/>
        </w:rPr>
      </w:pPr>
      <w:r>
        <w:rPr>
          <w:b/>
          <w:bCs/>
          <w:noProof/>
        </w:rPr>
        <w:drawing>
          <wp:anchor distT="0" distB="0" distL="114300" distR="114300" simplePos="0" relativeHeight="251693056" behindDoc="0" locked="0" layoutInCell="1" allowOverlap="1" wp14:anchorId="3A527573" wp14:editId="773BE716">
            <wp:simplePos x="0" y="0"/>
            <wp:positionH relativeFrom="margin">
              <wp:align>center</wp:align>
            </wp:positionH>
            <wp:positionV relativeFrom="paragraph">
              <wp:posOffset>10132</wp:posOffset>
            </wp:positionV>
            <wp:extent cx="5255260" cy="2517775"/>
            <wp:effectExtent l="0" t="0" r="254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5260" cy="2517775"/>
                    </a:xfrm>
                    <a:prstGeom prst="rect">
                      <a:avLst/>
                    </a:prstGeom>
                    <a:noFill/>
                  </pic:spPr>
                </pic:pic>
              </a:graphicData>
            </a:graphic>
          </wp:anchor>
        </w:drawing>
      </w:r>
    </w:p>
    <w:p w14:paraId="763C234C" w14:textId="474816AD" w:rsidR="002331FC" w:rsidRDefault="002331FC" w:rsidP="002331FC">
      <w:pPr>
        <w:bidi w:val="0"/>
        <w:jc w:val="both"/>
        <w:rPr>
          <w:b/>
          <w:bCs/>
        </w:rPr>
      </w:pPr>
    </w:p>
    <w:p w14:paraId="58C71F08" w14:textId="415575EF" w:rsidR="002331FC" w:rsidRDefault="002331FC" w:rsidP="002331FC">
      <w:pPr>
        <w:bidi w:val="0"/>
        <w:jc w:val="both"/>
        <w:rPr>
          <w:b/>
          <w:bCs/>
        </w:rPr>
      </w:pPr>
    </w:p>
    <w:p w14:paraId="6F215FD0" w14:textId="3582C0E2" w:rsidR="008639EC" w:rsidRPr="009831EE" w:rsidRDefault="009831EE" w:rsidP="006D5EA0">
      <w:pPr>
        <w:bidi w:val="0"/>
        <w:jc w:val="both"/>
        <w:rPr>
          <w:b/>
          <w:bCs/>
        </w:rPr>
      </w:pPr>
      <w:r w:rsidRPr="009831EE">
        <w:rPr>
          <w:b/>
          <w:bCs/>
        </w:rPr>
        <w:t>3. The Activity of the Main Se</w:t>
      </w:r>
      <w:r w:rsidR="00183AE0">
        <w:rPr>
          <w:b/>
          <w:bCs/>
        </w:rPr>
        <w:t>gments</w:t>
      </w:r>
      <w:r w:rsidRPr="009831EE">
        <w:rPr>
          <w:b/>
          <w:bCs/>
        </w:rPr>
        <w:t xml:space="preserve"> in the Foreign </w:t>
      </w:r>
      <w:r w:rsidR="00183AE0">
        <w:rPr>
          <w:b/>
          <w:bCs/>
        </w:rPr>
        <w:t>Exchange</w:t>
      </w:r>
      <w:r w:rsidRPr="009831EE">
        <w:rPr>
          <w:b/>
          <w:bCs/>
        </w:rPr>
        <w:t xml:space="preserve"> Market</w:t>
      </w:r>
      <w:r w:rsidR="00221362">
        <w:rPr>
          <w:rStyle w:val="ad"/>
          <w:b/>
          <w:bCs/>
        </w:rPr>
        <w:footnoteReference w:id="1"/>
      </w:r>
      <w:r w:rsidR="00115E0C" w:rsidRPr="00115E0C">
        <w:rPr>
          <w:b/>
          <w:bCs/>
          <w:vertAlign w:val="superscript"/>
        </w:rPr>
        <w:t>,</w:t>
      </w:r>
      <w:r w:rsidR="00115E0C">
        <w:rPr>
          <w:rStyle w:val="ad"/>
          <w:b/>
          <w:bCs/>
        </w:rPr>
        <w:footnoteReference w:id="2"/>
      </w:r>
      <w:r w:rsidR="00115E0C">
        <w:rPr>
          <w:b/>
          <w:bCs/>
        </w:rPr>
        <w:t xml:space="preserve"> </w:t>
      </w:r>
    </w:p>
    <w:p w14:paraId="4C2CFA44" w14:textId="2EDD9F4C" w:rsidR="001E3DF2" w:rsidRDefault="001E3DF2" w:rsidP="001E3DF2">
      <w:pPr>
        <w:bidi w:val="0"/>
        <w:jc w:val="both"/>
      </w:pPr>
    </w:p>
    <w:p w14:paraId="77DE4829" w14:textId="523B15F2" w:rsidR="00345CD5" w:rsidRPr="00D90F18" w:rsidRDefault="00345CD5" w:rsidP="002362CA">
      <w:pPr>
        <w:bidi w:val="0"/>
        <w:jc w:val="both"/>
      </w:pPr>
      <w:r>
        <w:t xml:space="preserve">An estimate of activity by the </w:t>
      </w:r>
      <w:r w:rsidRPr="000015AF">
        <w:rPr>
          <w:b/>
          <w:bCs/>
        </w:rPr>
        <w:t>main</w:t>
      </w:r>
      <w:r>
        <w:t xml:space="preserve"> </w:t>
      </w:r>
      <w:r w:rsidR="00E05AF2">
        <w:t>segments</w:t>
      </w:r>
      <w:r>
        <w:t xml:space="preserve"> in the fore</w:t>
      </w:r>
      <w:r w:rsidR="000015AF">
        <w:t xml:space="preserve">ign exchange </w:t>
      </w:r>
      <w:r>
        <w:t xml:space="preserve">market </w:t>
      </w:r>
      <w:r w:rsidR="002362CA">
        <w:t>points to heterogeneous developments: net FX sales by nonresidents and by the financial sector, which supported the shekel’s appreciation, versus FX purchases by the business sector.</w:t>
      </w:r>
      <w:r w:rsidR="00C7356F">
        <w:t xml:space="preserve"> Nonresidents </w:t>
      </w:r>
      <w:r w:rsidR="0029082F">
        <w:t>sold $8.9 billion in foreign exchange, while the business sector purchased about $5.3 billion in foreign exchange, due to an increase in net purchases by major importing companies</w:t>
      </w:r>
      <w:r w:rsidR="008E7476">
        <w:t xml:space="preserve"> and more moderate sales </w:t>
      </w:r>
      <w:r w:rsidR="00D90F18">
        <w:t xml:space="preserve">among exporting companies compared to the previous quarter. </w:t>
      </w:r>
      <w:r w:rsidR="00D90F18" w:rsidRPr="00D90F18">
        <w:t xml:space="preserve">Among </w:t>
      </w:r>
      <w:r w:rsidRPr="00D90F18">
        <w:t xml:space="preserve">institutional investors (pension funds, provident funds, and insurance companies) </w:t>
      </w:r>
      <w:r w:rsidR="00D90F18">
        <w:t>there was moderate activity, as they purchased only $0.1 billion in foreign exchange during the second quarter. In contrast, the financial sec</w:t>
      </w:r>
      <w:r w:rsidR="00FC38E1">
        <w:t>tor (mainly banks) sold about $0</w:t>
      </w:r>
      <w:r w:rsidR="00D90F18">
        <w:t>.2 billion in foreign exchange</w:t>
      </w:r>
      <w:r w:rsidR="002362CA">
        <w:t>.</w:t>
      </w:r>
    </w:p>
    <w:p w14:paraId="1FCF4695" w14:textId="77777777" w:rsidR="00345CD5" w:rsidRDefault="00345CD5" w:rsidP="00345CD5">
      <w:pPr>
        <w:bidi w:val="0"/>
        <w:jc w:val="both"/>
      </w:pPr>
    </w:p>
    <w:p w14:paraId="61B43B7D" w14:textId="14E2E2EA" w:rsidR="001E3DF2" w:rsidRDefault="001E3DF2">
      <w:pPr>
        <w:bidi w:val="0"/>
      </w:pPr>
    </w:p>
    <w:p w14:paraId="4656CFF2" w14:textId="6157EEB2" w:rsidR="00465721" w:rsidRDefault="00465721" w:rsidP="001E3DF2">
      <w:pPr>
        <w:bidi w:val="0"/>
        <w:jc w:val="both"/>
      </w:pPr>
    </w:p>
    <w:p w14:paraId="0B74484A" w14:textId="4B7C7A90" w:rsidR="00465721" w:rsidRDefault="00465721" w:rsidP="001E3DF2">
      <w:pPr>
        <w:bidi w:val="0"/>
        <w:jc w:val="both"/>
      </w:pPr>
    </w:p>
    <w:p w14:paraId="5262EB40" w14:textId="0F7A9291" w:rsidR="001E409B" w:rsidRDefault="001B462A" w:rsidP="001E3DF2">
      <w:pPr>
        <w:bidi w:val="0"/>
        <w:jc w:val="center"/>
      </w:pPr>
      <w:r>
        <w:rPr>
          <w:noProof/>
        </w:rPr>
        <w:lastRenderedPageBreak/>
        <w:drawing>
          <wp:anchor distT="0" distB="0" distL="114300" distR="114300" simplePos="0" relativeHeight="251695104" behindDoc="0" locked="0" layoutInCell="1" allowOverlap="1" wp14:anchorId="377CEA27" wp14:editId="211DE810">
            <wp:simplePos x="0" y="0"/>
            <wp:positionH relativeFrom="column">
              <wp:posOffset>20320</wp:posOffset>
            </wp:positionH>
            <wp:positionV relativeFrom="paragraph">
              <wp:posOffset>2944495</wp:posOffset>
            </wp:positionV>
            <wp:extent cx="5248910" cy="2578735"/>
            <wp:effectExtent l="0" t="0" r="889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910" cy="2578735"/>
                    </a:xfrm>
                    <a:prstGeom prst="rect">
                      <a:avLst/>
                    </a:prstGeom>
                    <a:noFill/>
                  </pic:spPr>
                </pic:pic>
              </a:graphicData>
            </a:graphic>
          </wp:anchor>
        </w:drawing>
      </w:r>
    </w:p>
    <w:p w14:paraId="776BF6A5" w14:textId="57A69D13" w:rsidR="007D2403" w:rsidRDefault="003575FB" w:rsidP="001E3DF2">
      <w:pPr>
        <w:bidi w:val="0"/>
        <w:jc w:val="both"/>
      </w:pPr>
      <w:r>
        <w:rPr>
          <w:b/>
          <w:bCs/>
          <w:noProof/>
        </w:rPr>
        <w:drawing>
          <wp:inline distT="0" distB="0" distL="0" distR="0" wp14:anchorId="157C75FC" wp14:editId="23A7BCCB">
            <wp:extent cx="5351408" cy="2592126"/>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4198" cy="2598321"/>
                    </a:xfrm>
                    <a:prstGeom prst="rect">
                      <a:avLst/>
                    </a:prstGeom>
                    <a:noFill/>
                  </pic:spPr>
                </pic:pic>
              </a:graphicData>
            </a:graphic>
          </wp:inline>
        </w:drawing>
      </w:r>
    </w:p>
    <w:p w14:paraId="61A39C65" w14:textId="792B42DE" w:rsidR="006B2D26" w:rsidRDefault="006B2D26" w:rsidP="00E64202">
      <w:pPr>
        <w:bidi w:val="0"/>
        <w:jc w:val="both"/>
        <w:rPr>
          <w:b/>
          <w:bCs/>
          <w:rtl/>
        </w:rPr>
      </w:pPr>
    </w:p>
    <w:p w14:paraId="1A2EF3E1" w14:textId="1A081E2F" w:rsidR="006B2D26" w:rsidRDefault="006B2D26" w:rsidP="006B2D26">
      <w:pPr>
        <w:bidi w:val="0"/>
        <w:jc w:val="both"/>
        <w:rPr>
          <w:b/>
          <w:bCs/>
          <w:rtl/>
        </w:rPr>
      </w:pPr>
    </w:p>
    <w:p w14:paraId="003040F5" w14:textId="7F05CFB2" w:rsidR="006B2D26" w:rsidRDefault="003575FB" w:rsidP="006B2D26">
      <w:pPr>
        <w:bidi w:val="0"/>
        <w:jc w:val="both"/>
        <w:rPr>
          <w:b/>
          <w:bCs/>
          <w:rtl/>
        </w:rPr>
      </w:pPr>
      <w:bookmarkStart w:id="0" w:name="_GoBack"/>
      <w:r>
        <w:rPr>
          <w:noProof/>
        </w:rPr>
        <w:drawing>
          <wp:anchor distT="0" distB="0" distL="114300" distR="114300" simplePos="0" relativeHeight="251696128" behindDoc="0" locked="0" layoutInCell="1" allowOverlap="1" wp14:anchorId="0BDB5687" wp14:editId="55532567">
            <wp:simplePos x="0" y="0"/>
            <wp:positionH relativeFrom="column">
              <wp:posOffset>-105410</wp:posOffset>
            </wp:positionH>
            <wp:positionV relativeFrom="paragraph">
              <wp:posOffset>179070</wp:posOffset>
            </wp:positionV>
            <wp:extent cx="5224780" cy="2646045"/>
            <wp:effectExtent l="0" t="0" r="0" b="19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4780" cy="2646045"/>
                    </a:xfrm>
                    <a:prstGeom prst="rect">
                      <a:avLst/>
                    </a:prstGeom>
                    <a:noFill/>
                  </pic:spPr>
                </pic:pic>
              </a:graphicData>
            </a:graphic>
          </wp:anchor>
        </w:drawing>
      </w:r>
      <w:bookmarkEnd w:id="0"/>
    </w:p>
    <w:p w14:paraId="16DE0F94" w14:textId="61F7EB2C" w:rsidR="006B2D26" w:rsidRDefault="006B2D26" w:rsidP="006B2D26">
      <w:pPr>
        <w:bidi w:val="0"/>
        <w:jc w:val="both"/>
        <w:rPr>
          <w:b/>
          <w:bCs/>
          <w:rtl/>
        </w:rPr>
      </w:pPr>
    </w:p>
    <w:p w14:paraId="03E21932" w14:textId="44D35C94" w:rsidR="00716379" w:rsidRDefault="00466441" w:rsidP="006B2D26">
      <w:pPr>
        <w:bidi w:val="0"/>
        <w:jc w:val="both"/>
        <w:rPr>
          <w:b/>
          <w:bCs/>
        </w:rPr>
      </w:pPr>
      <w:r w:rsidRPr="006D4768">
        <w:rPr>
          <w:b/>
          <w:bCs/>
        </w:rPr>
        <w:t>4</w:t>
      </w:r>
      <w:r w:rsidR="00716379" w:rsidRPr="006D4768">
        <w:rPr>
          <w:b/>
          <w:bCs/>
        </w:rPr>
        <w:t xml:space="preserve">. </w:t>
      </w:r>
      <w:r w:rsidR="00E64202" w:rsidRPr="006D4768">
        <w:rPr>
          <w:b/>
          <w:bCs/>
        </w:rPr>
        <w:t xml:space="preserve">Trading </w:t>
      </w:r>
      <w:r w:rsidR="00716379" w:rsidRPr="006D4768">
        <w:rPr>
          <w:b/>
          <w:bCs/>
        </w:rPr>
        <w:t xml:space="preserve">Volume </w:t>
      </w:r>
      <w:r w:rsidR="00D934F6" w:rsidRPr="006D4768">
        <w:rPr>
          <w:b/>
          <w:bCs/>
        </w:rPr>
        <w:t>in the Foreign Currency Market—</w:t>
      </w:r>
      <w:r w:rsidR="00584A0F" w:rsidRPr="006D4768">
        <w:rPr>
          <w:b/>
          <w:bCs/>
        </w:rPr>
        <w:t>T</w:t>
      </w:r>
      <w:r w:rsidR="00D934F6" w:rsidRPr="006D4768">
        <w:rPr>
          <w:b/>
          <w:bCs/>
        </w:rPr>
        <w:t xml:space="preserve">ables and </w:t>
      </w:r>
      <w:r w:rsidR="00584A0F" w:rsidRPr="006D4768">
        <w:rPr>
          <w:b/>
          <w:bCs/>
        </w:rPr>
        <w:t>F</w:t>
      </w:r>
      <w:r w:rsidR="00D934F6" w:rsidRPr="006D4768">
        <w:rPr>
          <w:b/>
          <w:bCs/>
        </w:rPr>
        <w:t>igures</w:t>
      </w:r>
    </w:p>
    <w:p w14:paraId="13ED5361" w14:textId="6BE02B17" w:rsidR="000C57D0" w:rsidRDefault="000C57D0" w:rsidP="001E3DF2">
      <w:pPr>
        <w:bidi w:val="0"/>
        <w:jc w:val="both"/>
        <w:rPr>
          <w:b/>
          <w:bCs/>
        </w:rPr>
      </w:pPr>
    </w:p>
    <w:p w14:paraId="38C6E2F0" w14:textId="3B07DA8C" w:rsidR="003A15FE" w:rsidRPr="00F4540B" w:rsidRDefault="00F4540B" w:rsidP="003A15FE">
      <w:pPr>
        <w:bidi w:val="0"/>
        <w:jc w:val="both"/>
        <w:rPr>
          <w:b/>
          <w:bCs/>
          <w:color w:val="4F81BD" w:themeColor="accent1"/>
        </w:rPr>
      </w:pPr>
      <w:r w:rsidRPr="00F4540B">
        <w:rPr>
          <w:b/>
          <w:bCs/>
          <w:color w:val="4F81BD" w:themeColor="accent1"/>
        </w:rPr>
        <w:lastRenderedPageBreak/>
        <w:t>T</w:t>
      </w:r>
      <w:r w:rsidR="003A15FE" w:rsidRPr="00F4540B">
        <w:rPr>
          <w:b/>
          <w:bCs/>
          <w:color w:val="4F81BD" w:themeColor="accent1"/>
        </w:rPr>
        <w:t>rading volume vis-à-vis the domestic banking system</w:t>
      </w:r>
      <w:r w:rsidR="0063362C" w:rsidRPr="0063362C">
        <w:rPr>
          <w:rStyle w:val="ad"/>
          <w:b/>
          <w:bCs/>
          <w:color w:val="4F81BD" w:themeColor="accent1"/>
        </w:rPr>
        <w:footnoteReference w:id="3"/>
      </w:r>
    </w:p>
    <w:p w14:paraId="6F1AC643" w14:textId="77777777" w:rsidR="003A15FE" w:rsidRDefault="003A15FE" w:rsidP="003A15FE">
      <w:pPr>
        <w:bidi w:val="0"/>
        <w:jc w:val="both"/>
        <w:rPr>
          <w:b/>
          <w:bCs/>
        </w:rPr>
      </w:pPr>
    </w:p>
    <w:p w14:paraId="12A47D45" w14:textId="6EE23E22" w:rsidR="000C57D0" w:rsidRDefault="000C57D0" w:rsidP="00112B2E">
      <w:pPr>
        <w:bidi w:val="0"/>
        <w:jc w:val="both"/>
      </w:pPr>
      <w:r w:rsidRPr="00CD43DC">
        <w:rPr>
          <w:b/>
          <w:bCs/>
        </w:rPr>
        <w:t xml:space="preserve">The average daily </w:t>
      </w:r>
      <w:r w:rsidR="0087642C" w:rsidRPr="00CD43DC">
        <w:rPr>
          <w:b/>
          <w:bCs/>
        </w:rPr>
        <w:t>trading</w:t>
      </w:r>
      <w:r w:rsidR="0087642C" w:rsidRPr="00CD43DC">
        <w:t xml:space="preserve"> </w:t>
      </w:r>
      <w:r w:rsidRPr="00CD43DC">
        <w:rPr>
          <w:b/>
          <w:bCs/>
        </w:rPr>
        <w:t xml:space="preserve">volume </w:t>
      </w:r>
      <w:r w:rsidR="00475E9A">
        <w:t>increased</w:t>
      </w:r>
      <w:r w:rsidR="00C12090" w:rsidRPr="00CD43DC">
        <w:t xml:space="preserve"> </w:t>
      </w:r>
      <w:r w:rsidR="0078051F">
        <w:t xml:space="preserve">by about </w:t>
      </w:r>
      <w:r w:rsidR="00345CD5">
        <w:t xml:space="preserve">6 </w:t>
      </w:r>
      <w:r w:rsidR="0078051F">
        <w:t xml:space="preserve">percent </w:t>
      </w:r>
      <w:r w:rsidR="009B1A17" w:rsidRPr="00B602F6">
        <w:t>during the quarter</w:t>
      </w:r>
      <w:r w:rsidR="00A45819">
        <w:t xml:space="preserve"> to $</w:t>
      </w:r>
      <w:r w:rsidR="00112B2E">
        <w:t xml:space="preserve">14 </w:t>
      </w:r>
      <w:r w:rsidR="00A45819">
        <w:t>billion</w:t>
      </w:r>
      <w:r w:rsidR="00FA003E">
        <w:t xml:space="preserve">, with most of the increase deriving from an increase </w:t>
      </w:r>
      <w:r w:rsidR="00584A0F" w:rsidRPr="00A37C5F">
        <w:t xml:space="preserve">in </w:t>
      </w:r>
      <w:r w:rsidR="001030DF" w:rsidRPr="00A37C5F">
        <w:t xml:space="preserve">the daily trading volume </w:t>
      </w:r>
      <w:r w:rsidR="00994D5A">
        <w:t xml:space="preserve">in </w:t>
      </w:r>
      <w:r w:rsidR="00112B2E" w:rsidRPr="00256AEA">
        <w:t>spot and forward</w:t>
      </w:r>
      <w:r w:rsidR="00112B2E">
        <w:t xml:space="preserve"> </w:t>
      </w:r>
      <w:r w:rsidR="003125B3">
        <w:t>transactions</w:t>
      </w:r>
      <w:r w:rsidR="00FA003E">
        <w:t>.</w:t>
      </w:r>
    </w:p>
    <w:p w14:paraId="4B66690D" w14:textId="77777777" w:rsidR="000C57D0" w:rsidRPr="000C57D0" w:rsidRDefault="000C57D0" w:rsidP="001E3DF2">
      <w:pPr>
        <w:bidi w:val="0"/>
        <w:jc w:val="both"/>
      </w:pPr>
    </w:p>
    <w:p w14:paraId="32D8FF46" w14:textId="25B237EB" w:rsidR="001B4974" w:rsidRDefault="00227FCB" w:rsidP="002362CA">
      <w:pPr>
        <w:bidi w:val="0"/>
        <w:jc w:val="both"/>
      </w:pPr>
      <w:r>
        <w:rPr>
          <w:b/>
          <w:bCs/>
        </w:rPr>
        <w:t>N</w:t>
      </w:r>
      <w:r w:rsidR="001B4974" w:rsidRPr="00256AEA">
        <w:rPr>
          <w:b/>
          <w:bCs/>
        </w:rPr>
        <w:t>onresidents' share of total trad</w:t>
      </w:r>
      <w:r w:rsidR="001B4974">
        <w:rPr>
          <w:b/>
          <w:bCs/>
        </w:rPr>
        <w:t>ing</w:t>
      </w:r>
      <w:r w:rsidR="000C57D0">
        <w:rPr>
          <w:b/>
          <w:bCs/>
        </w:rPr>
        <w:t xml:space="preserve"> volume</w:t>
      </w:r>
      <w:r w:rsidR="001030DF">
        <w:rPr>
          <w:b/>
          <w:bCs/>
        </w:rPr>
        <w:t xml:space="preserve"> vis-à-vis the domestic banking system</w:t>
      </w:r>
      <w:r w:rsidR="001B4974">
        <w:rPr>
          <w:b/>
          <w:bCs/>
        </w:rPr>
        <w:t xml:space="preserve"> </w:t>
      </w:r>
      <w:r w:rsidR="001B4974" w:rsidRPr="00256AEA">
        <w:t>(spot and forward transactions, options</w:t>
      </w:r>
      <w:r w:rsidR="0063362C">
        <w:t>,</w:t>
      </w:r>
      <w:r w:rsidR="001B4974" w:rsidRPr="00256AEA">
        <w:t xml:space="preserve"> and swaps)</w:t>
      </w:r>
      <w:r w:rsidR="001B4974">
        <w:t xml:space="preserve"> </w:t>
      </w:r>
      <w:r w:rsidR="003125B3">
        <w:t>declined</w:t>
      </w:r>
      <w:r w:rsidR="00952674">
        <w:t xml:space="preserve"> </w:t>
      </w:r>
      <w:r w:rsidR="001B4974">
        <w:t xml:space="preserve">by about </w:t>
      </w:r>
      <w:r w:rsidR="00112B2E">
        <w:t xml:space="preserve">1.2 </w:t>
      </w:r>
      <w:r w:rsidR="001B4974" w:rsidRPr="00FA003E">
        <w:t>percent</w:t>
      </w:r>
      <w:r w:rsidR="00994D5A" w:rsidRPr="00FA003E">
        <w:t>age points</w:t>
      </w:r>
      <w:r w:rsidR="00461E98" w:rsidRPr="00FA003E">
        <w:t xml:space="preserve"> </w:t>
      </w:r>
      <w:r w:rsidR="001B4974" w:rsidRPr="00FA003E">
        <w:t xml:space="preserve">to about </w:t>
      </w:r>
      <w:r w:rsidR="00112B2E" w:rsidRPr="002362CA">
        <w:t>39.12</w:t>
      </w:r>
      <w:r w:rsidR="00112B2E">
        <w:t xml:space="preserve"> </w:t>
      </w:r>
      <w:r w:rsidR="00601CA2" w:rsidRPr="00112B2E">
        <w:t>p</w:t>
      </w:r>
      <w:r w:rsidR="001B4974" w:rsidRPr="00112B2E">
        <w:t xml:space="preserve">ercent at the end of the </w:t>
      </w:r>
      <w:r w:rsidR="002362CA">
        <w:rPr>
          <w:lang w:bidi="ar-SA"/>
        </w:rPr>
        <w:t>second</w:t>
      </w:r>
      <w:r w:rsidR="00112B2E" w:rsidRPr="00112B2E">
        <w:t xml:space="preserve"> </w:t>
      </w:r>
      <w:r w:rsidR="00A3533A" w:rsidRPr="00112B2E">
        <w:t>quarter</w:t>
      </w:r>
      <w:r w:rsidR="001B4974" w:rsidRPr="00112B2E">
        <w:t>.</w:t>
      </w:r>
      <w:r w:rsidR="001B4974" w:rsidRPr="000C57D0">
        <w:t xml:space="preserve"> </w:t>
      </w:r>
    </w:p>
    <w:p w14:paraId="065FC886" w14:textId="77777777" w:rsidR="00A62731" w:rsidRPr="002362CA" w:rsidRDefault="00A62731" w:rsidP="001E3DF2">
      <w:pPr>
        <w:jc w:val="both"/>
        <w:rPr>
          <w:sz w:val="20"/>
          <w:szCs w:val="20"/>
          <w:rtl/>
        </w:rPr>
      </w:pPr>
    </w:p>
    <w:p w14:paraId="6F364926" w14:textId="75D487E6" w:rsidR="006D5EA0" w:rsidRDefault="006D5EA0" w:rsidP="006D5EA0">
      <w:pPr>
        <w:bidi w:val="0"/>
        <w:jc w:val="center"/>
        <w:rPr>
          <w:sz w:val="20"/>
          <w:szCs w:val="20"/>
        </w:rPr>
      </w:pPr>
    </w:p>
    <w:p w14:paraId="77F35884" w14:textId="2C0F772C" w:rsidR="00D80DD5" w:rsidRDefault="00D80DD5" w:rsidP="00D80DD5">
      <w:pPr>
        <w:bidi w:val="0"/>
        <w:jc w:val="center"/>
        <w:rPr>
          <w:sz w:val="20"/>
          <w:szCs w:val="20"/>
        </w:rPr>
      </w:pPr>
    </w:p>
    <w:tbl>
      <w:tblPr>
        <w:tblW w:w="9409" w:type="dxa"/>
        <w:tblInd w:w="-152" w:type="dxa"/>
        <w:tblLook w:val="04A0" w:firstRow="1" w:lastRow="0" w:firstColumn="1" w:lastColumn="0" w:noHBand="0" w:noVBand="1"/>
      </w:tblPr>
      <w:tblGrid>
        <w:gridCol w:w="10"/>
        <w:gridCol w:w="901"/>
        <w:gridCol w:w="3432"/>
        <w:gridCol w:w="1167"/>
        <w:gridCol w:w="760"/>
        <w:gridCol w:w="956"/>
        <w:gridCol w:w="880"/>
        <w:gridCol w:w="352"/>
        <w:gridCol w:w="951"/>
      </w:tblGrid>
      <w:tr w:rsidR="00203FDC" w:rsidRPr="00203FDC" w14:paraId="1D33A402" w14:textId="77777777" w:rsidTr="008D55A0">
        <w:trPr>
          <w:gridBefore w:val="1"/>
          <w:wBefore w:w="10" w:type="dxa"/>
          <w:trHeight w:val="990"/>
        </w:trPr>
        <w:tc>
          <w:tcPr>
            <w:tcW w:w="9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EA9B1B" w14:textId="77777777" w:rsidR="00203FDC" w:rsidRPr="00203FDC" w:rsidRDefault="00203FDC" w:rsidP="00203FDC">
            <w:pPr>
              <w:bidi w:val="0"/>
              <w:rPr>
                <w:rFonts w:ascii="David" w:hAnsi="David" w:cs="David"/>
                <w:sz w:val="28"/>
                <w:szCs w:val="28"/>
                <w:lang w:eastAsia="he-IL"/>
              </w:rPr>
            </w:pPr>
            <w:r w:rsidRPr="00203FDC">
              <w:rPr>
                <w:rFonts w:ascii="David" w:hAnsi="David" w:cs="David"/>
                <w:sz w:val="28"/>
                <w:szCs w:val="28"/>
                <w:lang w:eastAsia="he-IL"/>
              </w:rPr>
              <w:t> </w:t>
            </w:r>
          </w:p>
        </w:tc>
        <w:tc>
          <w:tcPr>
            <w:tcW w:w="343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C4D5DB6"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w:t>
            </w:r>
          </w:p>
        </w:tc>
        <w:tc>
          <w:tcPr>
            <w:tcW w:w="1167" w:type="dxa"/>
            <w:tcBorders>
              <w:top w:val="single" w:sz="8" w:space="0" w:color="auto"/>
              <w:left w:val="nil"/>
              <w:bottom w:val="single" w:sz="4" w:space="0" w:color="auto"/>
              <w:right w:val="single" w:sz="4" w:space="0" w:color="auto"/>
            </w:tcBorders>
            <w:shd w:val="clear" w:color="auto" w:fill="auto"/>
            <w:vAlign w:val="bottom"/>
            <w:hideMark/>
          </w:tcPr>
          <w:p w14:paraId="2F10CF2F"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 Conversions (1) </w:t>
            </w:r>
          </w:p>
        </w:tc>
        <w:tc>
          <w:tcPr>
            <w:tcW w:w="760" w:type="dxa"/>
            <w:tcBorders>
              <w:top w:val="single" w:sz="8" w:space="0" w:color="auto"/>
              <w:left w:val="nil"/>
              <w:bottom w:val="single" w:sz="4" w:space="0" w:color="auto"/>
              <w:right w:val="single" w:sz="4" w:space="0" w:color="auto"/>
            </w:tcBorders>
            <w:shd w:val="clear" w:color="auto" w:fill="auto"/>
            <w:vAlign w:val="bottom"/>
            <w:hideMark/>
          </w:tcPr>
          <w:p w14:paraId="32E8FD2A"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 Swaps</w:t>
            </w:r>
            <w:r w:rsidRPr="00203FDC">
              <w:rPr>
                <w:rFonts w:ascii="David" w:hAnsi="David" w:cs="David"/>
                <w:b/>
                <w:bCs/>
                <w:sz w:val="18"/>
                <w:szCs w:val="18"/>
                <w:vertAlign w:val="superscript"/>
                <w:lang w:eastAsia="he-IL"/>
              </w:rPr>
              <w:t>1</w:t>
            </w:r>
            <w:r w:rsidRPr="00203FDC">
              <w:rPr>
                <w:rFonts w:ascii="David" w:hAnsi="David" w:cs="David"/>
                <w:b/>
                <w:bCs/>
                <w:sz w:val="18"/>
                <w:szCs w:val="18"/>
                <w:lang w:eastAsia="he-IL"/>
              </w:rPr>
              <w:t xml:space="preserve"> (2)</w:t>
            </w:r>
          </w:p>
        </w:tc>
        <w:tc>
          <w:tcPr>
            <w:tcW w:w="956" w:type="dxa"/>
            <w:tcBorders>
              <w:top w:val="single" w:sz="8" w:space="0" w:color="auto"/>
              <w:left w:val="nil"/>
              <w:bottom w:val="single" w:sz="4" w:space="0" w:color="auto"/>
              <w:right w:val="single" w:sz="4" w:space="0" w:color="auto"/>
            </w:tcBorders>
            <w:shd w:val="clear" w:color="auto" w:fill="auto"/>
            <w:vAlign w:val="bottom"/>
            <w:hideMark/>
          </w:tcPr>
          <w:p w14:paraId="2F450BDA"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 Cross Currency swap</w:t>
            </w:r>
            <w:r w:rsidRPr="00203FDC">
              <w:rPr>
                <w:rFonts w:ascii="David" w:hAnsi="David" w:cs="David"/>
                <w:b/>
                <w:bCs/>
                <w:sz w:val="18"/>
                <w:szCs w:val="18"/>
                <w:vertAlign w:val="superscript"/>
                <w:lang w:eastAsia="he-IL"/>
              </w:rPr>
              <w:t>2</w:t>
            </w:r>
            <w:r w:rsidRPr="00203FDC">
              <w:rPr>
                <w:rFonts w:ascii="David" w:hAnsi="David" w:cs="David"/>
                <w:b/>
                <w:bCs/>
                <w:sz w:val="18"/>
                <w:szCs w:val="18"/>
                <w:lang w:eastAsia="he-IL"/>
              </w:rPr>
              <w:t xml:space="preserve"> (3)</w:t>
            </w:r>
          </w:p>
        </w:tc>
        <w:tc>
          <w:tcPr>
            <w:tcW w:w="880" w:type="dxa"/>
            <w:tcBorders>
              <w:top w:val="single" w:sz="8" w:space="0" w:color="auto"/>
              <w:left w:val="nil"/>
              <w:bottom w:val="single" w:sz="4" w:space="0" w:color="auto"/>
              <w:right w:val="single" w:sz="4" w:space="0" w:color="auto"/>
            </w:tcBorders>
            <w:shd w:val="clear" w:color="auto" w:fill="auto"/>
            <w:vAlign w:val="bottom"/>
            <w:hideMark/>
          </w:tcPr>
          <w:p w14:paraId="06E46AA3"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 Options</w:t>
            </w:r>
            <w:r w:rsidRPr="00203FDC">
              <w:rPr>
                <w:rFonts w:ascii="David" w:hAnsi="David" w:cs="David"/>
                <w:b/>
                <w:bCs/>
                <w:sz w:val="18"/>
                <w:szCs w:val="18"/>
                <w:vertAlign w:val="superscript"/>
                <w:lang w:eastAsia="he-IL"/>
              </w:rPr>
              <w:t>3</w:t>
            </w:r>
            <w:r w:rsidRPr="00203FDC">
              <w:rPr>
                <w:rFonts w:ascii="David" w:hAnsi="David" w:cs="David"/>
                <w:b/>
                <w:bCs/>
                <w:sz w:val="18"/>
                <w:szCs w:val="18"/>
                <w:lang w:eastAsia="he-IL"/>
              </w:rPr>
              <w:t xml:space="preserve"> (4)</w:t>
            </w:r>
          </w:p>
        </w:tc>
        <w:tc>
          <w:tcPr>
            <w:tcW w:w="1303" w:type="dxa"/>
            <w:gridSpan w:val="2"/>
            <w:tcBorders>
              <w:top w:val="single" w:sz="8" w:space="0" w:color="auto"/>
              <w:left w:val="nil"/>
              <w:bottom w:val="single" w:sz="4" w:space="0" w:color="auto"/>
              <w:right w:val="single" w:sz="8" w:space="0" w:color="auto"/>
            </w:tcBorders>
            <w:shd w:val="clear" w:color="auto" w:fill="auto"/>
            <w:vAlign w:val="bottom"/>
            <w:hideMark/>
          </w:tcPr>
          <w:p w14:paraId="03DBAAC9"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Total volume of trade (1)+(2)+(3)+(4)</w:t>
            </w:r>
          </w:p>
        </w:tc>
      </w:tr>
      <w:tr w:rsidR="00203FDC" w:rsidRPr="00203FDC" w14:paraId="050B2073" w14:textId="77777777" w:rsidTr="008D55A0">
        <w:trPr>
          <w:gridBefore w:val="1"/>
          <w:wBefore w:w="10" w:type="dxa"/>
          <w:trHeight w:val="210"/>
        </w:trPr>
        <w:tc>
          <w:tcPr>
            <w:tcW w:w="901" w:type="dxa"/>
            <w:vMerge w:val="restart"/>
            <w:tcBorders>
              <w:top w:val="nil"/>
              <w:left w:val="single" w:sz="8" w:space="0" w:color="auto"/>
              <w:bottom w:val="single" w:sz="8" w:space="0" w:color="000000"/>
              <w:right w:val="single" w:sz="4" w:space="0" w:color="auto"/>
            </w:tcBorders>
            <w:shd w:val="clear" w:color="auto" w:fill="auto"/>
            <w:vAlign w:val="center"/>
            <w:hideMark/>
          </w:tcPr>
          <w:p w14:paraId="6127A309" w14:textId="77777777" w:rsidR="00203FDC" w:rsidRPr="00203FDC" w:rsidRDefault="00203FDC" w:rsidP="00203FDC">
            <w:pPr>
              <w:bidi w:val="0"/>
              <w:jc w:val="center"/>
              <w:rPr>
                <w:rFonts w:ascii="David" w:hAnsi="David" w:cs="David"/>
                <w:b/>
                <w:bCs/>
                <w:sz w:val="18"/>
                <w:szCs w:val="18"/>
              </w:rPr>
            </w:pPr>
            <w:r w:rsidRPr="00203FDC">
              <w:rPr>
                <w:rFonts w:ascii="David" w:hAnsi="David" w:cs="David"/>
                <w:b/>
                <w:bCs/>
                <w:sz w:val="18"/>
                <w:szCs w:val="18"/>
                <w:lang w:eastAsia="he-IL"/>
              </w:rPr>
              <w:t>Second quarter 2025 (Not final)</w:t>
            </w:r>
          </w:p>
        </w:tc>
        <w:tc>
          <w:tcPr>
            <w:tcW w:w="3432" w:type="dxa"/>
            <w:tcBorders>
              <w:top w:val="nil"/>
              <w:left w:val="nil"/>
              <w:bottom w:val="single" w:sz="4" w:space="0" w:color="auto"/>
              <w:right w:val="single" w:sz="4" w:space="0" w:color="auto"/>
            </w:tcBorders>
            <w:shd w:val="clear" w:color="000000" w:fill="D9D9D9"/>
            <w:noWrap/>
            <w:vAlign w:val="bottom"/>
            <w:hideMark/>
          </w:tcPr>
          <w:p w14:paraId="48A686F5"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Total</w:t>
            </w:r>
          </w:p>
        </w:tc>
        <w:tc>
          <w:tcPr>
            <w:tcW w:w="1167" w:type="dxa"/>
            <w:tcBorders>
              <w:top w:val="nil"/>
              <w:left w:val="nil"/>
              <w:bottom w:val="single" w:sz="4" w:space="0" w:color="auto"/>
              <w:right w:val="single" w:sz="4" w:space="0" w:color="auto"/>
            </w:tcBorders>
            <w:shd w:val="clear" w:color="000000" w:fill="D9D9D9"/>
            <w:vAlign w:val="center"/>
            <w:hideMark/>
          </w:tcPr>
          <w:p w14:paraId="3794340E" w14:textId="77777777" w:rsidR="00203FDC" w:rsidRPr="00203FDC" w:rsidRDefault="00203FDC" w:rsidP="00203FDC">
            <w:pPr>
              <w:bidi w:val="0"/>
              <w:jc w:val="center"/>
              <w:rPr>
                <w:rFonts w:ascii="David" w:hAnsi="David" w:cs="David"/>
                <w:b/>
                <w:bCs/>
                <w:sz w:val="18"/>
                <w:szCs w:val="18"/>
              </w:rPr>
            </w:pPr>
            <w:r w:rsidRPr="00203FDC">
              <w:rPr>
                <w:rFonts w:ascii="David" w:hAnsi="David" w:cs="David"/>
                <w:b/>
                <w:bCs/>
                <w:sz w:val="18"/>
                <w:szCs w:val="18"/>
                <w:lang w:eastAsia="he-IL"/>
              </w:rPr>
              <w:t xml:space="preserve">223,650 </w:t>
            </w:r>
          </w:p>
        </w:tc>
        <w:tc>
          <w:tcPr>
            <w:tcW w:w="760" w:type="dxa"/>
            <w:tcBorders>
              <w:top w:val="nil"/>
              <w:left w:val="nil"/>
              <w:bottom w:val="single" w:sz="4" w:space="0" w:color="auto"/>
              <w:right w:val="single" w:sz="4" w:space="0" w:color="auto"/>
            </w:tcBorders>
            <w:shd w:val="clear" w:color="000000" w:fill="D9D9D9"/>
            <w:vAlign w:val="center"/>
            <w:hideMark/>
          </w:tcPr>
          <w:p w14:paraId="4B9DC8C3"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588,999 </w:t>
            </w:r>
          </w:p>
        </w:tc>
        <w:tc>
          <w:tcPr>
            <w:tcW w:w="956" w:type="dxa"/>
            <w:tcBorders>
              <w:top w:val="nil"/>
              <w:left w:val="nil"/>
              <w:bottom w:val="single" w:sz="4" w:space="0" w:color="auto"/>
              <w:right w:val="single" w:sz="4" w:space="0" w:color="auto"/>
            </w:tcBorders>
            <w:shd w:val="clear" w:color="000000" w:fill="D9D9D9"/>
            <w:vAlign w:val="center"/>
            <w:hideMark/>
          </w:tcPr>
          <w:p w14:paraId="7F2BCC35"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2,407 </w:t>
            </w:r>
          </w:p>
        </w:tc>
        <w:tc>
          <w:tcPr>
            <w:tcW w:w="880" w:type="dxa"/>
            <w:tcBorders>
              <w:top w:val="nil"/>
              <w:left w:val="nil"/>
              <w:bottom w:val="single" w:sz="4" w:space="0" w:color="auto"/>
              <w:right w:val="single" w:sz="4" w:space="0" w:color="auto"/>
            </w:tcBorders>
            <w:shd w:val="clear" w:color="000000" w:fill="D9D9D9"/>
            <w:vAlign w:val="center"/>
            <w:hideMark/>
          </w:tcPr>
          <w:p w14:paraId="4E46189F"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40,495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722B5FE7"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855,551 </w:t>
            </w:r>
          </w:p>
        </w:tc>
      </w:tr>
      <w:tr w:rsidR="00203FDC" w:rsidRPr="00203FDC" w14:paraId="043FDDF6"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16E89540"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000000" w:fill="D9D9D9"/>
            <w:noWrap/>
            <w:vAlign w:val="bottom"/>
            <w:hideMark/>
          </w:tcPr>
          <w:p w14:paraId="73B277F0"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Daily average (59 days)</w:t>
            </w:r>
          </w:p>
        </w:tc>
        <w:tc>
          <w:tcPr>
            <w:tcW w:w="1167" w:type="dxa"/>
            <w:tcBorders>
              <w:top w:val="nil"/>
              <w:left w:val="nil"/>
              <w:bottom w:val="single" w:sz="4" w:space="0" w:color="auto"/>
              <w:right w:val="single" w:sz="4" w:space="0" w:color="auto"/>
            </w:tcBorders>
            <w:shd w:val="clear" w:color="000000" w:fill="D9D9D9"/>
            <w:vAlign w:val="center"/>
            <w:hideMark/>
          </w:tcPr>
          <w:p w14:paraId="20B01B2A"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3,666 </w:t>
            </w:r>
          </w:p>
        </w:tc>
        <w:tc>
          <w:tcPr>
            <w:tcW w:w="760" w:type="dxa"/>
            <w:tcBorders>
              <w:top w:val="nil"/>
              <w:left w:val="nil"/>
              <w:bottom w:val="single" w:sz="4" w:space="0" w:color="auto"/>
              <w:right w:val="single" w:sz="4" w:space="0" w:color="auto"/>
            </w:tcBorders>
            <w:shd w:val="clear" w:color="000000" w:fill="D9D9D9"/>
            <w:vAlign w:val="center"/>
            <w:hideMark/>
          </w:tcPr>
          <w:p w14:paraId="1F0EE02B"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9,656 </w:t>
            </w:r>
          </w:p>
        </w:tc>
        <w:tc>
          <w:tcPr>
            <w:tcW w:w="956" w:type="dxa"/>
            <w:tcBorders>
              <w:top w:val="nil"/>
              <w:left w:val="nil"/>
              <w:bottom w:val="single" w:sz="4" w:space="0" w:color="auto"/>
              <w:right w:val="single" w:sz="4" w:space="0" w:color="auto"/>
            </w:tcBorders>
            <w:shd w:val="clear" w:color="000000" w:fill="D9D9D9"/>
            <w:vAlign w:val="center"/>
            <w:hideMark/>
          </w:tcPr>
          <w:p w14:paraId="18BA9728"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39 </w:t>
            </w:r>
          </w:p>
        </w:tc>
        <w:tc>
          <w:tcPr>
            <w:tcW w:w="880" w:type="dxa"/>
            <w:tcBorders>
              <w:top w:val="nil"/>
              <w:left w:val="nil"/>
              <w:bottom w:val="single" w:sz="4" w:space="0" w:color="auto"/>
              <w:right w:val="single" w:sz="4" w:space="0" w:color="auto"/>
            </w:tcBorders>
            <w:shd w:val="clear" w:color="000000" w:fill="D9D9D9"/>
            <w:vAlign w:val="center"/>
            <w:hideMark/>
          </w:tcPr>
          <w:p w14:paraId="4945A296"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664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0F7B3228"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14,025 </w:t>
            </w:r>
          </w:p>
        </w:tc>
      </w:tr>
      <w:tr w:rsidR="00203FDC" w:rsidRPr="00203FDC" w14:paraId="2FF7286D"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2132C70A"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340A859A"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Nonresidents</w:t>
            </w:r>
          </w:p>
        </w:tc>
        <w:tc>
          <w:tcPr>
            <w:tcW w:w="1167" w:type="dxa"/>
            <w:tcBorders>
              <w:top w:val="nil"/>
              <w:left w:val="nil"/>
              <w:bottom w:val="single" w:sz="4" w:space="0" w:color="auto"/>
              <w:right w:val="single" w:sz="4" w:space="0" w:color="auto"/>
            </w:tcBorders>
            <w:shd w:val="clear" w:color="auto" w:fill="auto"/>
            <w:vAlign w:val="center"/>
            <w:hideMark/>
          </w:tcPr>
          <w:p w14:paraId="12B43CEA"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75,797 </w:t>
            </w:r>
          </w:p>
        </w:tc>
        <w:tc>
          <w:tcPr>
            <w:tcW w:w="760" w:type="dxa"/>
            <w:tcBorders>
              <w:top w:val="nil"/>
              <w:left w:val="nil"/>
              <w:bottom w:val="single" w:sz="4" w:space="0" w:color="auto"/>
              <w:right w:val="single" w:sz="4" w:space="0" w:color="auto"/>
            </w:tcBorders>
            <w:shd w:val="clear" w:color="auto" w:fill="auto"/>
            <w:vAlign w:val="center"/>
            <w:hideMark/>
          </w:tcPr>
          <w:p w14:paraId="279199E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243,946 </w:t>
            </w:r>
          </w:p>
        </w:tc>
        <w:tc>
          <w:tcPr>
            <w:tcW w:w="956" w:type="dxa"/>
            <w:tcBorders>
              <w:top w:val="nil"/>
              <w:left w:val="nil"/>
              <w:bottom w:val="single" w:sz="4" w:space="0" w:color="auto"/>
              <w:right w:val="single" w:sz="4" w:space="0" w:color="auto"/>
            </w:tcBorders>
            <w:shd w:val="clear" w:color="auto" w:fill="auto"/>
            <w:vAlign w:val="center"/>
            <w:hideMark/>
          </w:tcPr>
          <w:p w14:paraId="17CAE66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857 </w:t>
            </w:r>
          </w:p>
        </w:tc>
        <w:tc>
          <w:tcPr>
            <w:tcW w:w="880" w:type="dxa"/>
            <w:tcBorders>
              <w:top w:val="nil"/>
              <w:left w:val="nil"/>
              <w:bottom w:val="single" w:sz="4" w:space="0" w:color="auto"/>
              <w:right w:val="single" w:sz="4" w:space="0" w:color="auto"/>
            </w:tcBorders>
            <w:shd w:val="clear" w:color="auto" w:fill="auto"/>
            <w:vAlign w:val="center"/>
            <w:hideMark/>
          </w:tcPr>
          <w:p w14:paraId="5DF6A875"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14,059 </w:t>
            </w:r>
          </w:p>
        </w:tc>
        <w:tc>
          <w:tcPr>
            <w:tcW w:w="1303" w:type="dxa"/>
            <w:gridSpan w:val="2"/>
            <w:tcBorders>
              <w:top w:val="nil"/>
              <w:left w:val="nil"/>
              <w:bottom w:val="single" w:sz="4" w:space="0" w:color="auto"/>
              <w:right w:val="single" w:sz="4" w:space="0" w:color="auto"/>
            </w:tcBorders>
            <w:shd w:val="clear" w:color="auto" w:fill="auto"/>
            <w:vAlign w:val="center"/>
            <w:hideMark/>
          </w:tcPr>
          <w:p w14:paraId="5AA96792"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334,659 </w:t>
            </w:r>
          </w:p>
        </w:tc>
      </w:tr>
      <w:tr w:rsidR="00203FDC" w:rsidRPr="00203FDC" w14:paraId="46FEF434"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37D6B604"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431177D1"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sz w:val="18"/>
                <w:szCs w:val="18"/>
                <w:lang w:eastAsia="he-IL"/>
              </w:rPr>
              <w:t xml:space="preserve"> of which</w:t>
            </w:r>
            <w:r w:rsidRPr="00203FDC">
              <w:rPr>
                <w:rFonts w:ascii="David" w:hAnsi="David" w:cs="David"/>
                <w:b/>
                <w:bCs/>
                <w:sz w:val="18"/>
                <w:szCs w:val="18"/>
                <w:lang w:eastAsia="he-IL"/>
              </w:rPr>
              <w:t xml:space="preserve"> Foreign financial institutions</w:t>
            </w:r>
          </w:p>
        </w:tc>
        <w:tc>
          <w:tcPr>
            <w:tcW w:w="1167" w:type="dxa"/>
            <w:tcBorders>
              <w:top w:val="nil"/>
              <w:left w:val="nil"/>
              <w:bottom w:val="single" w:sz="4" w:space="0" w:color="auto"/>
              <w:right w:val="single" w:sz="4" w:space="0" w:color="auto"/>
            </w:tcBorders>
            <w:shd w:val="clear" w:color="auto" w:fill="auto"/>
            <w:vAlign w:val="center"/>
            <w:hideMark/>
          </w:tcPr>
          <w:p w14:paraId="102E67E4"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75,100 </w:t>
            </w:r>
          </w:p>
        </w:tc>
        <w:tc>
          <w:tcPr>
            <w:tcW w:w="760" w:type="dxa"/>
            <w:tcBorders>
              <w:top w:val="nil"/>
              <w:left w:val="nil"/>
              <w:bottom w:val="single" w:sz="4" w:space="0" w:color="auto"/>
              <w:right w:val="single" w:sz="4" w:space="0" w:color="auto"/>
            </w:tcBorders>
            <w:shd w:val="clear" w:color="auto" w:fill="auto"/>
            <w:vAlign w:val="center"/>
            <w:hideMark/>
          </w:tcPr>
          <w:p w14:paraId="5F545CEF"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243,946 </w:t>
            </w:r>
          </w:p>
        </w:tc>
        <w:tc>
          <w:tcPr>
            <w:tcW w:w="956" w:type="dxa"/>
            <w:tcBorders>
              <w:top w:val="nil"/>
              <w:left w:val="nil"/>
              <w:bottom w:val="single" w:sz="4" w:space="0" w:color="auto"/>
              <w:right w:val="single" w:sz="4" w:space="0" w:color="auto"/>
            </w:tcBorders>
            <w:shd w:val="clear" w:color="auto" w:fill="auto"/>
            <w:vAlign w:val="center"/>
            <w:hideMark/>
          </w:tcPr>
          <w:p w14:paraId="427E2520"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857 </w:t>
            </w:r>
          </w:p>
        </w:tc>
        <w:tc>
          <w:tcPr>
            <w:tcW w:w="880" w:type="dxa"/>
            <w:tcBorders>
              <w:top w:val="nil"/>
              <w:left w:val="nil"/>
              <w:bottom w:val="single" w:sz="4" w:space="0" w:color="auto"/>
              <w:right w:val="single" w:sz="4" w:space="0" w:color="auto"/>
            </w:tcBorders>
            <w:shd w:val="clear" w:color="auto" w:fill="auto"/>
            <w:vAlign w:val="center"/>
            <w:hideMark/>
          </w:tcPr>
          <w:p w14:paraId="7C63107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14,059 </w:t>
            </w:r>
          </w:p>
        </w:tc>
        <w:tc>
          <w:tcPr>
            <w:tcW w:w="1303" w:type="dxa"/>
            <w:gridSpan w:val="2"/>
            <w:tcBorders>
              <w:top w:val="nil"/>
              <w:left w:val="nil"/>
              <w:bottom w:val="single" w:sz="4" w:space="0" w:color="auto"/>
              <w:right w:val="single" w:sz="4" w:space="0" w:color="auto"/>
            </w:tcBorders>
            <w:shd w:val="clear" w:color="auto" w:fill="auto"/>
            <w:vAlign w:val="center"/>
            <w:hideMark/>
          </w:tcPr>
          <w:p w14:paraId="7F7BAF3F"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333,961 </w:t>
            </w:r>
          </w:p>
        </w:tc>
      </w:tr>
      <w:tr w:rsidR="00203FDC" w:rsidRPr="00203FDC" w14:paraId="01468891"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3DEB5385"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07EFECFC"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Residents</w:t>
            </w:r>
          </w:p>
        </w:tc>
        <w:tc>
          <w:tcPr>
            <w:tcW w:w="1167" w:type="dxa"/>
            <w:tcBorders>
              <w:top w:val="nil"/>
              <w:left w:val="nil"/>
              <w:bottom w:val="single" w:sz="4" w:space="0" w:color="auto"/>
              <w:right w:val="single" w:sz="4" w:space="0" w:color="auto"/>
            </w:tcBorders>
            <w:shd w:val="clear" w:color="auto" w:fill="auto"/>
            <w:vAlign w:val="center"/>
            <w:hideMark/>
          </w:tcPr>
          <w:p w14:paraId="1A6346F5"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147,853 </w:t>
            </w:r>
          </w:p>
        </w:tc>
        <w:tc>
          <w:tcPr>
            <w:tcW w:w="760" w:type="dxa"/>
            <w:tcBorders>
              <w:top w:val="nil"/>
              <w:left w:val="nil"/>
              <w:bottom w:val="single" w:sz="4" w:space="0" w:color="auto"/>
              <w:right w:val="single" w:sz="4" w:space="0" w:color="auto"/>
            </w:tcBorders>
            <w:shd w:val="clear" w:color="auto" w:fill="auto"/>
            <w:vAlign w:val="center"/>
            <w:hideMark/>
          </w:tcPr>
          <w:p w14:paraId="6DA5DC7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345,053 </w:t>
            </w:r>
          </w:p>
        </w:tc>
        <w:tc>
          <w:tcPr>
            <w:tcW w:w="956" w:type="dxa"/>
            <w:tcBorders>
              <w:top w:val="nil"/>
              <w:left w:val="nil"/>
              <w:bottom w:val="single" w:sz="4" w:space="0" w:color="auto"/>
              <w:right w:val="single" w:sz="4" w:space="0" w:color="auto"/>
            </w:tcBorders>
            <w:shd w:val="clear" w:color="auto" w:fill="auto"/>
            <w:vAlign w:val="center"/>
            <w:hideMark/>
          </w:tcPr>
          <w:p w14:paraId="0F071181"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1,550 </w:t>
            </w:r>
          </w:p>
        </w:tc>
        <w:tc>
          <w:tcPr>
            <w:tcW w:w="880" w:type="dxa"/>
            <w:tcBorders>
              <w:top w:val="nil"/>
              <w:left w:val="nil"/>
              <w:bottom w:val="single" w:sz="4" w:space="0" w:color="auto"/>
              <w:right w:val="single" w:sz="4" w:space="0" w:color="auto"/>
            </w:tcBorders>
            <w:shd w:val="clear" w:color="auto" w:fill="auto"/>
            <w:vAlign w:val="center"/>
            <w:hideMark/>
          </w:tcPr>
          <w:p w14:paraId="1D3740BB"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26,436 </w:t>
            </w:r>
          </w:p>
        </w:tc>
        <w:tc>
          <w:tcPr>
            <w:tcW w:w="1303" w:type="dxa"/>
            <w:gridSpan w:val="2"/>
            <w:tcBorders>
              <w:top w:val="nil"/>
              <w:left w:val="nil"/>
              <w:bottom w:val="single" w:sz="4" w:space="0" w:color="auto"/>
              <w:right w:val="single" w:sz="4" w:space="0" w:color="auto"/>
            </w:tcBorders>
            <w:shd w:val="clear" w:color="auto" w:fill="auto"/>
            <w:vAlign w:val="center"/>
            <w:hideMark/>
          </w:tcPr>
          <w:p w14:paraId="6BBB089E"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520,892 </w:t>
            </w:r>
          </w:p>
        </w:tc>
      </w:tr>
      <w:tr w:rsidR="00203FDC" w:rsidRPr="00203FDC" w14:paraId="55C93C6A"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09F1DD33"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1EBF9BB0"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sz w:val="18"/>
                <w:szCs w:val="18"/>
                <w:lang w:eastAsia="he-IL"/>
              </w:rPr>
              <w:t xml:space="preserve"> of which</w:t>
            </w:r>
            <w:r w:rsidRPr="00203FDC">
              <w:rPr>
                <w:rFonts w:ascii="David" w:hAnsi="David" w:cs="David"/>
                <w:b/>
                <w:bCs/>
                <w:sz w:val="18"/>
                <w:szCs w:val="18"/>
                <w:lang w:eastAsia="he-IL"/>
              </w:rPr>
              <w:t xml:space="preserve"> Real sector</w:t>
            </w:r>
          </w:p>
        </w:tc>
        <w:tc>
          <w:tcPr>
            <w:tcW w:w="1167" w:type="dxa"/>
            <w:tcBorders>
              <w:top w:val="nil"/>
              <w:left w:val="nil"/>
              <w:bottom w:val="single" w:sz="4" w:space="0" w:color="auto"/>
              <w:right w:val="single" w:sz="4" w:space="0" w:color="auto"/>
            </w:tcBorders>
            <w:shd w:val="clear" w:color="auto" w:fill="auto"/>
            <w:vAlign w:val="center"/>
            <w:hideMark/>
          </w:tcPr>
          <w:p w14:paraId="37C469B8"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47,625 </w:t>
            </w:r>
          </w:p>
        </w:tc>
        <w:tc>
          <w:tcPr>
            <w:tcW w:w="760" w:type="dxa"/>
            <w:tcBorders>
              <w:top w:val="nil"/>
              <w:left w:val="nil"/>
              <w:bottom w:val="single" w:sz="4" w:space="0" w:color="auto"/>
              <w:right w:val="single" w:sz="4" w:space="0" w:color="auto"/>
            </w:tcBorders>
            <w:shd w:val="clear" w:color="auto" w:fill="auto"/>
            <w:vAlign w:val="center"/>
            <w:hideMark/>
          </w:tcPr>
          <w:p w14:paraId="0518919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26,938 </w:t>
            </w:r>
          </w:p>
        </w:tc>
        <w:tc>
          <w:tcPr>
            <w:tcW w:w="956" w:type="dxa"/>
            <w:tcBorders>
              <w:top w:val="nil"/>
              <w:left w:val="nil"/>
              <w:bottom w:val="single" w:sz="4" w:space="0" w:color="auto"/>
              <w:right w:val="single" w:sz="4" w:space="0" w:color="auto"/>
            </w:tcBorders>
            <w:shd w:val="clear" w:color="auto" w:fill="auto"/>
            <w:vAlign w:val="center"/>
            <w:hideMark/>
          </w:tcPr>
          <w:p w14:paraId="1A956868"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410 </w:t>
            </w:r>
          </w:p>
        </w:tc>
        <w:tc>
          <w:tcPr>
            <w:tcW w:w="880" w:type="dxa"/>
            <w:tcBorders>
              <w:top w:val="nil"/>
              <w:left w:val="nil"/>
              <w:bottom w:val="single" w:sz="4" w:space="0" w:color="auto"/>
              <w:right w:val="single" w:sz="4" w:space="0" w:color="auto"/>
            </w:tcBorders>
            <w:shd w:val="clear" w:color="auto" w:fill="auto"/>
            <w:vAlign w:val="center"/>
            <w:hideMark/>
          </w:tcPr>
          <w:p w14:paraId="70D31381"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8,589 </w:t>
            </w:r>
          </w:p>
        </w:tc>
        <w:tc>
          <w:tcPr>
            <w:tcW w:w="1303" w:type="dxa"/>
            <w:gridSpan w:val="2"/>
            <w:tcBorders>
              <w:top w:val="nil"/>
              <w:left w:val="nil"/>
              <w:bottom w:val="single" w:sz="4" w:space="0" w:color="auto"/>
              <w:right w:val="single" w:sz="4" w:space="0" w:color="auto"/>
            </w:tcBorders>
            <w:shd w:val="clear" w:color="auto" w:fill="auto"/>
            <w:vAlign w:val="center"/>
            <w:hideMark/>
          </w:tcPr>
          <w:p w14:paraId="6CA01EC4"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83,560 </w:t>
            </w:r>
          </w:p>
        </w:tc>
      </w:tr>
      <w:tr w:rsidR="00203FDC" w:rsidRPr="00203FDC" w14:paraId="4CDB2004"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241F880D"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68B31085"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Financial sector</w:t>
            </w:r>
          </w:p>
        </w:tc>
        <w:tc>
          <w:tcPr>
            <w:tcW w:w="1167" w:type="dxa"/>
            <w:tcBorders>
              <w:top w:val="nil"/>
              <w:left w:val="nil"/>
              <w:bottom w:val="single" w:sz="4" w:space="0" w:color="auto"/>
              <w:right w:val="single" w:sz="4" w:space="0" w:color="auto"/>
            </w:tcBorders>
            <w:shd w:val="clear" w:color="auto" w:fill="auto"/>
            <w:vAlign w:val="center"/>
            <w:hideMark/>
          </w:tcPr>
          <w:p w14:paraId="388DA831"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42,515 </w:t>
            </w:r>
          </w:p>
        </w:tc>
        <w:tc>
          <w:tcPr>
            <w:tcW w:w="760" w:type="dxa"/>
            <w:tcBorders>
              <w:top w:val="nil"/>
              <w:left w:val="nil"/>
              <w:bottom w:val="single" w:sz="4" w:space="0" w:color="auto"/>
              <w:right w:val="single" w:sz="4" w:space="0" w:color="auto"/>
            </w:tcBorders>
            <w:shd w:val="clear" w:color="auto" w:fill="auto"/>
            <w:vAlign w:val="center"/>
            <w:hideMark/>
          </w:tcPr>
          <w:p w14:paraId="2D7A2C8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139,701 </w:t>
            </w:r>
          </w:p>
        </w:tc>
        <w:tc>
          <w:tcPr>
            <w:tcW w:w="956" w:type="dxa"/>
            <w:tcBorders>
              <w:top w:val="nil"/>
              <w:left w:val="nil"/>
              <w:bottom w:val="single" w:sz="4" w:space="0" w:color="auto"/>
              <w:right w:val="single" w:sz="4" w:space="0" w:color="auto"/>
            </w:tcBorders>
            <w:shd w:val="clear" w:color="auto" w:fill="auto"/>
            <w:vAlign w:val="center"/>
            <w:hideMark/>
          </w:tcPr>
          <w:p w14:paraId="430B10E2"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575 </w:t>
            </w:r>
          </w:p>
        </w:tc>
        <w:tc>
          <w:tcPr>
            <w:tcW w:w="880" w:type="dxa"/>
            <w:tcBorders>
              <w:top w:val="nil"/>
              <w:left w:val="nil"/>
              <w:bottom w:val="single" w:sz="4" w:space="0" w:color="auto"/>
              <w:right w:val="single" w:sz="4" w:space="0" w:color="auto"/>
            </w:tcBorders>
            <w:shd w:val="clear" w:color="auto" w:fill="auto"/>
            <w:vAlign w:val="center"/>
            <w:hideMark/>
          </w:tcPr>
          <w:p w14:paraId="1A937FC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1,148 </w:t>
            </w:r>
          </w:p>
        </w:tc>
        <w:tc>
          <w:tcPr>
            <w:tcW w:w="1303" w:type="dxa"/>
            <w:gridSpan w:val="2"/>
            <w:tcBorders>
              <w:top w:val="nil"/>
              <w:left w:val="nil"/>
              <w:bottom w:val="single" w:sz="4" w:space="0" w:color="auto"/>
              <w:right w:val="single" w:sz="4" w:space="0" w:color="auto"/>
            </w:tcBorders>
            <w:shd w:val="clear" w:color="auto" w:fill="auto"/>
            <w:vAlign w:val="center"/>
            <w:hideMark/>
          </w:tcPr>
          <w:p w14:paraId="2799A852"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183,940 </w:t>
            </w:r>
          </w:p>
        </w:tc>
      </w:tr>
      <w:tr w:rsidR="00203FDC" w:rsidRPr="00203FDC" w14:paraId="1A6AEA04"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0D680536"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6A9C8E3B"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Institutions (incl. insurance companies)</w:t>
            </w:r>
          </w:p>
        </w:tc>
        <w:tc>
          <w:tcPr>
            <w:tcW w:w="1167" w:type="dxa"/>
            <w:tcBorders>
              <w:top w:val="nil"/>
              <w:left w:val="nil"/>
              <w:bottom w:val="single" w:sz="4" w:space="0" w:color="auto"/>
              <w:right w:val="single" w:sz="4" w:space="0" w:color="auto"/>
            </w:tcBorders>
            <w:shd w:val="clear" w:color="auto" w:fill="auto"/>
            <w:vAlign w:val="center"/>
            <w:hideMark/>
          </w:tcPr>
          <w:p w14:paraId="13094E52"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29,109 </w:t>
            </w:r>
          </w:p>
        </w:tc>
        <w:tc>
          <w:tcPr>
            <w:tcW w:w="760" w:type="dxa"/>
            <w:tcBorders>
              <w:top w:val="nil"/>
              <w:left w:val="nil"/>
              <w:bottom w:val="single" w:sz="4" w:space="0" w:color="auto"/>
              <w:right w:val="single" w:sz="4" w:space="0" w:color="auto"/>
            </w:tcBorders>
            <w:shd w:val="clear" w:color="auto" w:fill="auto"/>
            <w:vAlign w:val="center"/>
            <w:hideMark/>
          </w:tcPr>
          <w:p w14:paraId="670E4DF1"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134,097 </w:t>
            </w:r>
          </w:p>
        </w:tc>
        <w:tc>
          <w:tcPr>
            <w:tcW w:w="956" w:type="dxa"/>
            <w:tcBorders>
              <w:top w:val="nil"/>
              <w:left w:val="nil"/>
              <w:bottom w:val="single" w:sz="4" w:space="0" w:color="auto"/>
              <w:right w:val="single" w:sz="4" w:space="0" w:color="auto"/>
            </w:tcBorders>
            <w:shd w:val="clear" w:color="auto" w:fill="auto"/>
            <w:vAlign w:val="center"/>
            <w:hideMark/>
          </w:tcPr>
          <w:p w14:paraId="2AD1128F"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160 </w:t>
            </w:r>
          </w:p>
        </w:tc>
        <w:tc>
          <w:tcPr>
            <w:tcW w:w="880" w:type="dxa"/>
            <w:tcBorders>
              <w:top w:val="nil"/>
              <w:left w:val="nil"/>
              <w:bottom w:val="single" w:sz="4" w:space="0" w:color="auto"/>
              <w:right w:val="single" w:sz="4" w:space="0" w:color="auto"/>
            </w:tcBorders>
            <w:shd w:val="clear" w:color="auto" w:fill="auto"/>
            <w:vAlign w:val="center"/>
            <w:hideMark/>
          </w:tcPr>
          <w:p w14:paraId="31C1C30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8,921 </w:t>
            </w:r>
          </w:p>
        </w:tc>
        <w:tc>
          <w:tcPr>
            <w:tcW w:w="1303" w:type="dxa"/>
            <w:gridSpan w:val="2"/>
            <w:tcBorders>
              <w:top w:val="nil"/>
              <w:left w:val="nil"/>
              <w:bottom w:val="single" w:sz="4" w:space="0" w:color="auto"/>
              <w:right w:val="single" w:sz="4" w:space="0" w:color="auto"/>
            </w:tcBorders>
            <w:shd w:val="clear" w:color="auto" w:fill="auto"/>
            <w:vAlign w:val="center"/>
            <w:hideMark/>
          </w:tcPr>
          <w:p w14:paraId="7163BD8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172,286 </w:t>
            </w:r>
          </w:p>
        </w:tc>
      </w:tr>
      <w:tr w:rsidR="00203FDC" w:rsidRPr="00203FDC" w14:paraId="0AB1967B"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12A06C9B"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2F731EEC"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Individuals</w:t>
            </w:r>
          </w:p>
        </w:tc>
        <w:tc>
          <w:tcPr>
            <w:tcW w:w="1167" w:type="dxa"/>
            <w:tcBorders>
              <w:top w:val="nil"/>
              <w:left w:val="nil"/>
              <w:bottom w:val="single" w:sz="4" w:space="0" w:color="auto"/>
              <w:right w:val="single" w:sz="4" w:space="0" w:color="auto"/>
            </w:tcBorders>
            <w:shd w:val="clear" w:color="auto" w:fill="auto"/>
            <w:vAlign w:val="center"/>
            <w:hideMark/>
          </w:tcPr>
          <w:p w14:paraId="6E760871"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5,696 </w:t>
            </w:r>
          </w:p>
        </w:tc>
        <w:tc>
          <w:tcPr>
            <w:tcW w:w="760" w:type="dxa"/>
            <w:tcBorders>
              <w:top w:val="nil"/>
              <w:left w:val="nil"/>
              <w:bottom w:val="single" w:sz="4" w:space="0" w:color="auto"/>
              <w:right w:val="single" w:sz="4" w:space="0" w:color="auto"/>
            </w:tcBorders>
            <w:shd w:val="clear" w:color="auto" w:fill="auto"/>
            <w:vAlign w:val="center"/>
            <w:hideMark/>
          </w:tcPr>
          <w:p w14:paraId="412EC68B"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202 </w:t>
            </w:r>
          </w:p>
        </w:tc>
        <w:tc>
          <w:tcPr>
            <w:tcW w:w="956" w:type="dxa"/>
            <w:tcBorders>
              <w:top w:val="nil"/>
              <w:left w:val="nil"/>
              <w:bottom w:val="single" w:sz="4" w:space="0" w:color="auto"/>
              <w:right w:val="single" w:sz="4" w:space="0" w:color="auto"/>
            </w:tcBorders>
            <w:shd w:val="clear" w:color="auto" w:fill="auto"/>
            <w:vAlign w:val="center"/>
            <w:hideMark/>
          </w:tcPr>
          <w:p w14:paraId="3A83A720"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67AF4E4A"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122 </w:t>
            </w:r>
          </w:p>
        </w:tc>
        <w:tc>
          <w:tcPr>
            <w:tcW w:w="1303" w:type="dxa"/>
            <w:gridSpan w:val="2"/>
            <w:tcBorders>
              <w:top w:val="nil"/>
              <w:left w:val="nil"/>
              <w:bottom w:val="single" w:sz="4" w:space="0" w:color="auto"/>
              <w:right w:val="single" w:sz="4" w:space="0" w:color="auto"/>
            </w:tcBorders>
            <w:shd w:val="clear" w:color="auto" w:fill="auto"/>
            <w:vAlign w:val="center"/>
            <w:hideMark/>
          </w:tcPr>
          <w:p w14:paraId="4B5B5AA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6,021 </w:t>
            </w:r>
          </w:p>
        </w:tc>
      </w:tr>
      <w:tr w:rsidR="00203FDC" w:rsidRPr="00203FDC" w14:paraId="04D42D80"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59E6B00B"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01FC7B27"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Other</w:t>
            </w:r>
            <w:r w:rsidRPr="00203FDC">
              <w:rPr>
                <w:rFonts w:ascii="David" w:hAnsi="David" w:cs="David"/>
                <w:b/>
                <w:bCs/>
                <w:sz w:val="18"/>
                <w:szCs w:val="18"/>
                <w:vertAlign w:val="superscript"/>
                <w:lang w:eastAsia="he-IL"/>
              </w:rPr>
              <w:t>4</w:t>
            </w:r>
          </w:p>
        </w:tc>
        <w:tc>
          <w:tcPr>
            <w:tcW w:w="1167" w:type="dxa"/>
            <w:tcBorders>
              <w:top w:val="nil"/>
              <w:left w:val="nil"/>
              <w:bottom w:val="single" w:sz="4" w:space="0" w:color="auto"/>
              <w:right w:val="single" w:sz="4" w:space="0" w:color="auto"/>
            </w:tcBorders>
            <w:shd w:val="clear" w:color="auto" w:fill="auto"/>
            <w:vAlign w:val="center"/>
            <w:hideMark/>
          </w:tcPr>
          <w:p w14:paraId="4E0D42E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698 </w:t>
            </w:r>
          </w:p>
        </w:tc>
        <w:tc>
          <w:tcPr>
            <w:tcW w:w="760" w:type="dxa"/>
            <w:tcBorders>
              <w:top w:val="nil"/>
              <w:left w:val="nil"/>
              <w:bottom w:val="single" w:sz="4" w:space="0" w:color="auto"/>
              <w:right w:val="single" w:sz="4" w:space="0" w:color="auto"/>
            </w:tcBorders>
            <w:shd w:val="clear" w:color="auto" w:fill="auto"/>
            <w:vAlign w:val="center"/>
            <w:hideMark/>
          </w:tcPr>
          <w:p w14:paraId="6DCBCF6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0 </w:t>
            </w:r>
          </w:p>
        </w:tc>
        <w:tc>
          <w:tcPr>
            <w:tcW w:w="956" w:type="dxa"/>
            <w:tcBorders>
              <w:top w:val="nil"/>
              <w:left w:val="nil"/>
              <w:bottom w:val="single" w:sz="4" w:space="0" w:color="auto"/>
              <w:right w:val="single" w:sz="4" w:space="0" w:color="auto"/>
            </w:tcBorders>
            <w:shd w:val="clear" w:color="auto" w:fill="auto"/>
            <w:vAlign w:val="center"/>
            <w:hideMark/>
          </w:tcPr>
          <w:p w14:paraId="3EE0006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327C379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0 </w:t>
            </w:r>
          </w:p>
        </w:tc>
        <w:tc>
          <w:tcPr>
            <w:tcW w:w="1303" w:type="dxa"/>
            <w:gridSpan w:val="2"/>
            <w:tcBorders>
              <w:top w:val="nil"/>
              <w:left w:val="nil"/>
              <w:bottom w:val="single" w:sz="4" w:space="0" w:color="auto"/>
              <w:right w:val="single" w:sz="4" w:space="0" w:color="auto"/>
            </w:tcBorders>
            <w:shd w:val="clear" w:color="auto" w:fill="auto"/>
            <w:vAlign w:val="center"/>
            <w:hideMark/>
          </w:tcPr>
          <w:p w14:paraId="626CD92B"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698 </w:t>
            </w:r>
          </w:p>
        </w:tc>
      </w:tr>
      <w:tr w:rsidR="00203FDC" w:rsidRPr="00203FDC" w14:paraId="1500EF76"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5AE24A09" w14:textId="77777777" w:rsidR="00203FDC" w:rsidRPr="00203FDC" w:rsidRDefault="00203FDC" w:rsidP="00203FDC">
            <w:pPr>
              <w:bidi w:val="0"/>
              <w:rPr>
                <w:rFonts w:ascii="David" w:hAnsi="David" w:cs="David"/>
                <w:b/>
                <w:bCs/>
                <w:sz w:val="18"/>
                <w:szCs w:val="18"/>
                <w:lang w:eastAsia="he-IL"/>
              </w:rPr>
            </w:pPr>
          </w:p>
        </w:tc>
        <w:tc>
          <w:tcPr>
            <w:tcW w:w="343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63F2080"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Domestic banks</w:t>
            </w:r>
            <w:r w:rsidRPr="00203FDC">
              <w:rPr>
                <w:rFonts w:ascii="David" w:hAnsi="David" w:cs="David"/>
                <w:b/>
                <w:bCs/>
                <w:sz w:val="18"/>
                <w:szCs w:val="18"/>
                <w:vertAlign w:val="superscript"/>
                <w:lang w:eastAsia="he-IL"/>
              </w:rPr>
              <w:t>5</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14:paraId="2ECE9130"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11,180 </w:t>
            </w:r>
          </w:p>
        </w:tc>
        <w:tc>
          <w:tcPr>
            <w:tcW w:w="760" w:type="dxa"/>
            <w:tcBorders>
              <w:top w:val="nil"/>
              <w:left w:val="nil"/>
              <w:bottom w:val="single" w:sz="4" w:space="0" w:color="auto"/>
              <w:right w:val="single" w:sz="4" w:space="0" w:color="auto"/>
            </w:tcBorders>
            <w:shd w:val="clear" w:color="auto" w:fill="auto"/>
            <w:vAlign w:val="center"/>
            <w:hideMark/>
          </w:tcPr>
          <w:p w14:paraId="45A4AB3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26,154 </w:t>
            </w:r>
          </w:p>
        </w:tc>
        <w:tc>
          <w:tcPr>
            <w:tcW w:w="956" w:type="dxa"/>
            <w:tcBorders>
              <w:top w:val="nil"/>
              <w:left w:val="nil"/>
              <w:bottom w:val="single" w:sz="4" w:space="0" w:color="auto"/>
              <w:right w:val="single" w:sz="4" w:space="0" w:color="auto"/>
            </w:tcBorders>
            <w:shd w:val="clear" w:color="auto" w:fill="auto"/>
            <w:vAlign w:val="center"/>
            <w:hideMark/>
          </w:tcPr>
          <w:p w14:paraId="594A23F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26 </w:t>
            </w:r>
          </w:p>
        </w:tc>
        <w:tc>
          <w:tcPr>
            <w:tcW w:w="880" w:type="dxa"/>
            <w:tcBorders>
              <w:top w:val="nil"/>
              <w:left w:val="nil"/>
              <w:bottom w:val="single" w:sz="4" w:space="0" w:color="auto"/>
              <w:right w:val="single" w:sz="4" w:space="0" w:color="auto"/>
            </w:tcBorders>
            <w:shd w:val="clear" w:color="auto" w:fill="auto"/>
            <w:vAlign w:val="center"/>
            <w:hideMark/>
          </w:tcPr>
          <w:p w14:paraId="0C52AEA6"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2,831 </w:t>
            </w:r>
          </w:p>
        </w:tc>
        <w:tc>
          <w:tcPr>
            <w:tcW w:w="1303" w:type="dxa"/>
            <w:gridSpan w:val="2"/>
            <w:tcBorders>
              <w:top w:val="nil"/>
              <w:left w:val="nil"/>
              <w:bottom w:val="single" w:sz="4" w:space="0" w:color="auto"/>
              <w:right w:val="single" w:sz="4" w:space="0" w:color="auto"/>
            </w:tcBorders>
            <w:shd w:val="clear" w:color="auto" w:fill="auto"/>
            <w:vAlign w:val="center"/>
            <w:hideMark/>
          </w:tcPr>
          <w:p w14:paraId="5B02C9B4"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40,191 </w:t>
            </w:r>
          </w:p>
        </w:tc>
      </w:tr>
      <w:tr w:rsidR="00203FDC" w:rsidRPr="00203FDC" w14:paraId="39477D98" w14:textId="77777777" w:rsidTr="008D55A0">
        <w:trPr>
          <w:gridBefore w:val="1"/>
          <w:wBefore w:w="10" w:type="dxa"/>
          <w:trHeight w:val="210"/>
        </w:trPr>
        <w:tc>
          <w:tcPr>
            <w:tcW w:w="901" w:type="dxa"/>
            <w:vMerge w:val="restart"/>
            <w:tcBorders>
              <w:top w:val="nil"/>
              <w:left w:val="single" w:sz="8" w:space="0" w:color="auto"/>
              <w:bottom w:val="single" w:sz="8" w:space="0" w:color="000000"/>
              <w:right w:val="single" w:sz="4" w:space="0" w:color="auto"/>
            </w:tcBorders>
            <w:shd w:val="clear" w:color="auto" w:fill="auto"/>
            <w:vAlign w:val="center"/>
            <w:hideMark/>
          </w:tcPr>
          <w:p w14:paraId="5FEF3903"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First quarter 2025</w:t>
            </w:r>
          </w:p>
        </w:tc>
        <w:tc>
          <w:tcPr>
            <w:tcW w:w="3432" w:type="dxa"/>
            <w:tcBorders>
              <w:top w:val="nil"/>
              <w:left w:val="nil"/>
              <w:bottom w:val="single" w:sz="4" w:space="0" w:color="auto"/>
              <w:right w:val="single" w:sz="4" w:space="0" w:color="auto"/>
            </w:tcBorders>
            <w:shd w:val="clear" w:color="000000" w:fill="D9D9D9"/>
            <w:noWrap/>
            <w:vAlign w:val="bottom"/>
            <w:hideMark/>
          </w:tcPr>
          <w:p w14:paraId="776B1C4D"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Total</w:t>
            </w:r>
          </w:p>
        </w:tc>
        <w:tc>
          <w:tcPr>
            <w:tcW w:w="1167" w:type="dxa"/>
            <w:tcBorders>
              <w:top w:val="nil"/>
              <w:left w:val="nil"/>
              <w:bottom w:val="single" w:sz="4" w:space="0" w:color="auto"/>
              <w:right w:val="single" w:sz="4" w:space="0" w:color="auto"/>
            </w:tcBorders>
            <w:shd w:val="clear" w:color="000000" w:fill="D9D9D9"/>
            <w:vAlign w:val="center"/>
            <w:hideMark/>
          </w:tcPr>
          <w:p w14:paraId="6329AB9C"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192,050 </w:t>
            </w:r>
          </w:p>
        </w:tc>
        <w:tc>
          <w:tcPr>
            <w:tcW w:w="760" w:type="dxa"/>
            <w:tcBorders>
              <w:top w:val="nil"/>
              <w:left w:val="nil"/>
              <w:bottom w:val="single" w:sz="4" w:space="0" w:color="auto"/>
              <w:right w:val="single" w:sz="4" w:space="0" w:color="auto"/>
            </w:tcBorders>
            <w:shd w:val="clear" w:color="000000" w:fill="D9D9D9"/>
            <w:vAlign w:val="center"/>
            <w:hideMark/>
          </w:tcPr>
          <w:p w14:paraId="50A96067"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599,375 </w:t>
            </w:r>
          </w:p>
        </w:tc>
        <w:tc>
          <w:tcPr>
            <w:tcW w:w="956" w:type="dxa"/>
            <w:tcBorders>
              <w:top w:val="nil"/>
              <w:left w:val="nil"/>
              <w:bottom w:val="single" w:sz="4" w:space="0" w:color="auto"/>
              <w:right w:val="single" w:sz="4" w:space="0" w:color="auto"/>
            </w:tcBorders>
            <w:shd w:val="clear" w:color="000000" w:fill="D9D9D9"/>
            <w:vAlign w:val="center"/>
            <w:hideMark/>
          </w:tcPr>
          <w:p w14:paraId="0CE43C5E"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1,919 </w:t>
            </w:r>
          </w:p>
        </w:tc>
        <w:tc>
          <w:tcPr>
            <w:tcW w:w="880" w:type="dxa"/>
            <w:tcBorders>
              <w:top w:val="nil"/>
              <w:left w:val="nil"/>
              <w:bottom w:val="single" w:sz="4" w:space="0" w:color="auto"/>
              <w:right w:val="single" w:sz="4" w:space="0" w:color="auto"/>
            </w:tcBorders>
            <w:shd w:val="clear" w:color="000000" w:fill="D9D9D9"/>
            <w:vAlign w:val="center"/>
            <w:hideMark/>
          </w:tcPr>
          <w:p w14:paraId="2AEC99AC"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26,953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51D025D0"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820,297 </w:t>
            </w:r>
          </w:p>
        </w:tc>
      </w:tr>
      <w:tr w:rsidR="00203FDC" w:rsidRPr="00203FDC" w14:paraId="08D4A000"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06AA12AE"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000000" w:fill="D9D9D9"/>
            <w:noWrap/>
            <w:vAlign w:val="bottom"/>
            <w:hideMark/>
          </w:tcPr>
          <w:p w14:paraId="459B4440"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Daily average (61 days)</w:t>
            </w:r>
          </w:p>
        </w:tc>
        <w:tc>
          <w:tcPr>
            <w:tcW w:w="1167" w:type="dxa"/>
            <w:tcBorders>
              <w:top w:val="nil"/>
              <w:left w:val="nil"/>
              <w:bottom w:val="single" w:sz="4" w:space="0" w:color="auto"/>
              <w:right w:val="single" w:sz="4" w:space="0" w:color="auto"/>
            </w:tcBorders>
            <w:shd w:val="clear" w:color="000000" w:fill="D9D9D9"/>
            <w:vAlign w:val="center"/>
            <w:hideMark/>
          </w:tcPr>
          <w:p w14:paraId="70961713"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3,098 </w:t>
            </w:r>
          </w:p>
        </w:tc>
        <w:tc>
          <w:tcPr>
            <w:tcW w:w="760" w:type="dxa"/>
            <w:tcBorders>
              <w:top w:val="nil"/>
              <w:left w:val="nil"/>
              <w:bottom w:val="single" w:sz="4" w:space="0" w:color="auto"/>
              <w:right w:val="single" w:sz="4" w:space="0" w:color="auto"/>
            </w:tcBorders>
            <w:shd w:val="clear" w:color="000000" w:fill="D9D9D9"/>
            <w:vAlign w:val="center"/>
            <w:hideMark/>
          </w:tcPr>
          <w:p w14:paraId="49002D36"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9,667 </w:t>
            </w:r>
          </w:p>
        </w:tc>
        <w:tc>
          <w:tcPr>
            <w:tcW w:w="956" w:type="dxa"/>
            <w:tcBorders>
              <w:top w:val="nil"/>
              <w:left w:val="nil"/>
              <w:bottom w:val="single" w:sz="4" w:space="0" w:color="auto"/>
              <w:right w:val="single" w:sz="4" w:space="0" w:color="auto"/>
            </w:tcBorders>
            <w:shd w:val="clear" w:color="000000" w:fill="D9D9D9"/>
            <w:vAlign w:val="center"/>
            <w:hideMark/>
          </w:tcPr>
          <w:p w14:paraId="26D34D75"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31 </w:t>
            </w:r>
          </w:p>
        </w:tc>
        <w:tc>
          <w:tcPr>
            <w:tcW w:w="880" w:type="dxa"/>
            <w:tcBorders>
              <w:top w:val="nil"/>
              <w:left w:val="nil"/>
              <w:bottom w:val="single" w:sz="4" w:space="0" w:color="auto"/>
              <w:right w:val="single" w:sz="4" w:space="0" w:color="auto"/>
            </w:tcBorders>
            <w:shd w:val="clear" w:color="000000" w:fill="D9D9D9"/>
            <w:vAlign w:val="center"/>
            <w:hideMark/>
          </w:tcPr>
          <w:p w14:paraId="134F3701"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435 </w:t>
            </w:r>
          </w:p>
        </w:tc>
        <w:tc>
          <w:tcPr>
            <w:tcW w:w="1303" w:type="dxa"/>
            <w:gridSpan w:val="2"/>
            <w:tcBorders>
              <w:top w:val="nil"/>
              <w:left w:val="nil"/>
              <w:bottom w:val="single" w:sz="4" w:space="0" w:color="auto"/>
              <w:right w:val="single" w:sz="4" w:space="0" w:color="auto"/>
            </w:tcBorders>
            <w:shd w:val="clear" w:color="000000" w:fill="D9D9D9"/>
            <w:vAlign w:val="center"/>
            <w:hideMark/>
          </w:tcPr>
          <w:p w14:paraId="60FDEF5D" w14:textId="77777777" w:rsidR="00203FDC" w:rsidRPr="00203FDC" w:rsidRDefault="00203FDC" w:rsidP="00203FDC">
            <w:pPr>
              <w:bidi w:val="0"/>
              <w:jc w:val="center"/>
              <w:rPr>
                <w:rFonts w:ascii="David" w:hAnsi="David" w:cs="David"/>
                <w:b/>
                <w:bCs/>
                <w:sz w:val="18"/>
                <w:szCs w:val="18"/>
                <w:lang w:eastAsia="he-IL"/>
              </w:rPr>
            </w:pPr>
            <w:r w:rsidRPr="00203FDC">
              <w:rPr>
                <w:rFonts w:ascii="David" w:hAnsi="David" w:cs="David"/>
                <w:b/>
                <w:bCs/>
                <w:sz w:val="18"/>
                <w:szCs w:val="18"/>
                <w:lang w:eastAsia="he-IL"/>
              </w:rPr>
              <w:t xml:space="preserve">13,231 </w:t>
            </w:r>
          </w:p>
        </w:tc>
      </w:tr>
      <w:tr w:rsidR="00203FDC" w:rsidRPr="00203FDC" w14:paraId="6A25F3B6"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600AD1FA"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1A264395"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Nonresidents</w:t>
            </w:r>
          </w:p>
        </w:tc>
        <w:tc>
          <w:tcPr>
            <w:tcW w:w="1167" w:type="dxa"/>
            <w:tcBorders>
              <w:top w:val="nil"/>
              <w:left w:val="nil"/>
              <w:bottom w:val="single" w:sz="4" w:space="0" w:color="auto"/>
              <w:right w:val="single" w:sz="4" w:space="0" w:color="auto"/>
            </w:tcBorders>
            <w:shd w:val="clear" w:color="auto" w:fill="auto"/>
            <w:vAlign w:val="center"/>
            <w:hideMark/>
          </w:tcPr>
          <w:p w14:paraId="48FB63D9"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62,964 </w:t>
            </w:r>
          </w:p>
        </w:tc>
        <w:tc>
          <w:tcPr>
            <w:tcW w:w="760" w:type="dxa"/>
            <w:tcBorders>
              <w:top w:val="nil"/>
              <w:left w:val="nil"/>
              <w:bottom w:val="single" w:sz="4" w:space="0" w:color="auto"/>
              <w:right w:val="single" w:sz="4" w:space="0" w:color="auto"/>
            </w:tcBorders>
            <w:shd w:val="clear" w:color="auto" w:fill="auto"/>
            <w:vAlign w:val="center"/>
            <w:hideMark/>
          </w:tcPr>
          <w:p w14:paraId="6F3268E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260,197 </w:t>
            </w:r>
          </w:p>
        </w:tc>
        <w:tc>
          <w:tcPr>
            <w:tcW w:w="956" w:type="dxa"/>
            <w:tcBorders>
              <w:top w:val="nil"/>
              <w:left w:val="nil"/>
              <w:bottom w:val="single" w:sz="4" w:space="0" w:color="auto"/>
              <w:right w:val="single" w:sz="4" w:space="0" w:color="auto"/>
            </w:tcBorders>
            <w:shd w:val="clear" w:color="auto" w:fill="auto"/>
            <w:vAlign w:val="center"/>
            <w:hideMark/>
          </w:tcPr>
          <w:p w14:paraId="7BF037EB"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764 </w:t>
            </w:r>
          </w:p>
        </w:tc>
        <w:tc>
          <w:tcPr>
            <w:tcW w:w="880" w:type="dxa"/>
            <w:tcBorders>
              <w:top w:val="nil"/>
              <w:left w:val="nil"/>
              <w:bottom w:val="single" w:sz="4" w:space="0" w:color="auto"/>
              <w:right w:val="single" w:sz="4" w:space="0" w:color="auto"/>
            </w:tcBorders>
            <w:shd w:val="clear" w:color="auto" w:fill="auto"/>
            <w:vAlign w:val="center"/>
            <w:hideMark/>
          </w:tcPr>
          <w:p w14:paraId="499E1AE5"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7,389 </w:t>
            </w:r>
          </w:p>
        </w:tc>
        <w:tc>
          <w:tcPr>
            <w:tcW w:w="1303" w:type="dxa"/>
            <w:gridSpan w:val="2"/>
            <w:tcBorders>
              <w:top w:val="nil"/>
              <w:left w:val="nil"/>
              <w:bottom w:val="single" w:sz="4" w:space="0" w:color="auto"/>
              <w:right w:val="single" w:sz="4" w:space="0" w:color="auto"/>
            </w:tcBorders>
            <w:shd w:val="clear" w:color="auto" w:fill="auto"/>
            <w:vAlign w:val="center"/>
            <w:hideMark/>
          </w:tcPr>
          <w:p w14:paraId="517AAC04"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331,314 </w:t>
            </w:r>
          </w:p>
        </w:tc>
      </w:tr>
      <w:tr w:rsidR="00203FDC" w:rsidRPr="00203FDC" w14:paraId="154980AB"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4D037A4A"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19773550"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sz w:val="18"/>
                <w:szCs w:val="18"/>
                <w:lang w:eastAsia="he-IL"/>
              </w:rPr>
              <w:t xml:space="preserve"> of which</w:t>
            </w:r>
            <w:r w:rsidRPr="00203FDC">
              <w:rPr>
                <w:rFonts w:ascii="David" w:hAnsi="David" w:cs="David"/>
                <w:b/>
                <w:bCs/>
                <w:sz w:val="18"/>
                <w:szCs w:val="18"/>
                <w:lang w:eastAsia="he-IL"/>
              </w:rPr>
              <w:t xml:space="preserve"> Foreign financial institutions</w:t>
            </w:r>
          </w:p>
        </w:tc>
        <w:tc>
          <w:tcPr>
            <w:tcW w:w="1167" w:type="dxa"/>
            <w:tcBorders>
              <w:top w:val="nil"/>
              <w:left w:val="nil"/>
              <w:bottom w:val="single" w:sz="4" w:space="0" w:color="auto"/>
              <w:right w:val="single" w:sz="4" w:space="0" w:color="auto"/>
            </w:tcBorders>
            <w:shd w:val="clear" w:color="auto" w:fill="auto"/>
            <w:vAlign w:val="center"/>
            <w:hideMark/>
          </w:tcPr>
          <w:p w14:paraId="0D44FC08"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62,394 </w:t>
            </w:r>
          </w:p>
        </w:tc>
        <w:tc>
          <w:tcPr>
            <w:tcW w:w="760" w:type="dxa"/>
            <w:tcBorders>
              <w:top w:val="nil"/>
              <w:left w:val="nil"/>
              <w:bottom w:val="single" w:sz="4" w:space="0" w:color="auto"/>
              <w:right w:val="single" w:sz="4" w:space="0" w:color="auto"/>
            </w:tcBorders>
            <w:shd w:val="clear" w:color="auto" w:fill="auto"/>
            <w:vAlign w:val="center"/>
            <w:hideMark/>
          </w:tcPr>
          <w:p w14:paraId="2A857AB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260,196 </w:t>
            </w:r>
          </w:p>
        </w:tc>
        <w:tc>
          <w:tcPr>
            <w:tcW w:w="956" w:type="dxa"/>
            <w:tcBorders>
              <w:top w:val="nil"/>
              <w:left w:val="nil"/>
              <w:bottom w:val="single" w:sz="4" w:space="0" w:color="auto"/>
              <w:right w:val="single" w:sz="4" w:space="0" w:color="auto"/>
            </w:tcBorders>
            <w:shd w:val="clear" w:color="auto" w:fill="auto"/>
            <w:vAlign w:val="center"/>
            <w:hideMark/>
          </w:tcPr>
          <w:p w14:paraId="5DC0FCEB"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764 </w:t>
            </w:r>
          </w:p>
        </w:tc>
        <w:tc>
          <w:tcPr>
            <w:tcW w:w="880" w:type="dxa"/>
            <w:tcBorders>
              <w:top w:val="nil"/>
              <w:left w:val="nil"/>
              <w:bottom w:val="single" w:sz="4" w:space="0" w:color="auto"/>
              <w:right w:val="single" w:sz="4" w:space="0" w:color="auto"/>
            </w:tcBorders>
            <w:shd w:val="clear" w:color="auto" w:fill="auto"/>
            <w:vAlign w:val="center"/>
            <w:hideMark/>
          </w:tcPr>
          <w:p w14:paraId="4FB39FAF"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7,389 </w:t>
            </w:r>
          </w:p>
        </w:tc>
        <w:tc>
          <w:tcPr>
            <w:tcW w:w="1303" w:type="dxa"/>
            <w:gridSpan w:val="2"/>
            <w:tcBorders>
              <w:top w:val="nil"/>
              <w:left w:val="nil"/>
              <w:bottom w:val="single" w:sz="4" w:space="0" w:color="auto"/>
              <w:right w:val="single" w:sz="4" w:space="0" w:color="auto"/>
            </w:tcBorders>
            <w:shd w:val="clear" w:color="auto" w:fill="auto"/>
            <w:vAlign w:val="center"/>
            <w:hideMark/>
          </w:tcPr>
          <w:p w14:paraId="3901CE06"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330,743 </w:t>
            </w:r>
          </w:p>
        </w:tc>
      </w:tr>
      <w:tr w:rsidR="00203FDC" w:rsidRPr="00203FDC" w14:paraId="00168BA3"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3FD9D459"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22B424F6"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Residents</w:t>
            </w:r>
          </w:p>
        </w:tc>
        <w:tc>
          <w:tcPr>
            <w:tcW w:w="1167" w:type="dxa"/>
            <w:tcBorders>
              <w:top w:val="nil"/>
              <w:left w:val="nil"/>
              <w:bottom w:val="single" w:sz="4" w:space="0" w:color="auto"/>
              <w:right w:val="single" w:sz="4" w:space="0" w:color="auto"/>
            </w:tcBorders>
            <w:shd w:val="clear" w:color="auto" w:fill="auto"/>
            <w:vAlign w:val="center"/>
            <w:hideMark/>
          </w:tcPr>
          <w:p w14:paraId="73FAC7E8"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129,086 </w:t>
            </w:r>
          </w:p>
        </w:tc>
        <w:tc>
          <w:tcPr>
            <w:tcW w:w="760" w:type="dxa"/>
            <w:tcBorders>
              <w:top w:val="nil"/>
              <w:left w:val="nil"/>
              <w:bottom w:val="single" w:sz="4" w:space="0" w:color="auto"/>
              <w:right w:val="single" w:sz="4" w:space="0" w:color="auto"/>
            </w:tcBorders>
            <w:shd w:val="clear" w:color="auto" w:fill="auto"/>
            <w:vAlign w:val="center"/>
            <w:hideMark/>
          </w:tcPr>
          <w:p w14:paraId="76D4079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339,178 </w:t>
            </w:r>
          </w:p>
        </w:tc>
        <w:tc>
          <w:tcPr>
            <w:tcW w:w="956" w:type="dxa"/>
            <w:tcBorders>
              <w:top w:val="nil"/>
              <w:left w:val="nil"/>
              <w:bottom w:val="single" w:sz="4" w:space="0" w:color="auto"/>
              <w:right w:val="single" w:sz="4" w:space="0" w:color="auto"/>
            </w:tcBorders>
            <w:shd w:val="clear" w:color="auto" w:fill="auto"/>
            <w:vAlign w:val="center"/>
            <w:hideMark/>
          </w:tcPr>
          <w:p w14:paraId="3F35077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1,155 </w:t>
            </w:r>
          </w:p>
        </w:tc>
        <w:tc>
          <w:tcPr>
            <w:tcW w:w="880" w:type="dxa"/>
            <w:tcBorders>
              <w:top w:val="nil"/>
              <w:left w:val="nil"/>
              <w:bottom w:val="single" w:sz="4" w:space="0" w:color="auto"/>
              <w:right w:val="single" w:sz="4" w:space="0" w:color="auto"/>
            </w:tcBorders>
            <w:shd w:val="clear" w:color="auto" w:fill="auto"/>
            <w:vAlign w:val="center"/>
            <w:hideMark/>
          </w:tcPr>
          <w:p w14:paraId="706B928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19,564 </w:t>
            </w:r>
          </w:p>
        </w:tc>
        <w:tc>
          <w:tcPr>
            <w:tcW w:w="1303" w:type="dxa"/>
            <w:gridSpan w:val="2"/>
            <w:tcBorders>
              <w:top w:val="nil"/>
              <w:left w:val="nil"/>
              <w:bottom w:val="single" w:sz="4" w:space="0" w:color="auto"/>
              <w:right w:val="single" w:sz="4" w:space="0" w:color="auto"/>
            </w:tcBorders>
            <w:shd w:val="clear" w:color="auto" w:fill="auto"/>
            <w:vAlign w:val="center"/>
            <w:hideMark/>
          </w:tcPr>
          <w:p w14:paraId="69E13762"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488,983 </w:t>
            </w:r>
          </w:p>
        </w:tc>
      </w:tr>
      <w:tr w:rsidR="00203FDC" w:rsidRPr="00203FDC" w14:paraId="1A2C67F7"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7BF7A84E"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6700AC19"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sz w:val="18"/>
                <w:szCs w:val="18"/>
                <w:lang w:eastAsia="he-IL"/>
              </w:rPr>
              <w:t xml:space="preserve"> of which</w:t>
            </w:r>
            <w:r w:rsidRPr="00203FDC">
              <w:rPr>
                <w:rFonts w:ascii="David" w:hAnsi="David" w:cs="David"/>
                <w:b/>
                <w:bCs/>
                <w:sz w:val="18"/>
                <w:szCs w:val="18"/>
                <w:lang w:eastAsia="he-IL"/>
              </w:rPr>
              <w:t xml:space="preserve"> Real sector</w:t>
            </w:r>
          </w:p>
        </w:tc>
        <w:tc>
          <w:tcPr>
            <w:tcW w:w="1167" w:type="dxa"/>
            <w:tcBorders>
              <w:top w:val="nil"/>
              <w:left w:val="nil"/>
              <w:bottom w:val="single" w:sz="4" w:space="0" w:color="auto"/>
              <w:right w:val="single" w:sz="4" w:space="0" w:color="auto"/>
            </w:tcBorders>
            <w:shd w:val="clear" w:color="auto" w:fill="auto"/>
            <w:vAlign w:val="center"/>
            <w:hideMark/>
          </w:tcPr>
          <w:p w14:paraId="1FD73AF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41,844 </w:t>
            </w:r>
          </w:p>
        </w:tc>
        <w:tc>
          <w:tcPr>
            <w:tcW w:w="760" w:type="dxa"/>
            <w:tcBorders>
              <w:top w:val="nil"/>
              <w:left w:val="nil"/>
              <w:bottom w:val="single" w:sz="4" w:space="0" w:color="auto"/>
              <w:right w:val="single" w:sz="4" w:space="0" w:color="auto"/>
            </w:tcBorders>
            <w:shd w:val="clear" w:color="auto" w:fill="auto"/>
            <w:vAlign w:val="center"/>
            <w:hideMark/>
          </w:tcPr>
          <w:p w14:paraId="1EFEB1B6"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24,572 </w:t>
            </w:r>
          </w:p>
        </w:tc>
        <w:tc>
          <w:tcPr>
            <w:tcW w:w="956" w:type="dxa"/>
            <w:tcBorders>
              <w:top w:val="nil"/>
              <w:left w:val="nil"/>
              <w:bottom w:val="single" w:sz="4" w:space="0" w:color="auto"/>
              <w:right w:val="single" w:sz="4" w:space="0" w:color="auto"/>
            </w:tcBorders>
            <w:shd w:val="clear" w:color="auto" w:fill="auto"/>
            <w:vAlign w:val="center"/>
            <w:hideMark/>
          </w:tcPr>
          <w:p w14:paraId="2BF456A1"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361 </w:t>
            </w:r>
          </w:p>
        </w:tc>
        <w:tc>
          <w:tcPr>
            <w:tcW w:w="880" w:type="dxa"/>
            <w:tcBorders>
              <w:top w:val="nil"/>
              <w:left w:val="nil"/>
              <w:bottom w:val="single" w:sz="4" w:space="0" w:color="auto"/>
              <w:right w:val="single" w:sz="4" w:space="0" w:color="auto"/>
            </w:tcBorders>
            <w:shd w:val="clear" w:color="auto" w:fill="auto"/>
            <w:vAlign w:val="center"/>
            <w:hideMark/>
          </w:tcPr>
          <w:p w14:paraId="57AC2B37"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8,139 </w:t>
            </w:r>
          </w:p>
        </w:tc>
        <w:tc>
          <w:tcPr>
            <w:tcW w:w="1303" w:type="dxa"/>
            <w:gridSpan w:val="2"/>
            <w:tcBorders>
              <w:top w:val="nil"/>
              <w:left w:val="nil"/>
              <w:bottom w:val="single" w:sz="4" w:space="0" w:color="auto"/>
              <w:right w:val="single" w:sz="4" w:space="0" w:color="auto"/>
            </w:tcBorders>
            <w:shd w:val="clear" w:color="auto" w:fill="auto"/>
            <w:vAlign w:val="center"/>
            <w:hideMark/>
          </w:tcPr>
          <w:p w14:paraId="0302B6D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74,916 </w:t>
            </w:r>
          </w:p>
        </w:tc>
      </w:tr>
      <w:tr w:rsidR="00203FDC" w:rsidRPr="00203FDC" w14:paraId="17699895"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349D21C3"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0B24F4B5"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Financial sector</w:t>
            </w:r>
          </w:p>
        </w:tc>
        <w:tc>
          <w:tcPr>
            <w:tcW w:w="1167" w:type="dxa"/>
            <w:tcBorders>
              <w:top w:val="nil"/>
              <w:left w:val="nil"/>
              <w:bottom w:val="single" w:sz="4" w:space="0" w:color="auto"/>
              <w:right w:val="single" w:sz="4" w:space="0" w:color="auto"/>
            </w:tcBorders>
            <w:shd w:val="clear" w:color="auto" w:fill="auto"/>
            <w:vAlign w:val="center"/>
            <w:hideMark/>
          </w:tcPr>
          <w:p w14:paraId="23CC8671"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39,185 </w:t>
            </w:r>
          </w:p>
        </w:tc>
        <w:tc>
          <w:tcPr>
            <w:tcW w:w="760" w:type="dxa"/>
            <w:tcBorders>
              <w:top w:val="nil"/>
              <w:left w:val="nil"/>
              <w:bottom w:val="single" w:sz="4" w:space="0" w:color="auto"/>
              <w:right w:val="single" w:sz="4" w:space="0" w:color="auto"/>
            </w:tcBorders>
            <w:shd w:val="clear" w:color="auto" w:fill="auto"/>
            <w:vAlign w:val="center"/>
            <w:hideMark/>
          </w:tcPr>
          <w:p w14:paraId="784E69D9"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163,589 </w:t>
            </w:r>
          </w:p>
        </w:tc>
        <w:tc>
          <w:tcPr>
            <w:tcW w:w="956" w:type="dxa"/>
            <w:tcBorders>
              <w:top w:val="nil"/>
              <w:left w:val="nil"/>
              <w:bottom w:val="single" w:sz="4" w:space="0" w:color="auto"/>
              <w:right w:val="single" w:sz="4" w:space="0" w:color="auto"/>
            </w:tcBorders>
            <w:shd w:val="clear" w:color="auto" w:fill="auto"/>
            <w:vAlign w:val="center"/>
            <w:hideMark/>
          </w:tcPr>
          <w:p w14:paraId="733FB100"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138 </w:t>
            </w:r>
          </w:p>
        </w:tc>
        <w:tc>
          <w:tcPr>
            <w:tcW w:w="880" w:type="dxa"/>
            <w:tcBorders>
              <w:top w:val="nil"/>
              <w:left w:val="nil"/>
              <w:bottom w:val="single" w:sz="4" w:space="0" w:color="auto"/>
              <w:right w:val="single" w:sz="4" w:space="0" w:color="auto"/>
            </w:tcBorders>
            <w:shd w:val="clear" w:color="auto" w:fill="auto"/>
            <w:vAlign w:val="center"/>
            <w:hideMark/>
          </w:tcPr>
          <w:p w14:paraId="6D7640E9"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1,342 </w:t>
            </w:r>
          </w:p>
        </w:tc>
        <w:tc>
          <w:tcPr>
            <w:tcW w:w="1303" w:type="dxa"/>
            <w:gridSpan w:val="2"/>
            <w:tcBorders>
              <w:top w:val="nil"/>
              <w:left w:val="nil"/>
              <w:bottom w:val="single" w:sz="4" w:space="0" w:color="auto"/>
              <w:right w:val="single" w:sz="4" w:space="0" w:color="auto"/>
            </w:tcBorders>
            <w:shd w:val="clear" w:color="auto" w:fill="auto"/>
            <w:vAlign w:val="center"/>
            <w:hideMark/>
          </w:tcPr>
          <w:p w14:paraId="6CA52AD8"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204,254 </w:t>
            </w:r>
          </w:p>
        </w:tc>
      </w:tr>
      <w:tr w:rsidR="00203FDC" w:rsidRPr="00203FDC" w14:paraId="7CDC9285"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490F4633"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6A04E399"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Institutions (incl. insurance companies)</w:t>
            </w:r>
          </w:p>
        </w:tc>
        <w:tc>
          <w:tcPr>
            <w:tcW w:w="1167" w:type="dxa"/>
            <w:tcBorders>
              <w:top w:val="nil"/>
              <w:left w:val="nil"/>
              <w:bottom w:val="single" w:sz="4" w:space="0" w:color="auto"/>
              <w:right w:val="single" w:sz="4" w:space="0" w:color="auto"/>
            </w:tcBorders>
            <w:shd w:val="clear" w:color="auto" w:fill="auto"/>
            <w:vAlign w:val="center"/>
            <w:hideMark/>
          </w:tcPr>
          <w:p w14:paraId="589C52F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26,079 </w:t>
            </w:r>
          </w:p>
        </w:tc>
        <w:tc>
          <w:tcPr>
            <w:tcW w:w="760" w:type="dxa"/>
            <w:tcBorders>
              <w:top w:val="nil"/>
              <w:left w:val="nil"/>
              <w:bottom w:val="single" w:sz="4" w:space="0" w:color="auto"/>
              <w:right w:val="single" w:sz="4" w:space="0" w:color="auto"/>
            </w:tcBorders>
            <w:shd w:val="clear" w:color="auto" w:fill="auto"/>
            <w:vAlign w:val="center"/>
            <w:hideMark/>
          </w:tcPr>
          <w:p w14:paraId="0027237A"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115,262 </w:t>
            </w:r>
          </w:p>
        </w:tc>
        <w:tc>
          <w:tcPr>
            <w:tcW w:w="956" w:type="dxa"/>
            <w:tcBorders>
              <w:top w:val="nil"/>
              <w:left w:val="nil"/>
              <w:bottom w:val="single" w:sz="4" w:space="0" w:color="auto"/>
              <w:right w:val="single" w:sz="4" w:space="0" w:color="auto"/>
            </w:tcBorders>
            <w:shd w:val="clear" w:color="auto" w:fill="auto"/>
            <w:vAlign w:val="center"/>
            <w:hideMark/>
          </w:tcPr>
          <w:p w14:paraId="7888A1B6"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52 </w:t>
            </w:r>
          </w:p>
        </w:tc>
        <w:tc>
          <w:tcPr>
            <w:tcW w:w="880" w:type="dxa"/>
            <w:tcBorders>
              <w:top w:val="nil"/>
              <w:left w:val="nil"/>
              <w:bottom w:val="single" w:sz="4" w:space="0" w:color="auto"/>
              <w:right w:val="single" w:sz="4" w:space="0" w:color="auto"/>
            </w:tcBorders>
            <w:shd w:val="clear" w:color="auto" w:fill="auto"/>
            <w:vAlign w:val="center"/>
            <w:hideMark/>
          </w:tcPr>
          <w:p w14:paraId="2CB0AB45"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7,195 </w:t>
            </w:r>
          </w:p>
        </w:tc>
        <w:tc>
          <w:tcPr>
            <w:tcW w:w="1303" w:type="dxa"/>
            <w:gridSpan w:val="2"/>
            <w:tcBorders>
              <w:top w:val="nil"/>
              <w:left w:val="nil"/>
              <w:bottom w:val="single" w:sz="4" w:space="0" w:color="auto"/>
              <w:right w:val="single" w:sz="4" w:space="0" w:color="auto"/>
            </w:tcBorders>
            <w:shd w:val="clear" w:color="auto" w:fill="auto"/>
            <w:vAlign w:val="center"/>
            <w:hideMark/>
          </w:tcPr>
          <w:p w14:paraId="10A74A5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148,587 </w:t>
            </w:r>
          </w:p>
        </w:tc>
      </w:tr>
      <w:tr w:rsidR="00203FDC" w:rsidRPr="00203FDC" w14:paraId="49C5BDEE"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34EDF61F"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2807DC34"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Individuals</w:t>
            </w:r>
          </w:p>
        </w:tc>
        <w:tc>
          <w:tcPr>
            <w:tcW w:w="1167" w:type="dxa"/>
            <w:tcBorders>
              <w:top w:val="nil"/>
              <w:left w:val="nil"/>
              <w:bottom w:val="single" w:sz="4" w:space="0" w:color="auto"/>
              <w:right w:val="single" w:sz="4" w:space="0" w:color="auto"/>
            </w:tcBorders>
            <w:shd w:val="clear" w:color="auto" w:fill="auto"/>
            <w:vAlign w:val="center"/>
            <w:hideMark/>
          </w:tcPr>
          <w:p w14:paraId="509781AB"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5,077 </w:t>
            </w:r>
          </w:p>
        </w:tc>
        <w:tc>
          <w:tcPr>
            <w:tcW w:w="760" w:type="dxa"/>
            <w:tcBorders>
              <w:top w:val="nil"/>
              <w:left w:val="nil"/>
              <w:bottom w:val="single" w:sz="4" w:space="0" w:color="auto"/>
              <w:right w:val="single" w:sz="4" w:space="0" w:color="auto"/>
            </w:tcBorders>
            <w:shd w:val="clear" w:color="auto" w:fill="auto"/>
            <w:vAlign w:val="center"/>
            <w:hideMark/>
          </w:tcPr>
          <w:p w14:paraId="5F566199"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221 </w:t>
            </w:r>
          </w:p>
        </w:tc>
        <w:tc>
          <w:tcPr>
            <w:tcW w:w="956" w:type="dxa"/>
            <w:tcBorders>
              <w:top w:val="nil"/>
              <w:left w:val="nil"/>
              <w:bottom w:val="single" w:sz="4" w:space="0" w:color="auto"/>
              <w:right w:val="single" w:sz="4" w:space="0" w:color="auto"/>
            </w:tcBorders>
            <w:shd w:val="clear" w:color="auto" w:fill="auto"/>
            <w:vAlign w:val="center"/>
            <w:hideMark/>
          </w:tcPr>
          <w:p w14:paraId="0FEB1AAE"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496B2E7F"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167 </w:t>
            </w:r>
          </w:p>
        </w:tc>
        <w:tc>
          <w:tcPr>
            <w:tcW w:w="1303" w:type="dxa"/>
            <w:gridSpan w:val="2"/>
            <w:tcBorders>
              <w:top w:val="nil"/>
              <w:left w:val="nil"/>
              <w:bottom w:val="single" w:sz="4" w:space="0" w:color="auto"/>
              <w:right w:val="single" w:sz="4" w:space="0" w:color="auto"/>
            </w:tcBorders>
            <w:shd w:val="clear" w:color="auto" w:fill="auto"/>
            <w:vAlign w:val="center"/>
            <w:hideMark/>
          </w:tcPr>
          <w:p w14:paraId="2FE39B3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5,465 </w:t>
            </w:r>
          </w:p>
        </w:tc>
      </w:tr>
      <w:tr w:rsidR="00203FDC" w:rsidRPr="00203FDC" w14:paraId="65A55230"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42143B76"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4" w:space="0" w:color="auto"/>
              <w:right w:val="single" w:sz="4" w:space="0" w:color="auto"/>
            </w:tcBorders>
            <w:shd w:val="clear" w:color="auto" w:fill="auto"/>
            <w:noWrap/>
            <w:vAlign w:val="bottom"/>
            <w:hideMark/>
          </w:tcPr>
          <w:p w14:paraId="1D39FC34"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Other</w:t>
            </w:r>
            <w:r w:rsidRPr="00203FDC">
              <w:rPr>
                <w:rFonts w:ascii="David" w:hAnsi="David" w:cs="David"/>
                <w:b/>
                <w:bCs/>
                <w:sz w:val="18"/>
                <w:szCs w:val="18"/>
                <w:vertAlign w:val="superscript"/>
                <w:lang w:eastAsia="he-IL"/>
              </w:rPr>
              <w:t>4</w:t>
            </w:r>
          </w:p>
        </w:tc>
        <w:tc>
          <w:tcPr>
            <w:tcW w:w="1167" w:type="dxa"/>
            <w:tcBorders>
              <w:top w:val="nil"/>
              <w:left w:val="nil"/>
              <w:bottom w:val="single" w:sz="4" w:space="0" w:color="auto"/>
              <w:right w:val="single" w:sz="4" w:space="0" w:color="auto"/>
            </w:tcBorders>
            <w:shd w:val="clear" w:color="auto" w:fill="auto"/>
            <w:vAlign w:val="center"/>
            <w:hideMark/>
          </w:tcPr>
          <w:p w14:paraId="548D24AA"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570 </w:t>
            </w:r>
          </w:p>
        </w:tc>
        <w:tc>
          <w:tcPr>
            <w:tcW w:w="760" w:type="dxa"/>
            <w:tcBorders>
              <w:top w:val="nil"/>
              <w:left w:val="nil"/>
              <w:bottom w:val="single" w:sz="4" w:space="0" w:color="auto"/>
              <w:right w:val="single" w:sz="4" w:space="0" w:color="auto"/>
            </w:tcBorders>
            <w:shd w:val="clear" w:color="auto" w:fill="auto"/>
            <w:vAlign w:val="center"/>
            <w:hideMark/>
          </w:tcPr>
          <w:p w14:paraId="45C47C6D"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 </w:t>
            </w:r>
          </w:p>
        </w:tc>
        <w:tc>
          <w:tcPr>
            <w:tcW w:w="956" w:type="dxa"/>
            <w:tcBorders>
              <w:top w:val="nil"/>
              <w:left w:val="nil"/>
              <w:bottom w:val="single" w:sz="4" w:space="0" w:color="auto"/>
              <w:right w:val="single" w:sz="4" w:space="0" w:color="auto"/>
            </w:tcBorders>
            <w:shd w:val="clear" w:color="auto" w:fill="auto"/>
            <w:vAlign w:val="center"/>
            <w:hideMark/>
          </w:tcPr>
          <w:p w14:paraId="1DE6464E"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0 </w:t>
            </w:r>
          </w:p>
        </w:tc>
        <w:tc>
          <w:tcPr>
            <w:tcW w:w="880" w:type="dxa"/>
            <w:tcBorders>
              <w:top w:val="nil"/>
              <w:left w:val="nil"/>
              <w:bottom w:val="single" w:sz="4" w:space="0" w:color="auto"/>
              <w:right w:val="single" w:sz="4" w:space="0" w:color="auto"/>
            </w:tcBorders>
            <w:shd w:val="clear" w:color="auto" w:fill="auto"/>
            <w:vAlign w:val="center"/>
            <w:hideMark/>
          </w:tcPr>
          <w:p w14:paraId="2623D69C"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0 </w:t>
            </w:r>
          </w:p>
        </w:tc>
        <w:tc>
          <w:tcPr>
            <w:tcW w:w="1303" w:type="dxa"/>
            <w:gridSpan w:val="2"/>
            <w:tcBorders>
              <w:top w:val="nil"/>
              <w:left w:val="nil"/>
              <w:bottom w:val="single" w:sz="4" w:space="0" w:color="auto"/>
              <w:right w:val="single" w:sz="4" w:space="0" w:color="auto"/>
            </w:tcBorders>
            <w:shd w:val="clear" w:color="auto" w:fill="auto"/>
            <w:vAlign w:val="center"/>
            <w:hideMark/>
          </w:tcPr>
          <w:p w14:paraId="47ECE1F5"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571 </w:t>
            </w:r>
          </w:p>
        </w:tc>
      </w:tr>
      <w:tr w:rsidR="00203FDC" w:rsidRPr="00203FDC" w14:paraId="2261087C" w14:textId="77777777" w:rsidTr="008D55A0">
        <w:trPr>
          <w:gridBefore w:val="1"/>
          <w:wBefore w:w="10" w:type="dxa"/>
          <w:trHeight w:val="210"/>
        </w:trPr>
        <w:tc>
          <w:tcPr>
            <w:tcW w:w="901" w:type="dxa"/>
            <w:vMerge/>
            <w:tcBorders>
              <w:top w:val="nil"/>
              <w:left w:val="single" w:sz="8" w:space="0" w:color="auto"/>
              <w:bottom w:val="single" w:sz="8" w:space="0" w:color="000000"/>
              <w:right w:val="single" w:sz="4" w:space="0" w:color="auto"/>
            </w:tcBorders>
            <w:vAlign w:val="center"/>
            <w:hideMark/>
          </w:tcPr>
          <w:p w14:paraId="124EE1A5" w14:textId="77777777" w:rsidR="00203FDC" w:rsidRPr="00203FDC" w:rsidRDefault="00203FDC" w:rsidP="00203FDC">
            <w:pPr>
              <w:bidi w:val="0"/>
              <w:rPr>
                <w:rFonts w:ascii="David" w:hAnsi="David" w:cs="David"/>
                <w:b/>
                <w:bCs/>
                <w:sz w:val="18"/>
                <w:szCs w:val="18"/>
                <w:lang w:eastAsia="he-IL"/>
              </w:rPr>
            </w:pPr>
          </w:p>
        </w:tc>
        <w:tc>
          <w:tcPr>
            <w:tcW w:w="3432" w:type="dxa"/>
            <w:tcBorders>
              <w:top w:val="nil"/>
              <w:left w:val="nil"/>
              <w:bottom w:val="single" w:sz="8" w:space="0" w:color="auto"/>
              <w:right w:val="single" w:sz="4" w:space="0" w:color="auto"/>
            </w:tcBorders>
            <w:shd w:val="clear" w:color="auto" w:fill="auto"/>
            <w:noWrap/>
            <w:vAlign w:val="bottom"/>
            <w:hideMark/>
          </w:tcPr>
          <w:p w14:paraId="7733211F" w14:textId="77777777" w:rsidR="00203FDC" w:rsidRPr="00203FDC" w:rsidRDefault="00203FDC" w:rsidP="00203FDC">
            <w:pPr>
              <w:bidi w:val="0"/>
              <w:rPr>
                <w:rFonts w:ascii="David" w:hAnsi="David" w:cs="David"/>
                <w:b/>
                <w:bCs/>
                <w:sz w:val="18"/>
                <w:szCs w:val="18"/>
                <w:lang w:eastAsia="he-IL"/>
              </w:rPr>
            </w:pPr>
            <w:r w:rsidRPr="00203FDC">
              <w:rPr>
                <w:rFonts w:ascii="David" w:hAnsi="David" w:cs="David"/>
                <w:b/>
                <w:bCs/>
                <w:sz w:val="18"/>
                <w:szCs w:val="18"/>
                <w:lang w:eastAsia="he-IL"/>
              </w:rPr>
              <w:t xml:space="preserve">                Domestic banks</w:t>
            </w:r>
            <w:r w:rsidRPr="00203FDC">
              <w:rPr>
                <w:rFonts w:ascii="David" w:hAnsi="David" w:cs="David"/>
                <w:b/>
                <w:bCs/>
                <w:sz w:val="18"/>
                <w:szCs w:val="18"/>
                <w:vertAlign w:val="superscript"/>
                <w:lang w:eastAsia="he-IL"/>
              </w:rPr>
              <w:t>5</w:t>
            </w:r>
          </w:p>
        </w:tc>
        <w:tc>
          <w:tcPr>
            <w:tcW w:w="1167" w:type="dxa"/>
            <w:tcBorders>
              <w:top w:val="nil"/>
              <w:left w:val="nil"/>
              <w:bottom w:val="single" w:sz="4" w:space="0" w:color="auto"/>
              <w:right w:val="single" w:sz="4" w:space="0" w:color="auto"/>
            </w:tcBorders>
            <w:shd w:val="clear" w:color="auto" w:fill="auto"/>
            <w:vAlign w:val="center"/>
            <w:hideMark/>
          </w:tcPr>
          <w:p w14:paraId="7F8AAC9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8,079 </w:t>
            </w:r>
          </w:p>
        </w:tc>
        <w:tc>
          <w:tcPr>
            <w:tcW w:w="760" w:type="dxa"/>
            <w:tcBorders>
              <w:top w:val="nil"/>
              <w:left w:val="nil"/>
              <w:bottom w:val="single" w:sz="4" w:space="0" w:color="auto"/>
              <w:right w:val="single" w:sz="4" w:space="0" w:color="auto"/>
            </w:tcBorders>
            <w:shd w:val="clear" w:color="auto" w:fill="auto"/>
            <w:vAlign w:val="center"/>
            <w:hideMark/>
          </w:tcPr>
          <w:p w14:paraId="060B8F99"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21,270 </w:t>
            </w:r>
          </w:p>
        </w:tc>
        <w:tc>
          <w:tcPr>
            <w:tcW w:w="956" w:type="dxa"/>
            <w:tcBorders>
              <w:top w:val="nil"/>
              <w:left w:val="nil"/>
              <w:bottom w:val="single" w:sz="4" w:space="0" w:color="auto"/>
              <w:right w:val="single" w:sz="4" w:space="0" w:color="auto"/>
            </w:tcBorders>
            <w:shd w:val="clear" w:color="auto" w:fill="auto"/>
            <w:vAlign w:val="center"/>
            <w:hideMark/>
          </w:tcPr>
          <w:p w14:paraId="04908E5E"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207 </w:t>
            </w:r>
          </w:p>
        </w:tc>
        <w:tc>
          <w:tcPr>
            <w:tcW w:w="880" w:type="dxa"/>
            <w:tcBorders>
              <w:top w:val="nil"/>
              <w:left w:val="nil"/>
              <w:bottom w:val="single" w:sz="4" w:space="0" w:color="auto"/>
              <w:right w:val="single" w:sz="4" w:space="0" w:color="auto"/>
            </w:tcBorders>
            <w:shd w:val="clear" w:color="auto" w:fill="auto"/>
            <w:vAlign w:val="center"/>
            <w:hideMark/>
          </w:tcPr>
          <w:p w14:paraId="38B25EF3"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1,827 </w:t>
            </w:r>
          </w:p>
        </w:tc>
        <w:tc>
          <w:tcPr>
            <w:tcW w:w="1303" w:type="dxa"/>
            <w:gridSpan w:val="2"/>
            <w:tcBorders>
              <w:top w:val="nil"/>
              <w:left w:val="nil"/>
              <w:bottom w:val="single" w:sz="4" w:space="0" w:color="auto"/>
              <w:right w:val="single" w:sz="4" w:space="0" w:color="auto"/>
            </w:tcBorders>
            <w:shd w:val="clear" w:color="auto" w:fill="auto"/>
            <w:vAlign w:val="center"/>
            <w:hideMark/>
          </w:tcPr>
          <w:p w14:paraId="2DF16FF6" w14:textId="77777777" w:rsidR="00203FDC" w:rsidRPr="00203FDC" w:rsidRDefault="00203FDC" w:rsidP="00203FDC">
            <w:pPr>
              <w:bidi w:val="0"/>
              <w:jc w:val="center"/>
              <w:rPr>
                <w:rFonts w:ascii="David" w:hAnsi="David" w:cs="David"/>
                <w:sz w:val="18"/>
                <w:szCs w:val="18"/>
                <w:lang w:eastAsia="he-IL"/>
              </w:rPr>
            </w:pPr>
            <w:r w:rsidRPr="00203FDC">
              <w:rPr>
                <w:rFonts w:ascii="David" w:hAnsi="David" w:cs="David"/>
                <w:sz w:val="18"/>
                <w:szCs w:val="18"/>
                <w:lang w:eastAsia="he-IL"/>
              </w:rPr>
              <w:t xml:space="preserve">31,384 </w:t>
            </w:r>
          </w:p>
        </w:tc>
      </w:tr>
      <w:tr w:rsidR="00203FDC" w:rsidRPr="00203FDC" w14:paraId="3A6ED284" w14:textId="77777777" w:rsidTr="008D55A0">
        <w:trPr>
          <w:gridBefore w:val="1"/>
          <w:wBefore w:w="10" w:type="dxa"/>
          <w:trHeight w:val="135"/>
        </w:trPr>
        <w:tc>
          <w:tcPr>
            <w:tcW w:w="901" w:type="dxa"/>
            <w:tcBorders>
              <w:top w:val="nil"/>
              <w:left w:val="nil"/>
              <w:bottom w:val="nil"/>
              <w:right w:val="nil"/>
            </w:tcBorders>
            <w:shd w:val="clear" w:color="auto" w:fill="auto"/>
            <w:noWrap/>
            <w:vAlign w:val="bottom"/>
            <w:hideMark/>
          </w:tcPr>
          <w:p w14:paraId="7F8F47E6" w14:textId="77777777" w:rsidR="00203FDC" w:rsidRPr="00203FDC" w:rsidRDefault="00203FDC" w:rsidP="00203FDC">
            <w:pPr>
              <w:bidi w:val="0"/>
              <w:jc w:val="center"/>
              <w:rPr>
                <w:rFonts w:ascii="David" w:hAnsi="David" w:cs="David"/>
                <w:sz w:val="18"/>
                <w:szCs w:val="18"/>
                <w:lang w:eastAsia="he-IL"/>
              </w:rPr>
            </w:pPr>
          </w:p>
        </w:tc>
        <w:tc>
          <w:tcPr>
            <w:tcW w:w="3432" w:type="dxa"/>
            <w:tcBorders>
              <w:top w:val="nil"/>
              <w:left w:val="nil"/>
              <w:bottom w:val="nil"/>
              <w:right w:val="nil"/>
            </w:tcBorders>
            <w:shd w:val="clear" w:color="auto" w:fill="auto"/>
            <w:noWrap/>
            <w:vAlign w:val="bottom"/>
            <w:hideMark/>
          </w:tcPr>
          <w:p w14:paraId="36C62E01" w14:textId="77777777" w:rsidR="00203FDC" w:rsidRPr="00203FDC" w:rsidRDefault="00203FDC" w:rsidP="00203FDC">
            <w:pPr>
              <w:bidi w:val="0"/>
              <w:rPr>
                <w:rFonts w:cs="Miriam"/>
                <w:sz w:val="20"/>
                <w:szCs w:val="20"/>
                <w:lang w:eastAsia="he-IL"/>
              </w:rPr>
            </w:pPr>
          </w:p>
        </w:tc>
        <w:tc>
          <w:tcPr>
            <w:tcW w:w="1167" w:type="dxa"/>
            <w:tcBorders>
              <w:top w:val="nil"/>
              <w:left w:val="nil"/>
              <w:bottom w:val="nil"/>
              <w:right w:val="nil"/>
            </w:tcBorders>
            <w:shd w:val="clear" w:color="auto" w:fill="auto"/>
            <w:noWrap/>
            <w:vAlign w:val="bottom"/>
            <w:hideMark/>
          </w:tcPr>
          <w:p w14:paraId="6BDFA21F" w14:textId="77777777" w:rsidR="00203FDC" w:rsidRPr="00203FDC" w:rsidRDefault="00203FDC" w:rsidP="00203FDC">
            <w:pPr>
              <w:bidi w:val="0"/>
              <w:rPr>
                <w:rFonts w:cs="Miriam"/>
                <w:sz w:val="20"/>
                <w:szCs w:val="20"/>
                <w:lang w:eastAsia="he-IL"/>
              </w:rPr>
            </w:pPr>
          </w:p>
        </w:tc>
        <w:tc>
          <w:tcPr>
            <w:tcW w:w="760" w:type="dxa"/>
            <w:tcBorders>
              <w:top w:val="nil"/>
              <w:left w:val="nil"/>
              <w:bottom w:val="nil"/>
              <w:right w:val="nil"/>
            </w:tcBorders>
            <w:shd w:val="clear" w:color="auto" w:fill="auto"/>
            <w:noWrap/>
            <w:vAlign w:val="bottom"/>
            <w:hideMark/>
          </w:tcPr>
          <w:p w14:paraId="7D5B5D38" w14:textId="77777777" w:rsidR="00203FDC" w:rsidRPr="00203FDC" w:rsidRDefault="00203FDC" w:rsidP="00203FDC">
            <w:pPr>
              <w:bidi w:val="0"/>
              <w:rPr>
                <w:rFonts w:cs="Miriam"/>
                <w:sz w:val="20"/>
                <w:szCs w:val="20"/>
                <w:lang w:eastAsia="he-IL"/>
              </w:rPr>
            </w:pPr>
          </w:p>
        </w:tc>
        <w:tc>
          <w:tcPr>
            <w:tcW w:w="956" w:type="dxa"/>
            <w:tcBorders>
              <w:top w:val="nil"/>
              <w:left w:val="nil"/>
              <w:bottom w:val="nil"/>
              <w:right w:val="nil"/>
            </w:tcBorders>
            <w:shd w:val="clear" w:color="auto" w:fill="auto"/>
            <w:noWrap/>
            <w:vAlign w:val="bottom"/>
            <w:hideMark/>
          </w:tcPr>
          <w:p w14:paraId="35142528" w14:textId="77777777" w:rsidR="00203FDC" w:rsidRPr="00203FDC" w:rsidRDefault="00203FDC" w:rsidP="00203FDC">
            <w:pPr>
              <w:bidi w:val="0"/>
              <w:rPr>
                <w:rFonts w:cs="Miriam"/>
                <w:sz w:val="20"/>
                <w:szCs w:val="20"/>
                <w:lang w:eastAsia="he-IL"/>
              </w:rPr>
            </w:pPr>
          </w:p>
        </w:tc>
        <w:tc>
          <w:tcPr>
            <w:tcW w:w="880" w:type="dxa"/>
            <w:tcBorders>
              <w:top w:val="nil"/>
              <w:left w:val="nil"/>
              <w:bottom w:val="nil"/>
              <w:right w:val="nil"/>
            </w:tcBorders>
            <w:shd w:val="clear" w:color="auto" w:fill="auto"/>
            <w:noWrap/>
            <w:vAlign w:val="bottom"/>
            <w:hideMark/>
          </w:tcPr>
          <w:p w14:paraId="60E23417" w14:textId="77777777" w:rsidR="00203FDC" w:rsidRPr="00203FDC" w:rsidRDefault="00203FDC" w:rsidP="00203FDC">
            <w:pPr>
              <w:bidi w:val="0"/>
              <w:rPr>
                <w:rFonts w:cs="Miriam"/>
                <w:sz w:val="20"/>
                <w:szCs w:val="20"/>
                <w:lang w:eastAsia="he-IL"/>
              </w:rPr>
            </w:pPr>
          </w:p>
        </w:tc>
        <w:tc>
          <w:tcPr>
            <w:tcW w:w="1303" w:type="dxa"/>
            <w:gridSpan w:val="2"/>
            <w:tcBorders>
              <w:top w:val="nil"/>
              <w:left w:val="nil"/>
              <w:bottom w:val="nil"/>
              <w:right w:val="nil"/>
            </w:tcBorders>
            <w:shd w:val="clear" w:color="auto" w:fill="auto"/>
            <w:noWrap/>
            <w:vAlign w:val="bottom"/>
            <w:hideMark/>
          </w:tcPr>
          <w:p w14:paraId="60F537E9" w14:textId="77777777" w:rsidR="00203FDC" w:rsidRPr="00203FDC" w:rsidRDefault="00203FDC" w:rsidP="00203FDC">
            <w:pPr>
              <w:bidi w:val="0"/>
              <w:rPr>
                <w:rFonts w:cs="Miriam"/>
                <w:sz w:val="20"/>
                <w:szCs w:val="20"/>
                <w:lang w:eastAsia="he-IL"/>
              </w:rPr>
            </w:pPr>
          </w:p>
        </w:tc>
      </w:tr>
      <w:tr w:rsidR="00203FDC" w:rsidRPr="00203FDC" w14:paraId="2D888177" w14:textId="77777777" w:rsidTr="008D55A0">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488EE8DF" w14:textId="77777777" w:rsidR="00203FDC" w:rsidRPr="00203FDC" w:rsidRDefault="00203FDC" w:rsidP="00203FDC">
            <w:pPr>
              <w:bidi w:val="0"/>
              <w:rPr>
                <w:rFonts w:ascii="David" w:hAnsi="David" w:cs="David"/>
                <w:sz w:val="12"/>
                <w:szCs w:val="12"/>
                <w:lang w:eastAsia="he-IL"/>
              </w:rPr>
            </w:pPr>
            <w:r w:rsidRPr="00203FDC">
              <w:rPr>
                <w:rFonts w:ascii="David" w:hAnsi="David" w:cs="David"/>
                <w:sz w:val="12"/>
                <w:szCs w:val="12"/>
                <w:vertAlign w:val="superscript"/>
                <w:lang w:eastAsia="he-IL"/>
              </w:rPr>
              <w:t>1</w:t>
            </w:r>
            <w:r w:rsidRPr="00203FDC">
              <w:rPr>
                <w:rFonts w:ascii="David" w:hAnsi="David" w:cs="David"/>
                <w:sz w:val="12"/>
                <w:szCs w:val="12"/>
                <w:lang w:eastAsia="he-IL"/>
              </w:rPr>
              <w:t xml:space="preserve">  Only one leg of the swap, i.e., the nominal value of the transaction (in accordance with the BIS definition) </w:t>
            </w:r>
          </w:p>
        </w:tc>
      </w:tr>
      <w:tr w:rsidR="00203FDC" w:rsidRPr="00203FDC" w14:paraId="44DF36A8" w14:textId="77777777" w:rsidTr="008D55A0">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68DB6C86" w14:textId="77777777" w:rsidR="00203FDC" w:rsidRPr="00203FDC" w:rsidRDefault="00203FDC" w:rsidP="00203FDC">
            <w:pPr>
              <w:bidi w:val="0"/>
              <w:rPr>
                <w:rFonts w:ascii="David" w:hAnsi="David" w:cs="David"/>
                <w:sz w:val="12"/>
                <w:szCs w:val="12"/>
                <w:lang w:eastAsia="he-IL"/>
              </w:rPr>
            </w:pPr>
            <w:r w:rsidRPr="00203FDC">
              <w:rPr>
                <w:rFonts w:ascii="David" w:hAnsi="David" w:cs="David"/>
                <w:sz w:val="12"/>
                <w:szCs w:val="12"/>
                <w:vertAlign w:val="superscript"/>
                <w:lang w:eastAsia="he-IL"/>
              </w:rPr>
              <w:t>2</w:t>
            </w:r>
            <w:r w:rsidRPr="00203FDC">
              <w:rPr>
                <w:rFonts w:ascii="David" w:hAnsi="David" w:cs="David"/>
                <w:sz w:val="12"/>
                <w:szCs w:val="12"/>
                <w:lang w:eastAsia="he-IL"/>
              </w:rPr>
              <w:t xml:space="preserve"> The exchanged founds through Cross Currency Swap transactions considered for the volume, as one leg only in cases where the two legs offset each other.</w:t>
            </w:r>
          </w:p>
        </w:tc>
      </w:tr>
      <w:tr w:rsidR="00203FDC" w:rsidRPr="00203FDC" w14:paraId="463B2296" w14:textId="77777777" w:rsidTr="008D55A0">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4240AD0A" w14:textId="77777777" w:rsidR="00203FDC" w:rsidRPr="00203FDC" w:rsidRDefault="00203FDC" w:rsidP="00203FDC">
            <w:pPr>
              <w:bidi w:val="0"/>
              <w:rPr>
                <w:rFonts w:ascii="David" w:hAnsi="David" w:cs="David"/>
                <w:sz w:val="12"/>
                <w:szCs w:val="12"/>
                <w:lang w:eastAsia="he-IL"/>
              </w:rPr>
            </w:pPr>
            <w:r w:rsidRPr="00203FDC">
              <w:rPr>
                <w:rFonts w:ascii="David" w:hAnsi="David" w:cs="David"/>
                <w:sz w:val="12"/>
                <w:szCs w:val="12"/>
                <w:vertAlign w:val="superscript"/>
                <w:lang w:eastAsia="he-IL"/>
              </w:rPr>
              <w:t>3</w:t>
            </w:r>
            <w:r w:rsidRPr="00203FDC">
              <w:rPr>
                <w:rFonts w:ascii="David" w:hAnsi="David" w:cs="David"/>
                <w:sz w:val="12"/>
                <w:szCs w:val="12"/>
                <w:lang w:eastAsia="he-IL"/>
              </w:rPr>
              <w:t xml:space="preserve"> The national value, that includes purchases and sales of put and call options.</w:t>
            </w:r>
          </w:p>
        </w:tc>
      </w:tr>
      <w:tr w:rsidR="00203FDC" w:rsidRPr="00203FDC" w14:paraId="6189D20E" w14:textId="77777777" w:rsidTr="008D55A0">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65AAB90B" w14:textId="77777777" w:rsidR="00203FDC" w:rsidRPr="00203FDC" w:rsidRDefault="00203FDC" w:rsidP="00203FDC">
            <w:pPr>
              <w:bidi w:val="0"/>
              <w:rPr>
                <w:rFonts w:ascii="David" w:hAnsi="David" w:cs="David"/>
                <w:sz w:val="12"/>
                <w:szCs w:val="12"/>
                <w:lang w:eastAsia="he-IL"/>
              </w:rPr>
            </w:pPr>
            <w:r w:rsidRPr="00203FDC">
              <w:rPr>
                <w:rFonts w:ascii="David" w:hAnsi="David" w:cs="David"/>
                <w:sz w:val="12"/>
                <w:szCs w:val="12"/>
                <w:vertAlign w:val="superscript"/>
                <w:lang w:eastAsia="he-IL"/>
              </w:rPr>
              <w:t>4</w:t>
            </w:r>
            <w:r w:rsidRPr="00203FDC">
              <w:rPr>
                <w:rFonts w:ascii="David" w:hAnsi="David" w:cs="David"/>
                <w:sz w:val="12"/>
                <w:szCs w:val="12"/>
                <w:lang w:eastAsia="he-IL"/>
              </w:rPr>
              <w:t xml:space="preserve"> Including other entities such as portfolio managers, nonprofit organizations, national institutions, and those not included elsewhere.</w:t>
            </w:r>
          </w:p>
        </w:tc>
      </w:tr>
      <w:tr w:rsidR="00203FDC" w:rsidRPr="00203FDC" w14:paraId="2E64D842" w14:textId="77777777" w:rsidTr="008D55A0">
        <w:trPr>
          <w:gridAfter w:val="1"/>
          <w:wAfter w:w="951" w:type="dxa"/>
          <w:trHeight w:val="165"/>
        </w:trPr>
        <w:tc>
          <w:tcPr>
            <w:tcW w:w="8458" w:type="dxa"/>
            <w:gridSpan w:val="8"/>
            <w:tcBorders>
              <w:top w:val="nil"/>
              <w:left w:val="nil"/>
              <w:bottom w:val="nil"/>
              <w:right w:val="nil"/>
            </w:tcBorders>
            <w:shd w:val="clear" w:color="auto" w:fill="auto"/>
            <w:noWrap/>
            <w:vAlign w:val="center"/>
            <w:hideMark/>
          </w:tcPr>
          <w:p w14:paraId="7F4C54F9" w14:textId="77777777" w:rsidR="00203FDC" w:rsidRPr="00203FDC" w:rsidRDefault="00203FDC" w:rsidP="00203FDC">
            <w:pPr>
              <w:bidi w:val="0"/>
              <w:rPr>
                <w:rFonts w:ascii="David" w:hAnsi="David" w:cs="David"/>
                <w:sz w:val="12"/>
                <w:szCs w:val="12"/>
                <w:lang w:eastAsia="he-IL"/>
              </w:rPr>
            </w:pPr>
            <w:r w:rsidRPr="00203FDC">
              <w:rPr>
                <w:rFonts w:ascii="Arial" w:hAnsi="Arial" w:cs="Arial"/>
                <w:sz w:val="12"/>
                <w:szCs w:val="12"/>
                <w:vertAlign w:val="superscript"/>
                <w:lang w:eastAsia="he-IL"/>
              </w:rPr>
              <w:t>5</w:t>
            </w:r>
            <w:r w:rsidRPr="00203FDC">
              <w:rPr>
                <w:rFonts w:ascii="David" w:hAnsi="David" w:cs="David"/>
                <w:sz w:val="12"/>
                <w:szCs w:val="12"/>
                <w:lang w:eastAsia="he-IL"/>
              </w:rPr>
              <w:t xml:space="preserve"> Total interbank trade, divided by 2</w:t>
            </w:r>
          </w:p>
        </w:tc>
      </w:tr>
    </w:tbl>
    <w:p w14:paraId="5DE71637" w14:textId="06513AFD" w:rsidR="00D80DD5" w:rsidRDefault="00D80DD5" w:rsidP="00475E9A">
      <w:pPr>
        <w:bidi w:val="0"/>
        <w:rPr>
          <w:sz w:val="20"/>
          <w:szCs w:val="20"/>
        </w:rPr>
      </w:pPr>
    </w:p>
    <w:p w14:paraId="467F3BE9" w14:textId="60539F21" w:rsidR="00D80DD5" w:rsidRDefault="00D80DD5" w:rsidP="00D80DD5">
      <w:pPr>
        <w:bidi w:val="0"/>
        <w:jc w:val="center"/>
        <w:rPr>
          <w:sz w:val="20"/>
          <w:szCs w:val="20"/>
        </w:rPr>
      </w:pPr>
    </w:p>
    <w:p w14:paraId="2B7E5F14" w14:textId="765D0145" w:rsidR="00D80DD5" w:rsidRDefault="00D80DD5" w:rsidP="00D80DD5">
      <w:pPr>
        <w:bidi w:val="0"/>
        <w:jc w:val="center"/>
        <w:rPr>
          <w:sz w:val="20"/>
          <w:szCs w:val="20"/>
        </w:rPr>
      </w:pPr>
    </w:p>
    <w:p w14:paraId="2B49B21B" w14:textId="475938B7" w:rsidR="00D80DD5" w:rsidRDefault="00D80DD5" w:rsidP="00D80DD5">
      <w:pPr>
        <w:bidi w:val="0"/>
        <w:rPr>
          <w:sz w:val="20"/>
          <w:szCs w:val="20"/>
        </w:rPr>
      </w:pPr>
    </w:p>
    <w:p w14:paraId="2A728008" w14:textId="77777777" w:rsidR="009F177B" w:rsidRDefault="009F177B" w:rsidP="00D80DD5">
      <w:pPr>
        <w:bidi w:val="0"/>
        <w:rPr>
          <w:b/>
          <w:bCs/>
          <w:color w:val="4F81BD" w:themeColor="accent1"/>
          <w:rtl/>
        </w:rPr>
      </w:pPr>
    </w:p>
    <w:p w14:paraId="4E93E3C0" w14:textId="77777777" w:rsidR="009F177B" w:rsidRDefault="009F177B" w:rsidP="009F177B">
      <w:pPr>
        <w:bidi w:val="0"/>
        <w:rPr>
          <w:b/>
          <w:bCs/>
          <w:color w:val="4F81BD" w:themeColor="accent1"/>
          <w:rtl/>
        </w:rPr>
      </w:pPr>
    </w:p>
    <w:p w14:paraId="454B5304" w14:textId="77777777" w:rsidR="009F177B" w:rsidRDefault="009F177B" w:rsidP="009F177B">
      <w:pPr>
        <w:bidi w:val="0"/>
        <w:rPr>
          <w:b/>
          <w:bCs/>
          <w:color w:val="4F81BD" w:themeColor="accent1"/>
          <w:rtl/>
        </w:rPr>
      </w:pPr>
    </w:p>
    <w:p w14:paraId="72A91465" w14:textId="77777777" w:rsidR="009F177B" w:rsidRDefault="009F177B" w:rsidP="009F177B">
      <w:pPr>
        <w:bidi w:val="0"/>
        <w:rPr>
          <w:b/>
          <w:bCs/>
          <w:color w:val="4F81BD" w:themeColor="accent1"/>
          <w:rtl/>
        </w:rPr>
      </w:pPr>
    </w:p>
    <w:p w14:paraId="4A2DF7C2" w14:textId="77777777" w:rsidR="009F177B" w:rsidRDefault="009F177B" w:rsidP="009F177B">
      <w:pPr>
        <w:bidi w:val="0"/>
        <w:rPr>
          <w:b/>
          <w:bCs/>
          <w:color w:val="4F81BD" w:themeColor="accent1"/>
          <w:rtl/>
        </w:rPr>
      </w:pPr>
    </w:p>
    <w:p w14:paraId="7480030F" w14:textId="77777777" w:rsidR="009F177B" w:rsidRDefault="009F177B" w:rsidP="009F177B">
      <w:pPr>
        <w:bidi w:val="0"/>
        <w:rPr>
          <w:b/>
          <w:bCs/>
          <w:color w:val="4F81BD" w:themeColor="accent1"/>
          <w:rtl/>
        </w:rPr>
      </w:pPr>
    </w:p>
    <w:p w14:paraId="0EFFCC9A" w14:textId="4C073087" w:rsidR="00D80DD5" w:rsidRPr="00431281" w:rsidRDefault="00D80DD5" w:rsidP="009F177B">
      <w:pPr>
        <w:bidi w:val="0"/>
        <w:rPr>
          <w:b/>
          <w:bCs/>
          <w:color w:val="4F81BD" w:themeColor="accent1"/>
        </w:rPr>
      </w:pPr>
      <w:r w:rsidRPr="00431281">
        <w:rPr>
          <w:b/>
          <w:bCs/>
          <w:color w:val="4F81BD" w:themeColor="accent1"/>
        </w:rPr>
        <w:t>Estimated total trading volume</w:t>
      </w:r>
      <w:r w:rsidRPr="00431281">
        <w:rPr>
          <w:rStyle w:val="ad"/>
          <w:b/>
          <w:bCs/>
          <w:color w:val="4F81BD" w:themeColor="accent1"/>
        </w:rPr>
        <w:footnoteReference w:id="4"/>
      </w:r>
      <w:r w:rsidRPr="00431281">
        <w:rPr>
          <w:b/>
          <w:bCs/>
          <w:color w:val="4F81BD" w:themeColor="accent1"/>
        </w:rPr>
        <w:t>—domestic banking system and foreign reporting entities</w:t>
      </w:r>
    </w:p>
    <w:p w14:paraId="0658ED51" w14:textId="77777777" w:rsidR="00D80DD5" w:rsidRDefault="00D80DD5" w:rsidP="00D80DD5">
      <w:pPr>
        <w:bidi w:val="0"/>
        <w:rPr>
          <w:b/>
          <w:bCs/>
        </w:rPr>
      </w:pPr>
    </w:p>
    <w:p w14:paraId="50BDE689" w14:textId="227CCE3C" w:rsidR="00873B9F" w:rsidRDefault="00D80DD5" w:rsidP="002362CA">
      <w:pPr>
        <w:bidi w:val="0"/>
        <w:jc w:val="both"/>
      </w:pPr>
      <w:r w:rsidRPr="00236B78">
        <w:t>The estimated total activity in transactions against the shekel</w:t>
      </w:r>
      <w:r w:rsidR="003125B3">
        <w:t>,</w:t>
      </w:r>
      <w:r w:rsidRPr="00236B78">
        <w:t xml:space="preserve"> </w:t>
      </w:r>
      <w:r w:rsidR="00475E9A">
        <w:t xml:space="preserve">as </w:t>
      </w:r>
      <w:r w:rsidRPr="00236B78">
        <w:t>reflected in reports from the domestic banking system and foreign reporting entities</w:t>
      </w:r>
      <w:r w:rsidR="003125B3">
        <w:t>,</w:t>
      </w:r>
      <w:r w:rsidRPr="00236B78">
        <w:t xml:space="preserve"> </w:t>
      </w:r>
      <w:r w:rsidR="00C62192">
        <w:t xml:space="preserve">indicates </w:t>
      </w:r>
      <w:r w:rsidRPr="00236B78">
        <w:t>that</w:t>
      </w:r>
      <w:r w:rsidR="003125B3">
        <w:t xml:space="preserve"> </w:t>
      </w:r>
      <w:r w:rsidR="00345CD5">
        <w:t>n</w:t>
      </w:r>
      <w:r w:rsidR="00345CD5" w:rsidRPr="00236B78">
        <w:t xml:space="preserve">onresidents’ relative share of trading volume in spot and forward transactions (excluding swaps and options) was </w:t>
      </w:r>
      <w:r w:rsidR="00345CD5">
        <w:t xml:space="preserve">about </w:t>
      </w:r>
      <w:r w:rsidR="0066696B">
        <w:t xml:space="preserve">86 </w:t>
      </w:r>
      <w:r w:rsidR="00345CD5" w:rsidRPr="005305DA">
        <w:t xml:space="preserve">percent in the </w:t>
      </w:r>
      <w:r w:rsidR="002362CA">
        <w:rPr>
          <w:lang w:bidi="ar-SA"/>
        </w:rPr>
        <w:t>second</w:t>
      </w:r>
      <w:r w:rsidR="005305DA" w:rsidRPr="005305DA">
        <w:t xml:space="preserve"> </w:t>
      </w:r>
      <w:r w:rsidR="00345CD5" w:rsidRPr="005305DA">
        <w:t>quarter.</w:t>
      </w:r>
    </w:p>
    <w:p w14:paraId="1C94E6D6" w14:textId="79448BB8" w:rsidR="00D80DD5" w:rsidRPr="00236B78" w:rsidRDefault="00E8290A" w:rsidP="005305DA">
      <w:pPr>
        <w:bidi w:val="0"/>
        <w:jc w:val="both"/>
      </w:pPr>
      <w:r>
        <w:t>T</w:t>
      </w:r>
      <w:r w:rsidR="00D80DD5" w:rsidRPr="00236B78">
        <w:t xml:space="preserve">rade between nonresidents constituted </w:t>
      </w:r>
      <w:r w:rsidR="00475E9A">
        <w:t xml:space="preserve">about </w:t>
      </w:r>
      <w:r w:rsidR="0066696B">
        <w:t>77</w:t>
      </w:r>
      <w:r w:rsidR="005305DA">
        <w:t xml:space="preserve"> </w:t>
      </w:r>
      <w:r w:rsidR="00D80DD5" w:rsidRPr="00236B78">
        <w:t>percent of the volume</w:t>
      </w:r>
      <w:r w:rsidR="00345CD5">
        <w:t>, which had a daily average of about $</w:t>
      </w:r>
      <w:r w:rsidR="005305DA">
        <w:t xml:space="preserve">16.5 </w:t>
      </w:r>
      <w:r w:rsidR="00345CD5">
        <w:t>billion.</w:t>
      </w:r>
    </w:p>
    <w:p w14:paraId="0DA8CFF3" w14:textId="7A2F4D33" w:rsidR="00D80DD5" w:rsidRDefault="00D80DD5" w:rsidP="00D80DD5">
      <w:pPr>
        <w:bidi w:val="0"/>
      </w:pPr>
    </w:p>
    <w:p w14:paraId="03B187DB" w14:textId="5E4ED82B" w:rsidR="00D80DD5" w:rsidRDefault="00D80DD5">
      <w:pPr>
        <w:bidi w:val="0"/>
      </w:pPr>
    </w:p>
    <w:tbl>
      <w:tblPr>
        <w:tblW w:w="10640" w:type="dxa"/>
        <w:tblInd w:w="-673" w:type="dxa"/>
        <w:tblLook w:val="04A0" w:firstRow="1" w:lastRow="0" w:firstColumn="1" w:lastColumn="0" w:noHBand="0" w:noVBand="1"/>
      </w:tblPr>
      <w:tblGrid>
        <w:gridCol w:w="1520"/>
        <w:gridCol w:w="1520"/>
        <w:gridCol w:w="1520"/>
        <w:gridCol w:w="1520"/>
        <w:gridCol w:w="1520"/>
        <w:gridCol w:w="1520"/>
        <w:gridCol w:w="1520"/>
      </w:tblGrid>
      <w:tr w:rsidR="00203FDC" w:rsidRPr="00203FDC" w14:paraId="3E05F2DF" w14:textId="77777777" w:rsidTr="00203FDC">
        <w:trPr>
          <w:trHeight w:val="300"/>
        </w:trPr>
        <w:tc>
          <w:tcPr>
            <w:tcW w:w="1520" w:type="dxa"/>
            <w:tcBorders>
              <w:top w:val="single" w:sz="8" w:space="0" w:color="BFBFBF"/>
              <w:left w:val="single" w:sz="8" w:space="0" w:color="BFBFBF"/>
              <w:bottom w:val="single" w:sz="8" w:space="0" w:color="BFBFBF"/>
              <w:right w:val="single" w:sz="8" w:space="0" w:color="BFBFBF"/>
            </w:tcBorders>
            <w:shd w:val="clear" w:color="000000" w:fill="0070C0"/>
            <w:vAlign w:val="center"/>
            <w:hideMark/>
          </w:tcPr>
          <w:p w14:paraId="02040DDC" w14:textId="77777777" w:rsidR="00203FDC" w:rsidRPr="00203FDC" w:rsidRDefault="00203FDC" w:rsidP="00203FDC">
            <w:pPr>
              <w:bidi w:val="0"/>
              <w:rPr>
                <w:color w:val="000000"/>
                <w:sz w:val="20"/>
                <w:szCs w:val="20"/>
              </w:rPr>
            </w:pPr>
            <w:r w:rsidRPr="00203FDC">
              <w:rPr>
                <w:color w:val="000000"/>
                <w:sz w:val="20"/>
                <w:szCs w:val="20"/>
              </w:rPr>
              <w:t> </w:t>
            </w:r>
          </w:p>
        </w:tc>
        <w:tc>
          <w:tcPr>
            <w:tcW w:w="1520" w:type="dxa"/>
            <w:tcBorders>
              <w:top w:val="single" w:sz="8" w:space="0" w:color="BFBFBF"/>
              <w:left w:val="nil"/>
              <w:bottom w:val="single" w:sz="8" w:space="0" w:color="BFBFBF"/>
              <w:right w:val="single" w:sz="8" w:space="0" w:color="BFBFBF"/>
            </w:tcBorders>
            <w:shd w:val="clear" w:color="000000" w:fill="0070C0"/>
            <w:vAlign w:val="center"/>
            <w:hideMark/>
          </w:tcPr>
          <w:p w14:paraId="70945D34" w14:textId="77777777" w:rsidR="00203FDC" w:rsidRPr="00203FDC" w:rsidRDefault="00203FDC" w:rsidP="00203FDC">
            <w:pPr>
              <w:bidi w:val="0"/>
              <w:rPr>
                <w:color w:val="000000"/>
                <w:sz w:val="20"/>
                <w:szCs w:val="20"/>
              </w:rPr>
            </w:pPr>
            <w:r w:rsidRPr="00203FDC">
              <w:rPr>
                <w:color w:val="000000"/>
                <w:sz w:val="20"/>
                <w:szCs w:val="20"/>
              </w:rPr>
              <w:t> </w:t>
            </w:r>
          </w:p>
        </w:tc>
        <w:tc>
          <w:tcPr>
            <w:tcW w:w="4560" w:type="dxa"/>
            <w:gridSpan w:val="3"/>
            <w:tcBorders>
              <w:top w:val="single" w:sz="8" w:space="0" w:color="BFBFBF"/>
              <w:left w:val="nil"/>
              <w:bottom w:val="single" w:sz="8" w:space="0" w:color="BFBFBF"/>
              <w:right w:val="single" w:sz="8" w:space="0" w:color="BFBFBF"/>
            </w:tcBorders>
            <w:shd w:val="clear" w:color="000000" w:fill="0070C0"/>
            <w:vAlign w:val="center"/>
            <w:hideMark/>
          </w:tcPr>
          <w:p w14:paraId="06C87B26" w14:textId="77777777" w:rsidR="00203FDC" w:rsidRPr="00203FDC" w:rsidRDefault="00203FDC" w:rsidP="00203FDC">
            <w:pPr>
              <w:bidi w:val="0"/>
              <w:jc w:val="center"/>
              <w:rPr>
                <w:color w:val="000000"/>
                <w:sz w:val="20"/>
                <w:szCs w:val="20"/>
              </w:rPr>
            </w:pPr>
            <w:r w:rsidRPr="00203FDC">
              <w:rPr>
                <w:color w:val="000000"/>
                <w:sz w:val="20"/>
                <w:szCs w:val="20"/>
              </w:rPr>
              <w:t>Relative share of total trading volume</w:t>
            </w:r>
          </w:p>
        </w:tc>
        <w:tc>
          <w:tcPr>
            <w:tcW w:w="1520" w:type="dxa"/>
            <w:tcBorders>
              <w:top w:val="single" w:sz="8" w:space="0" w:color="BFBFBF"/>
              <w:left w:val="nil"/>
              <w:bottom w:val="single" w:sz="8" w:space="0" w:color="BFBFBF"/>
              <w:right w:val="single" w:sz="8" w:space="0" w:color="BFBFBF"/>
            </w:tcBorders>
            <w:shd w:val="clear" w:color="000000" w:fill="0070C0"/>
            <w:vAlign w:val="center"/>
            <w:hideMark/>
          </w:tcPr>
          <w:p w14:paraId="54291088" w14:textId="77777777" w:rsidR="00203FDC" w:rsidRPr="00203FDC" w:rsidRDefault="00203FDC" w:rsidP="00203FDC">
            <w:pPr>
              <w:bidi w:val="0"/>
              <w:rPr>
                <w:color w:val="000000"/>
                <w:sz w:val="20"/>
                <w:szCs w:val="20"/>
              </w:rPr>
            </w:pPr>
            <w:r w:rsidRPr="00203FDC">
              <w:rPr>
                <w:color w:val="000000"/>
                <w:sz w:val="20"/>
                <w:szCs w:val="20"/>
              </w:rPr>
              <w:t> </w:t>
            </w:r>
          </w:p>
        </w:tc>
        <w:tc>
          <w:tcPr>
            <w:tcW w:w="1520" w:type="dxa"/>
            <w:tcBorders>
              <w:top w:val="single" w:sz="8" w:space="0" w:color="BFBFBF"/>
              <w:left w:val="nil"/>
              <w:bottom w:val="single" w:sz="8" w:space="0" w:color="BFBFBF"/>
              <w:right w:val="single" w:sz="8" w:space="0" w:color="BFBFBF"/>
            </w:tcBorders>
            <w:shd w:val="clear" w:color="000000" w:fill="0070C0"/>
            <w:vAlign w:val="center"/>
            <w:hideMark/>
          </w:tcPr>
          <w:p w14:paraId="466C264B" w14:textId="77777777" w:rsidR="00203FDC" w:rsidRPr="00203FDC" w:rsidRDefault="00203FDC" w:rsidP="00203FDC">
            <w:pPr>
              <w:bidi w:val="0"/>
              <w:rPr>
                <w:color w:val="000000"/>
                <w:sz w:val="20"/>
                <w:szCs w:val="20"/>
              </w:rPr>
            </w:pPr>
            <w:r w:rsidRPr="00203FDC">
              <w:rPr>
                <w:color w:val="000000"/>
                <w:sz w:val="20"/>
                <w:szCs w:val="20"/>
              </w:rPr>
              <w:t> </w:t>
            </w:r>
          </w:p>
        </w:tc>
      </w:tr>
      <w:tr w:rsidR="00203FDC" w:rsidRPr="00203FDC" w14:paraId="3A7871EF" w14:textId="77777777" w:rsidTr="00203FDC">
        <w:trPr>
          <w:trHeight w:val="1020"/>
        </w:trPr>
        <w:tc>
          <w:tcPr>
            <w:tcW w:w="1520" w:type="dxa"/>
            <w:tcBorders>
              <w:top w:val="nil"/>
              <w:left w:val="single" w:sz="8" w:space="0" w:color="BFBFBF"/>
              <w:bottom w:val="nil"/>
              <w:right w:val="single" w:sz="8" w:space="0" w:color="BFBFBF"/>
            </w:tcBorders>
            <w:shd w:val="clear" w:color="000000" w:fill="0070C0"/>
            <w:vAlign w:val="center"/>
            <w:hideMark/>
          </w:tcPr>
          <w:p w14:paraId="054336DF" w14:textId="77777777" w:rsidR="00203FDC" w:rsidRPr="00203FDC" w:rsidRDefault="00203FDC" w:rsidP="00203FDC">
            <w:pPr>
              <w:bidi w:val="0"/>
              <w:rPr>
                <w:color w:val="000000"/>
                <w:sz w:val="20"/>
                <w:szCs w:val="20"/>
              </w:rPr>
            </w:pPr>
            <w:r w:rsidRPr="00203FDC">
              <w:rPr>
                <w:color w:val="000000"/>
                <w:sz w:val="20"/>
                <w:szCs w:val="20"/>
              </w:rPr>
              <w:t> </w:t>
            </w:r>
          </w:p>
        </w:tc>
        <w:tc>
          <w:tcPr>
            <w:tcW w:w="1520" w:type="dxa"/>
            <w:tcBorders>
              <w:top w:val="nil"/>
              <w:left w:val="nil"/>
              <w:bottom w:val="nil"/>
              <w:right w:val="single" w:sz="8" w:space="0" w:color="BFBFBF"/>
            </w:tcBorders>
            <w:shd w:val="clear" w:color="000000" w:fill="0070C0"/>
            <w:vAlign w:val="center"/>
            <w:hideMark/>
          </w:tcPr>
          <w:p w14:paraId="7E9CC507" w14:textId="77777777" w:rsidR="00203FDC" w:rsidRPr="00203FDC" w:rsidRDefault="00203FDC" w:rsidP="00203FDC">
            <w:pPr>
              <w:bidi w:val="0"/>
              <w:rPr>
                <w:color w:val="000000"/>
                <w:sz w:val="20"/>
                <w:szCs w:val="20"/>
              </w:rPr>
            </w:pPr>
            <w:r w:rsidRPr="00203FDC">
              <w:rPr>
                <w:color w:val="000000"/>
                <w:sz w:val="20"/>
                <w:szCs w:val="20"/>
              </w:rPr>
              <w:t> </w:t>
            </w:r>
          </w:p>
        </w:tc>
        <w:tc>
          <w:tcPr>
            <w:tcW w:w="1520" w:type="dxa"/>
            <w:tcBorders>
              <w:top w:val="nil"/>
              <w:left w:val="nil"/>
              <w:bottom w:val="nil"/>
              <w:right w:val="single" w:sz="8" w:space="0" w:color="BFBFBF"/>
            </w:tcBorders>
            <w:shd w:val="clear" w:color="000000" w:fill="0070C0"/>
            <w:vAlign w:val="center"/>
            <w:hideMark/>
          </w:tcPr>
          <w:p w14:paraId="5F3F8A56" w14:textId="77777777" w:rsidR="00203FDC" w:rsidRPr="00203FDC" w:rsidRDefault="00203FDC" w:rsidP="00203FDC">
            <w:pPr>
              <w:bidi w:val="0"/>
              <w:rPr>
                <w:color w:val="000000"/>
                <w:sz w:val="20"/>
                <w:szCs w:val="20"/>
              </w:rPr>
            </w:pPr>
            <w:r w:rsidRPr="00203FDC">
              <w:rPr>
                <w:color w:val="000000"/>
                <w:sz w:val="20"/>
                <w:szCs w:val="20"/>
              </w:rPr>
              <w:t>Trade between nonresidents</w:t>
            </w:r>
          </w:p>
        </w:tc>
        <w:tc>
          <w:tcPr>
            <w:tcW w:w="1520" w:type="dxa"/>
            <w:tcBorders>
              <w:top w:val="nil"/>
              <w:left w:val="nil"/>
              <w:bottom w:val="nil"/>
              <w:right w:val="single" w:sz="8" w:space="0" w:color="BFBFBF"/>
            </w:tcBorders>
            <w:shd w:val="clear" w:color="000000" w:fill="0070C0"/>
            <w:vAlign w:val="center"/>
            <w:hideMark/>
          </w:tcPr>
          <w:p w14:paraId="23AAFB8E" w14:textId="77777777" w:rsidR="00203FDC" w:rsidRPr="00203FDC" w:rsidRDefault="00203FDC" w:rsidP="00203FDC">
            <w:pPr>
              <w:bidi w:val="0"/>
              <w:rPr>
                <w:color w:val="000000"/>
                <w:sz w:val="20"/>
                <w:szCs w:val="20"/>
              </w:rPr>
            </w:pPr>
            <w:r w:rsidRPr="00203FDC">
              <w:rPr>
                <w:color w:val="000000"/>
                <w:sz w:val="20"/>
                <w:szCs w:val="20"/>
              </w:rPr>
              <w:t>Trade between a nonresident and a resident</w:t>
            </w:r>
            <w:r w:rsidRPr="00203FDC">
              <w:rPr>
                <w:color w:val="000000"/>
                <w:sz w:val="20"/>
                <w:szCs w:val="20"/>
                <w:vertAlign w:val="superscript"/>
              </w:rPr>
              <w:t>1</w:t>
            </w:r>
          </w:p>
        </w:tc>
        <w:tc>
          <w:tcPr>
            <w:tcW w:w="1520" w:type="dxa"/>
            <w:tcBorders>
              <w:top w:val="nil"/>
              <w:left w:val="nil"/>
              <w:bottom w:val="nil"/>
              <w:right w:val="single" w:sz="8" w:space="0" w:color="BFBFBF"/>
            </w:tcBorders>
            <w:shd w:val="clear" w:color="000000" w:fill="0070C0"/>
            <w:vAlign w:val="center"/>
            <w:hideMark/>
          </w:tcPr>
          <w:p w14:paraId="71814927" w14:textId="77777777" w:rsidR="00203FDC" w:rsidRPr="00203FDC" w:rsidRDefault="00203FDC" w:rsidP="00203FDC">
            <w:pPr>
              <w:bidi w:val="0"/>
              <w:rPr>
                <w:color w:val="000000"/>
                <w:sz w:val="20"/>
                <w:szCs w:val="20"/>
              </w:rPr>
            </w:pPr>
            <w:r w:rsidRPr="00203FDC">
              <w:rPr>
                <w:color w:val="000000"/>
                <w:sz w:val="20"/>
                <w:szCs w:val="20"/>
              </w:rPr>
              <w:t>Trade between the domestic banking system and residents</w:t>
            </w:r>
          </w:p>
        </w:tc>
        <w:tc>
          <w:tcPr>
            <w:tcW w:w="1520" w:type="dxa"/>
            <w:tcBorders>
              <w:top w:val="nil"/>
              <w:left w:val="nil"/>
              <w:bottom w:val="nil"/>
              <w:right w:val="single" w:sz="8" w:space="0" w:color="BFBFBF"/>
            </w:tcBorders>
            <w:shd w:val="clear" w:color="000000" w:fill="0070C0"/>
            <w:vAlign w:val="center"/>
            <w:hideMark/>
          </w:tcPr>
          <w:p w14:paraId="07E063D1" w14:textId="77777777" w:rsidR="00203FDC" w:rsidRPr="00203FDC" w:rsidRDefault="00203FDC" w:rsidP="00203FDC">
            <w:pPr>
              <w:bidi w:val="0"/>
              <w:rPr>
                <w:color w:val="000000"/>
                <w:sz w:val="20"/>
                <w:szCs w:val="20"/>
              </w:rPr>
            </w:pPr>
            <w:r w:rsidRPr="00203FDC">
              <w:rPr>
                <w:color w:val="000000"/>
                <w:sz w:val="20"/>
                <w:szCs w:val="20"/>
              </w:rPr>
              <w:t>Total volume ($ million)</w:t>
            </w:r>
          </w:p>
        </w:tc>
        <w:tc>
          <w:tcPr>
            <w:tcW w:w="1520" w:type="dxa"/>
            <w:tcBorders>
              <w:top w:val="nil"/>
              <w:left w:val="nil"/>
              <w:bottom w:val="nil"/>
              <w:right w:val="single" w:sz="8" w:space="0" w:color="BFBFBF"/>
            </w:tcBorders>
            <w:shd w:val="clear" w:color="000000" w:fill="0070C0"/>
            <w:vAlign w:val="center"/>
            <w:hideMark/>
          </w:tcPr>
          <w:p w14:paraId="46620C23" w14:textId="77777777" w:rsidR="00203FDC" w:rsidRPr="00203FDC" w:rsidRDefault="00203FDC" w:rsidP="00203FDC">
            <w:pPr>
              <w:bidi w:val="0"/>
              <w:rPr>
                <w:color w:val="000000"/>
                <w:sz w:val="20"/>
                <w:szCs w:val="20"/>
              </w:rPr>
            </w:pPr>
            <w:r w:rsidRPr="00203FDC">
              <w:rPr>
                <w:color w:val="000000"/>
                <w:sz w:val="20"/>
                <w:szCs w:val="20"/>
              </w:rPr>
              <w:t>Daily average ($ million)</w:t>
            </w:r>
          </w:p>
        </w:tc>
      </w:tr>
      <w:tr w:rsidR="00203FDC" w:rsidRPr="00203FDC" w14:paraId="38CE76CE" w14:textId="77777777" w:rsidTr="00203FDC">
        <w:trPr>
          <w:trHeight w:val="1035"/>
        </w:trPr>
        <w:tc>
          <w:tcPr>
            <w:tcW w:w="1520" w:type="dxa"/>
            <w:vMerge w:val="restart"/>
            <w:tcBorders>
              <w:top w:val="single" w:sz="4" w:space="0" w:color="auto"/>
              <w:left w:val="single" w:sz="4" w:space="0" w:color="auto"/>
              <w:bottom w:val="single" w:sz="8" w:space="0" w:color="000000"/>
              <w:right w:val="single" w:sz="8" w:space="0" w:color="BFBFBF"/>
            </w:tcBorders>
            <w:shd w:val="clear" w:color="000000" w:fill="DCE6F1"/>
            <w:vAlign w:val="center"/>
            <w:hideMark/>
          </w:tcPr>
          <w:p w14:paraId="39B7A1C9" w14:textId="77777777" w:rsidR="00203FDC" w:rsidRPr="00203FDC" w:rsidRDefault="00203FDC" w:rsidP="00203FDC">
            <w:pPr>
              <w:bidi w:val="0"/>
              <w:rPr>
                <w:color w:val="000000"/>
                <w:sz w:val="20"/>
                <w:szCs w:val="20"/>
              </w:rPr>
            </w:pPr>
            <w:r w:rsidRPr="00203FDC">
              <w:rPr>
                <w:color w:val="000000"/>
                <w:sz w:val="20"/>
                <w:szCs w:val="20"/>
              </w:rPr>
              <w:t>2025-Q2</w:t>
            </w:r>
            <w:r w:rsidRPr="00203FDC">
              <w:rPr>
                <w:color w:val="000000"/>
                <w:sz w:val="20"/>
                <w:szCs w:val="20"/>
              </w:rPr>
              <w:br/>
              <w:t>(Tentative figure)</w:t>
            </w:r>
          </w:p>
        </w:tc>
        <w:tc>
          <w:tcPr>
            <w:tcW w:w="1520" w:type="dxa"/>
            <w:tcBorders>
              <w:top w:val="single" w:sz="4" w:space="0" w:color="auto"/>
              <w:left w:val="nil"/>
              <w:bottom w:val="single" w:sz="8" w:space="0" w:color="BFBFBF"/>
              <w:right w:val="single" w:sz="8" w:space="0" w:color="BFBFBF"/>
            </w:tcBorders>
            <w:shd w:val="clear" w:color="000000" w:fill="DCE6F1"/>
            <w:vAlign w:val="center"/>
            <w:hideMark/>
          </w:tcPr>
          <w:p w14:paraId="54C66C31" w14:textId="77777777" w:rsidR="00203FDC" w:rsidRPr="00203FDC" w:rsidRDefault="00203FDC" w:rsidP="00203FDC">
            <w:pPr>
              <w:bidi w:val="0"/>
              <w:rPr>
                <w:color w:val="000000"/>
                <w:sz w:val="20"/>
                <w:szCs w:val="20"/>
              </w:rPr>
            </w:pPr>
            <w:r w:rsidRPr="00203FDC">
              <w:rPr>
                <w:color w:val="000000"/>
                <w:sz w:val="20"/>
                <w:szCs w:val="20"/>
              </w:rPr>
              <w:t>Trading volume in spot and forward transactions</w:t>
            </w:r>
          </w:p>
        </w:tc>
        <w:tc>
          <w:tcPr>
            <w:tcW w:w="1520" w:type="dxa"/>
            <w:tcBorders>
              <w:top w:val="nil"/>
              <w:left w:val="single" w:sz="8" w:space="0" w:color="9CC2E5"/>
              <w:bottom w:val="single" w:sz="8" w:space="0" w:color="4F81BD"/>
              <w:right w:val="nil"/>
            </w:tcBorders>
            <w:shd w:val="clear" w:color="000000" w:fill="DEEAF6"/>
            <w:vAlign w:val="center"/>
            <w:hideMark/>
          </w:tcPr>
          <w:p w14:paraId="5B317B47" w14:textId="77777777" w:rsidR="00203FDC" w:rsidRPr="00203FDC" w:rsidRDefault="00203FDC" w:rsidP="00203FDC">
            <w:pPr>
              <w:jc w:val="center"/>
              <w:rPr>
                <w:rFonts w:ascii="David" w:hAnsi="David" w:cs="David"/>
                <w:sz w:val="22"/>
                <w:szCs w:val="22"/>
              </w:rPr>
            </w:pPr>
            <w:r w:rsidRPr="00203FDC">
              <w:rPr>
                <w:rFonts w:ascii="David" w:hAnsi="David" w:cs="David"/>
                <w:sz w:val="22"/>
                <w:szCs w:val="22"/>
                <w:rtl/>
              </w:rPr>
              <w:t>77.1%</w:t>
            </w:r>
          </w:p>
        </w:tc>
        <w:tc>
          <w:tcPr>
            <w:tcW w:w="1520" w:type="dxa"/>
            <w:tcBorders>
              <w:top w:val="nil"/>
              <w:left w:val="single" w:sz="8" w:space="0" w:color="9CC2E5"/>
              <w:bottom w:val="single" w:sz="8" w:space="0" w:color="4F81BD"/>
              <w:right w:val="nil"/>
            </w:tcBorders>
            <w:shd w:val="clear" w:color="000000" w:fill="DEEAF6"/>
            <w:vAlign w:val="center"/>
            <w:hideMark/>
          </w:tcPr>
          <w:p w14:paraId="145326B7"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9.0%</w:t>
            </w:r>
          </w:p>
        </w:tc>
        <w:tc>
          <w:tcPr>
            <w:tcW w:w="1520" w:type="dxa"/>
            <w:tcBorders>
              <w:top w:val="nil"/>
              <w:left w:val="single" w:sz="8" w:space="0" w:color="9CC2E5"/>
              <w:bottom w:val="single" w:sz="8" w:space="0" w:color="4F81BD"/>
              <w:right w:val="nil"/>
            </w:tcBorders>
            <w:shd w:val="clear" w:color="000000" w:fill="DEEAF6"/>
            <w:vAlign w:val="center"/>
            <w:hideMark/>
          </w:tcPr>
          <w:p w14:paraId="5500FEBD"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13.9%</w:t>
            </w:r>
          </w:p>
        </w:tc>
        <w:tc>
          <w:tcPr>
            <w:tcW w:w="1520" w:type="dxa"/>
            <w:tcBorders>
              <w:top w:val="nil"/>
              <w:left w:val="single" w:sz="8" w:space="0" w:color="9CC2E5"/>
              <w:bottom w:val="single" w:sz="8" w:space="0" w:color="4F81BD"/>
              <w:right w:val="nil"/>
            </w:tcBorders>
            <w:shd w:val="clear" w:color="000000" w:fill="DEEAF6"/>
            <w:vAlign w:val="center"/>
            <w:hideMark/>
          </w:tcPr>
          <w:p w14:paraId="223984B5"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568,113</w:t>
            </w:r>
          </w:p>
        </w:tc>
        <w:tc>
          <w:tcPr>
            <w:tcW w:w="1520" w:type="dxa"/>
            <w:tcBorders>
              <w:top w:val="nil"/>
              <w:left w:val="single" w:sz="8" w:space="0" w:color="9CC2E5"/>
              <w:bottom w:val="single" w:sz="8" w:space="0" w:color="4F81BD"/>
              <w:right w:val="nil"/>
            </w:tcBorders>
            <w:shd w:val="clear" w:color="000000" w:fill="DEEAF6"/>
            <w:vAlign w:val="center"/>
            <w:hideMark/>
          </w:tcPr>
          <w:p w14:paraId="13A4EAC0"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9,313</w:t>
            </w:r>
          </w:p>
        </w:tc>
      </w:tr>
      <w:tr w:rsidR="00203FDC" w:rsidRPr="00203FDC" w14:paraId="21580A0B" w14:textId="77777777" w:rsidTr="00203FDC">
        <w:trPr>
          <w:trHeight w:val="1035"/>
        </w:trPr>
        <w:tc>
          <w:tcPr>
            <w:tcW w:w="1520" w:type="dxa"/>
            <w:vMerge/>
            <w:tcBorders>
              <w:top w:val="single" w:sz="4" w:space="0" w:color="auto"/>
              <w:left w:val="single" w:sz="4" w:space="0" w:color="auto"/>
              <w:bottom w:val="single" w:sz="8" w:space="0" w:color="000000"/>
              <w:right w:val="single" w:sz="8" w:space="0" w:color="BFBFBF"/>
            </w:tcBorders>
            <w:vAlign w:val="center"/>
            <w:hideMark/>
          </w:tcPr>
          <w:p w14:paraId="63B0995F" w14:textId="77777777" w:rsidR="00203FDC" w:rsidRPr="00203FDC" w:rsidRDefault="00203FDC" w:rsidP="00203FDC">
            <w:pPr>
              <w:bidi w:val="0"/>
              <w:rPr>
                <w:color w:val="000000"/>
                <w:sz w:val="20"/>
                <w:szCs w:val="20"/>
              </w:rPr>
            </w:pPr>
          </w:p>
        </w:tc>
        <w:tc>
          <w:tcPr>
            <w:tcW w:w="1520" w:type="dxa"/>
            <w:tcBorders>
              <w:top w:val="nil"/>
              <w:left w:val="nil"/>
              <w:bottom w:val="single" w:sz="8" w:space="0" w:color="auto"/>
              <w:right w:val="single" w:sz="8" w:space="0" w:color="BFBFBF"/>
            </w:tcBorders>
            <w:shd w:val="clear" w:color="000000" w:fill="DCE6F1"/>
            <w:vAlign w:val="center"/>
            <w:hideMark/>
          </w:tcPr>
          <w:p w14:paraId="08F8B7DE" w14:textId="77777777" w:rsidR="00203FDC" w:rsidRPr="00203FDC" w:rsidRDefault="00203FDC" w:rsidP="00203FDC">
            <w:pPr>
              <w:bidi w:val="0"/>
              <w:rPr>
                <w:color w:val="000000"/>
                <w:sz w:val="20"/>
                <w:szCs w:val="20"/>
                <w:rtl/>
              </w:rPr>
            </w:pPr>
            <w:r w:rsidRPr="00203FDC">
              <w:rPr>
                <w:color w:val="000000"/>
                <w:sz w:val="20"/>
                <w:szCs w:val="20"/>
              </w:rPr>
              <w:t>Trading volume in swap and options transactions</w:t>
            </w:r>
          </w:p>
        </w:tc>
        <w:tc>
          <w:tcPr>
            <w:tcW w:w="1520" w:type="dxa"/>
            <w:tcBorders>
              <w:top w:val="nil"/>
              <w:left w:val="single" w:sz="8" w:space="0" w:color="9CC2E5"/>
              <w:bottom w:val="single" w:sz="12" w:space="0" w:color="auto"/>
              <w:right w:val="nil"/>
            </w:tcBorders>
            <w:shd w:val="clear" w:color="000000" w:fill="DEEAF6"/>
            <w:vAlign w:val="center"/>
            <w:hideMark/>
          </w:tcPr>
          <w:p w14:paraId="48B277C5" w14:textId="77777777" w:rsidR="00203FDC" w:rsidRPr="00203FDC" w:rsidRDefault="00203FDC" w:rsidP="00203FDC">
            <w:pPr>
              <w:jc w:val="center"/>
              <w:rPr>
                <w:rFonts w:ascii="David" w:hAnsi="David" w:cs="David"/>
                <w:sz w:val="22"/>
                <w:szCs w:val="22"/>
              </w:rPr>
            </w:pPr>
            <w:r w:rsidRPr="00203FDC">
              <w:rPr>
                <w:rFonts w:ascii="David" w:hAnsi="David" w:cs="David"/>
                <w:sz w:val="22"/>
                <w:szCs w:val="22"/>
                <w:rtl/>
              </w:rPr>
              <w:t>49.4%</w:t>
            </w:r>
          </w:p>
        </w:tc>
        <w:tc>
          <w:tcPr>
            <w:tcW w:w="1520" w:type="dxa"/>
            <w:tcBorders>
              <w:top w:val="nil"/>
              <w:left w:val="single" w:sz="8" w:space="0" w:color="9CC2E5"/>
              <w:bottom w:val="single" w:sz="12" w:space="0" w:color="auto"/>
              <w:right w:val="nil"/>
            </w:tcBorders>
            <w:shd w:val="clear" w:color="000000" w:fill="DEEAF6"/>
            <w:vAlign w:val="center"/>
            <w:hideMark/>
          </w:tcPr>
          <w:p w14:paraId="01A99C48"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24.0%</w:t>
            </w:r>
          </w:p>
        </w:tc>
        <w:tc>
          <w:tcPr>
            <w:tcW w:w="1520" w:type="dxa"/>
            <w:tcBorders>
              <w:top w:val="nil"/>
              <w:left w:val="single" w:sz="8" w:space="0" w:color="9CC2E5"/>
              <w:bottom w:val="single" w:sz="12" w:space="0" w:color="auto"/>
              <w:right w:val="nil"/>
            </w:tcBorders>
            <w:shd w:val="clear" w:color="000000" w:fill="DEEAF6"/>
            <w:vAlign w:val="center"/>
            <w:hideMark/>
          </w:tcPr>
          <w:p w14:paraId="62DD3638"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26.6%</w:t>
            </w:r>
          </w:p>
        </w:tc>
        <w:tc>
          <w:tcPr>
            <w:tcW w:w="1520" w:type="dxa"/>
            <w:tcBorders>
              <w:top w:val="nil"/>
              <w:left w:val="single" w:sz="8" w:space="0" w:color="9CC2E5"/>
              <w:bottom w:val="single" w:sz="12" w:space="0" w:color="auto"/>
              <w:right w:val="nil"/>
            </w:tcBorders>
            <w:shd w:val="clear" w:color="000000" w:fill="DEEAF6"/>
            <w:vAlign w:val="center"/>
            <w:hideMark/>
          </w:tcPr>
          <w:p w14:paraId="5B75E7CC"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902,726</w:t>
            </w:r>
          </w:p>
        </w:tc>
        <w:tc>
          <w:tcPr>
            <w:tcW w:w="1520" w:type="dxa"/>
            <w:tcBorders>
              <w:top w:val="nil"/>
              <w:left w:val="single" w:sz="8" w:space="0" w:color="9CC2E5"/>
              <w:bottom w:val="single" w:sz="12" w:space="0" w:color="auto"/>
              <w:right w:val="nil"/>
            </w:tcBorders>
            <w:shd w:val="clear" w:color="000000" w:fill="DEEAF6"/>
            <w:vAlign w:val="center"/>
            <w:hideMark/>
          </w:tcPr>
          <w:p w14:paraId="554A602A"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14,799</w:t>
            </w:r>
          </w:p>
        </w:tc>
      </w:tr>
      <w:tr w:rsidR="00203FDC" w:rsidRPr="00203FDC" w14:paraId="44CB872D" w14:textId="77777777" w:rsidTr="00203FDC">
        <w:trPr>
          <w:trHeight w:val="1035"/>
        </w:trPr>
        <w:tc>
          <w:tcPr>
            <w:tcW w:w="1520" w:type="dxa"/>
            <w:vMerge w:val="restart"/>
            <w:tcBorders>
              <w:top w:val="single" w:sz="4" w:space="0" w:color="auto"/>
              <w:left w:val="single" w:sz="4" w:space="0" w:color="auto"/>
              <w:bottom w:val="single" w:sz="8" w:space="0" w:color="000000"/>
              <w:right w:val="single" w:sz="8" w:space="0" w:color="BFBFBF"/>
            </w:tcBorders>
            <w:shd w:val="clear" w:color="000000" w:fill="DCE6F1"/>
            <w:vAlign w:val="center"/>
            <w:hideMark/>
          </w:tcPr>
          <w:p w14:paraId="49861938" w14:textId="77777777" w:rsidR="00203FDC" w:rsidRPr="00203FDC" w:rsidRDefault="00203FDC" w:rsidP="00203FDC">
            <w:pPr>
              <w:bidi w:val="0"/>
              <w:spacing w:after="240"/>
              <w:rPr>
                <w:color w:val="000000"/>
                <w:sz w:val="20"/>
                <w:szCs w:val="20"/>
                <w:rtl/>
              </w:rPr>
            </w:pPr>
            <w:r w:rsidRPr="00203FDC">
              <w:rPr>
                <w:color w:val="000000"/>
                <w:sz w:val="20"/>
                <w:szCs w:val="20"/>
              </w:rPr>
              <w:t>2025-Q1</w:t>
            </w:r>
          </w:p>
        </w:tc>
        <w:tc>
          <w:tcPr>
            <w:tcW w:w="1520" w:type="dxa"/>
            <w:tcBorders>
              <w:top w:val="nil"/>
              <w:left w:val="nil"/>
              <w:bottom w:val="single" w:sz="8" w:space="0" w:color="BFBFBF"/>
              <w:right w:val="single" w:sz="8" w:space="0" w:color="BFBFBF"/>
            </w:tcBorders>
            <w:shd w:val="clear" w:color="000000" w:fill="DCE6F1"/>
            <w:vAlign w:val="center"/>
            <w:hideMark/>
          </w:tcPr>
          <w:p w14:paraId="38824F4A" w14:textId="77777777" w:rsidR="00203FDC" w:rsidRPr="00203FDC" w:rsidRDefault="00203FDC" w:rsidP="00203FDC">
            <w:pPr>
              <w:bidi w:val="0"/>
              <w:rPr>
                <w:color w:val="000000"/>
                <w:sz w:val="20"/>
                <w:szCs w:val="20"/>
              </w:rPr>
            </w:pPr>
            <w:r w:rsidRPr="00203FDC">
              <w:rPr>
                <w:color w:val="000000"/>
                <w:sz w:val="20"/>
                <w:szCs w:val="20"/>
              </w:rPr>
              <w:t>Trading volume in spot and forward transactions</w:t>
            </w:r>
          </w:p>
        </w:tc>
        <w:tc>
          <w:tcPr>
            <w:tcW w:w="1520" w:type="dxa"/>
            <w:tcBorders>
              <w:top w:val="nil"/>
              <w:left w:val="single" w:sz="8" w:space="0" w:color="9CC2E5"/>
              <w:bottom w:val="single" w:sz="8" w:space="0" w:color="4F81BD"/>
              <w:right w:val="nil"/>
            </w:tcBorders>
            <w:shd w:val="clear" w:color="000000" w:fill="DEEAF6"/>
            <w:vAlign w:val="center"/>
            <w:hideMark/>
          </w:tcPr>
          <w:p w14:paraId="7A288A78" w14:textId="77777777" w:rsidR="00203FDC" w:rsidRPr="00203FDC" w:rsidRDefault="00203FDC" w:rsidP="00203FDC">
            <w:pPr>
              <w:jc w:val="center"/>
              <w:rPr>
                <w:rFonts w:ascii="David" w:hAnsi="David" w:cs="David"/>
                <w:sz w:val="22"/>
                <w:szCs w:val="22"/>
              </w:rPr>
            </w:pPr>
            <w:r w:rsidRPr="00203FDC">
              <w:rPr>
                <w:rFonts w:ascii="David" w:hAnsi="David" w:cs="David"/>
                <w:sz w:val="22"/>
                <w:szCs w:val="22"/>
                <w:rtl/>
              </w:rPr>
              <w:t>77.0%</w:t>
            </w:r>
          </w:p>
        </w:tc>
        <w:tc>
          <w:tcPr>
            <w:tcW w:w="1520" w:type="dxa"/>
            <w:tcBorders>
              <w:top w:val="nil"/>
              <w:left w:val="single" w:sz="8" w:space="0" w:color="9CC2E5"/>
              <w:bottom w:val="single" w:sz="8" w:space="0" w:color="4F81BD"/>
              <w:right w:val="nil"/>
            </w:tcBorders>
            <w:shd w:val="clear" w:color="000000" w:fill="DEEAF6"/>
            <w:vAlign w:val="center"/>
            <w:hideMark/>
          </w:tcPr>
          <w:p w14:paraId="00550D77"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9.0%</w:t>
            </w:r>
          </w:p>
        </w:tc>
        <w:tc>
          <w:tcPr>
            <w:tcW w:w="1520" w:type="dxa"/>
            <w:tcBorders>
              <w:top w:val="nil"/>
              <w:left w:val="single" w:sz="8" w:space="0" w:color="9CC2E5"/>
              <w:bottom w:val="single" w:sz="8" w:space="0" w:color="4F81BD"/>
              <w:right w:val="nil"/>
            </w:tcBorders>
            <w:shd w:val="clear" w:color="000000" w:fill="DEEAF6"/>
            <w:vAlign w:val="center"/>
            <w:hideMark/>
          </w:tcPr>
          <w:p w14:paraId="59F2490C"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14.0%</w:t>
            </w:r>
          </w:p>
        </w:tc>
        <w:tc>
          <w:tcPr>
            <w:tcW w:w="1520" w:type="dxa"/>
            <w:tcBorders>
              <w:top w:val="nil"/>
              <w:left w:val="single" w:sz="8" w:space="0" w:color="9CC2E5"/>
              <w:bottom w:val="single" w:sz="8" w:space="0" w:color="4F81BD"/>
              <w:right w:val="nil"/>
            </w:tcBorders>
            <w:shd w:val="clear" w:color="000000" w:fill="DEEAF6"/>
            <w:vAlign w:val="center"/>
            <w:hideMark/>
          </w:tcPr>
          <w:p w14:paraId="3EE941C1"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1,011,645</w:t>
            </w:r>
          </w:p>
        </w:tc>
        <w:tc>
          <w:tcPr>
            <w:tcW w:w="1520" w:type="dxa"/>
            <w:tcBorders>
              <w:top w:val="nil"/>
              <w:left w:val="single" w:sz="8" w:space="0" w:color="9CC2E5"/>
              <w:bottom w:val="single" w:sz="8" w:space="0" w:color="4F81BD"/>
              <w:right w:val="nil"/>
            </w:tcBorders>
            <w:shd w:val="clear" w:color="000000" w:fill="DEEAF6"/>
            <w:vAlign w:val="center"/>
            <w:hideMark/>
          </w:tcPr>
          <w:p w14:paraId="158C5CA9"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16,317</w:t>
            </w:r>
          </w:p>
        </w:tc>
      </w:tr>
      <w:tr w:rsidR="00203FDC" w:rsidRPr="00203FDC" w14:paraId="15C86DE3" w14:textId="77777777" w:rsidTr="00203FDC">
        <w:trPr>
          <w:trHeight w:val="765"/>
        </w:trPr>
        <w:tc>
          <w:tcPr>
            <w:tcW w:w="1520" w:type="dxa"/>
            <w:vMerge/>
            <w:tcBorders>
              <w:top w:val="single" w:sz="4" w:space="0" w:color="auto"/>
              <w:left w:val="single" w:sz="4" w:space="0" w:color="auto"/>
              <w:bottom w:val="single" w:sz="8" w:space="0" w:color="000000"/>
              <w:right w:val="single" w:sz="8" w:space="0" w:color="BFBFBF"/>
            </w:tcBorders>
            <w:vAlign w:val="center"/>
            <w:hideMark/>
          </w:tcPr>
          <w:p w14:paraId="4F0DA3A3" w14:textId="77777777" w:rsidR="00203FDC" w:rsidRPr="00203FDC" w:rsidRDefault="00203FDC" w:rsidP="00203FDC">
            <w:pPr>
              <w:bidi w:val="0"/>
              <w:rPr>
                <w:color w:val="000000"/>
                <w:sz w:val="20"/>
                <w:szCs w:val="20"/>
              </w:rPr>
            </w:pPr>
          </w:p>
        </w:tc>
        <w:tc>
          <w:tcPr>
            <w:tcW w:w="1520" w:type="dxa"/>
            <w:tcBorders>
              <w:top w:val="nil"/>
              <w:left w:val="nil"/>
              <w:bottom w:val="single" w:sz="4" w:space="0" w:color="auto"/>
              <w:right w:val="single" w:sz="8" w:space="0" w:color="BFBFBF"/>
            </w:tcBorders>
            <w:shd w:val="clear" w:color="000000" w:fill="DCE6F1"/>
            <w:vAlign w:val="center"/>
            <w:hideMark/>
          </w:tcPr>
          <w:p w14:paraId="594B7955" w14:textId="77777777" w:rsidR="00203FDC" w:rsidRPr="00203FDC" w:rsidRDefault="00203FDC" w:rsidP="00203FDC">
            <w:pPr>
              <w:bidi w:val="0"/>
              <w:rPr>
                <w:color w:val="000000"/>
                <w:sz w:val="20"/>
                <w:szCs w:val="20"/>
                <w:rtl/>
              </w:rPr>
            </w:pPr>
            <w:r w:rsidRPr="00203FDC">
              <w:rPr>
                <w:color w:val="000000"/>
                <w:sz w:val="20"/>
                <w:szCs w:val="20"/>
              </w:rPr>
              <w:t>Trading volume in swap and options transactions</w:t>
            </w:r>
          </w:p>
        </w:tc>
        <w:tc>
          <w:tcPr>
            <w:tcW w:w="1520" w:type="dxa"/>
            <w:tcBorders>
              <w:top w:val="nil"/>
              <w:left w:val="single" w:sz="8" w:space="0" w:color="9CC2E5"/>
              <w:bottom w:val="nil"/>
              <w:right w:val="nil"/>
            </w:tcBorders>
            <w:shd w:val="clear" w:color="000000" w:fill="DEEAF6"/>
            <w:vAlign w:val="center"/>
            <w:hideMark/>
          </w:tcPr>
          <w:p w14:paraId="3F7A98E8" w14:textId="77777777" w:rsidR="00203FDC" w:rsidRPr="00203FDC" w:rsidRDefault="00203FDC" w:rsidP="00203FDC">
            <w:pPr>
              <w:jc w:val="center"/>
              <w:rPr>
                <w:rFonts w:ascii="David" w:hAnsi="David" w:cs="David"/>
                <w:sz w:val="22"/>
                <w:szCs w:val="22"/>
              </w:rPr>
            </w:pPr>
            <w:r w:rsidRPr="00203FDC">
              <w:rPr>
                <w:rFonts w:ascii="David" w:hAnsi="David" w:cs="David"/>
                <w:sz w:val="22"/>
                <w:szCs w:val="22"/>
                <w:rtl/>
              </w:rPr>
              <w:t>52.3%</w:t>
            </w:r>
          </w:p>
        </w:tc>
        <w:tc>
          <w:tcPr>
            <w:tcW w:w="1520" w:type="dxa"/>
            <w:tcBorders>
              <w:top w:val="nil"/>
              <w:left w:val="single" w:sz="8" w:space="0" w:color="9CC2E5"/>
              <w:bottom w:val="nil"/>
              <w:right w:val="nil"/>
            </w:tcBorders>
            <w:shd w:val="clear" w:color="000000" w:fill="DEEAF6"/>
            <w:vAlign w:val="center"/>
            <w:hideMark/>
          </w:tcPr>
          <w:p w14:paraId="5D48CCC1"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21.4%</w:t>
            </w:r>
          </w:p>
        </w:tc>
        <w:tc>
          <w:tcPr>
            <w:tcW w:w="1520" w:type="dxa"/>
            <w:tcBorders>
              <w:top w:val="nil"/>
              <w:left w:val="single" w:sz="8" w:space="0" w:color="9CC2E5"/>
              <w:bottom w:val="nil"/>
              <w:right w:val="nil"/>
            </w:tcBorders>
            <w:shd w:val="clear" w:color="000000" w:fill="DEEAF6"/>
            <w:vAlign w:val="center"/>
            <w:hideMark/>
          </w:tcPr>
          <w:p w14:paraId="4CE3E519"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26.3%</w:t>
            </w:r>
          </w:p>
        </w:tc>
        <w:tc>
          <w:tcPr>
            <w:tcW w:w="1520" w:type="dxa"/>
            <w:tcBorders>
              <w:top w:val="nil"/>
              <w:left w:val="single" w:sz="8" w:space="0" w:color="9CC2E5"/>
              <w:bottom w:val="nil"/>
              <w:right w:val="nil"/>
            </w:tcBorders>
            <w:shd w:val="clear" w:color="000000" w:fill="DEEAF6"/>
            <w:vAlign w:val="center"/>
            <w:hideMark/>
          </w:tcPr>
          <w:p w14:paraId="5DD8D9E1"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1,375,130</w:t>
            </w:r>
          </w:p>
        </w:tc>
        <w:tc>
          <w:tcPr>
            <w:tcW w:w="1520" w:type="dxa"/>
            <w:tcBorders>
              <w:top w:val="nil"/>
              <w:left w:val="single" w:sz="8" w:space="0" w:color="9CC2E5"/>
              <w:bottom w:val="nil"/>
              <w:right w:val="nil"/>
            </w:tcBorders>
            <w:shd w:val="clear" w:color="000000" w:fill="DEEAF6"/>
            <w:vAlign w:val="center"/>
            <w:hideMark/>
          </w:tcPr>
          <w:p w14:paraId="632B78DC" w14:textId="77777777" w:rsidR="00203FDC" w:rsidRPr="00203FDC" w:rsidRDefault="00203FDC" w:rsidP="00203FDC">
            <w:pPr>
              <w:jc w:val="center"/>
              <w:rPr>
                <w:rFonts w:ascii="David" w:hAnsi="David" w:cs="David"/>
                <w:sz w:val="22"/>
                <w:szCs w:val="22"/>
                <w:rtl/>
              </w:rPr>
            </w:pPr>
            <w:r w:rsidRPr="00203FDC">
              <w:rPr>
                <w:rFonts w:ascii="David" w:hAnsi="David" w:cs="David"/>
                <w:sz w:val="22"/>
                <w:szCs w:val="22"/>
                <w:rtl/>
              </w:rPr>
              <w:t>22,180</w:t>
            </w:r>
          </w:p>
        </w:tc>
      </w:tr>
      <w:tr w:rsidR="00203FDC" w:rsidRPr="00203FDC" w14:paraId="4EE24DF7" w14:textId="77777777" w:rsidTr="00203FDC">
        <w:trPr>
          <w:trHeight w:val="990"/>
        </w:trPr>
        <w:tc>
          <w:tcPr>
            <w:tcW w:w="10640" w:type="dxa"/>
            <w:gridSpan w:val="7"/>
            <w:tcBorders>
              <w:top w:val="single" w:sz="4" w:space="0" w:color="auto"/>
              <w:left w:val="nil"/>
              <w:bottom w:val="nil"/>
              <w:right w:val="nil"/>
            </w:tcBorders>
            <w:shd w:val="clear" w:color="000000" w:fill="FFFFFF"/>
            <w:vAlign w:val="bottom"/>
            <w:hideMark/>
          </w:tcPr>
          <w:p w14:paraId="452C4866" w14:textId="77777777" w:rsidR="00203FDC" w:rsidRPr="00203FDC" w:rsidRDefault="00203FDC" w:rsidP="00203FDC">
            <w:pPr>
              <w:bidi w:val="0"/>
              <w:rPr>
                <w:color w:val="000000"/>
                <w:sz w:val="20"/>
                <w:szCs w:val="20"/>
                <w:rtl/>
              </w:rPr>
            </w:pPr>
            <w:r w:rsidRPr="00203FDC">
              <w:rPr>
                <w:color w:val="000000"/>
                <w:sz w:val="20"/>
                <w:szCs w:val="20"/>
                <w:vertAlign w:val="superscript"/>
              </w:rPr>
              <w:t>1</w:t>
            </w:r>
            <w:r w:rsidRPr="00203FDC">
              <w:rPr>
                <w:color w:val="000000"/>
                <w:sz w:val="20"/>
                <w:szCs w:val="20"/>
              </w:rPr>
              <w:t xml:space="preserve"> Trade between a nonresident and a resident includes: (a) reports by foreign reporting entities regarding transactions with residents; and (b) reports by domestic banks regarding transactions with nonresidents.</w:t>
            </w:r>
          </w:p>
        </w:tc>
      </w:tr>
    </w:tbl>
    <w:p w14:paraId="792414DE" w14:textId="0EB82954" w:rsidR="00D80DD5" w:rsidRDefault="00D80DD5" w:rsidP="00451EEC">
      <w:pPr>
        <w:bidi w:val="0"/>
      </w:pPr>
    </w:p>
    <w:sectPr w:rsidR="00D80DD5" w:rsidSect="005D39B6">
      <w:footerReference w:type="default" r:id="rId16"/>
      <w:pgSz w:w="11906" w:h="16838"/>
      <w:pgMar w:top="1135" w:right="1416" w:bottom="1135" w:left="1276" w:header="397"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0093" w14:textId="77777777" w:rsidR="000138F5" w:rsidRDefault="000138F5" w:rsidP="00E64B36">
      <w:r>
        <w:separator/>
      </w:r>
    </w:p>
  </w:endnote>
  <w:endnote w:type="continuationSeparator" w:id="0">
    <w:p w14:paraId="5C7B6400" w14:textId="77777777" w:rsidR="000138F5" w:rsidRDefault="000138F5"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348819"/>
      <w:docPartObj>
        <w:docPartGallery w:val="Page Numbers (Bottom of Page)"/>
        <w:docPartUnique/>
      </w:docPartObj>
    </w:sdtPr>
    <w:sdtEndPr>
      <w:rPr>
        <w:cs/>
      </w:rPr>
    </w:sdtEndPr>
    <w:sdtContent>
      <w:sdt>
        <w:sdtPr>
          <w:id w:val="-2137554086"/>
          <w:docPartObj>
            <w:docPartGallery w:val="Page Numbers (Top of Page)"/>
            <w:docPartUnique/>
          </w:docPartObj>
        </w:sdtPr>
        <w:sdtEndPr/>
        <w:sdtContent>
          <w:p w14:paraId="3EC27B23" w14:textId="4CE0109C" w:rsidR="006D5EA0" w:rsidRPr="00540991" w:rsidRDefault="006D5EA0" w:rsidP="00AE7F22">
            <w:pPr>
              <w:pStyle w:val="a6"/>
              <w:bidi w:val="0"/>
              <w:rPr>
                <w:rtl/>
                <w:cs/>
              </w:rPr>
            </w:pPr>
            <w:r w:rsidRPr="00540991">
              <w:t>Bank of Israel - Israe</w:t>
            </w:r>
            <w:r>
              <w:t xml:space="preserve">l’s foreign currency market in </w:t>
            </w:r>
            <w:r w:rsidR="008D11D4">
              <w:t>the</w:t>
            </w:r>
            <w:r w:rsidR="00E61393">
              <w:t xml:space="preserve"> </w:t>
            </w:r>
            <w:r w:rsidR="00104A7D">
              <w:t>second</w:t>
            </w:r>
            <w:r w:rsidR="00A3533A">
              <w:t xml:space="preserve"> quarter</w:t>
            </w:r>
            <w:r>
              <w:t xml:space="preserve"> </w:t>
            </w:r>
            <w:r w:rsidR="008D11D4">
              <w:t xml:space="preserve">of </w:t>
            </w:r>
            <w:r w:rsidR="00353385">
              <w:t>2025</w:t>
            </w:r>
            <w:r w:rsidR="005D39B6">
              <w:t xml:space="preserve">     </w:t>
            </w:r>
            <w:r w:rsidRPr="00540991">
              <w:t>Page</w:t>
            </w:r>
            <w:r w:rsidR="00FD07FC">
              <w:t xml:space="preserve"> </w:t>
            </w:r>
            <w:r w:rsidRPr="00540991">
              <w:rPr>
                <w:b/>
                <w:bCs/>
              </w:rPr>
              <w:fldChar w:fldCharType="begin"/>
            </w:r>
            <w:r w:rsidRPr="00540991">
              <w:rPr>
                <w:b/>
                <w:bCs/>
                <w:rtl/>
                <w:cs/>
              </w:rPr>
              <w:instrText>PAGE</w:instrText>
            </w:r>
            <w:r w:rsidRPr="00540991">
              <w:rPr>
                <w:b/>
                <w:bCs/>
              </w:rPr>
              <w:fldChar w:fldCharType="separate"/>
            </w:r>
            <w:r w:rsidR="009C1BA4">
              <w:rPr>
                <w:b/>
                <w:bCs/>
                <w:noProof/>
              </w:rPr>
              <w:t>6</w:t>
            </w:r>
            <w:r w:rsidRPr="00540991">
              <w:rPr>
                <w:b/>
                <w:bCs/>
              </w:rPr>
              <w:fldChar w:fldCharType="end"/>
            </w:r>
            <w:r w:rsidR="00FD07FC">
              <w:rPr>
                <w:b/>
                <w:bCs/>
              </w:rPr>
              <w:t xml:space="preserve"> </w:t>
            </w:r>
            <w:r>
              <w:rPr>
                <w:rFonts w:hint="cs"/>
                <w:rtl/>
                <w:cs/>
                <w:lang w:val="he-IL"/>
              </w:rPr>
              <w:t>o</w:t>
            </w:r>
            <w:r w:rsidRPr="00540991">
              <w:t>f</w:t>
            </w:r>
            <w:r w:rsidR="00DC49A5">
              <w:t xml:space="preserve"> </w:t>
            </w:r>
            <w:r w:rsidRPr="00540991">
              <w:rPr>
                <w:b/>
                <w:bCs/>
              </w:rPr>
              <w:fldChar w:fldCharType="begin"/>
            </w:r>
            <w:r w:rsidRPr="00540991">
              <w:rPr>
                <w:b/>
                <w:bCs/>
                <w:rtl/>
                <w:cs/>
              </w:rPr>
              <w:instrText>NUMPAGES</w:instrText>
            </w:r>
            <w:r w:rsidRPr="00540991">
              <w:rPr>
                <w:b/>
                <w:bCs/>
              </w:rPr>
              <w:fldChar w:fldCharType="separate"/>
            </w:r>
            <w:r w:rsidR="009C1BA4">
              <w:rPr>
                <w:b/>
                <w:bCs/>
                <w:noProof/>
              </w:rPr>
              <w:t>6</w:t>
            </w:r>
            <w:r w:rsidRPr="00540991">
              <w:rPr>
                <w:b/>
                <w:bCs/>
              </w:rPr>
              <w:fldChar w:fldCharType="end"/>
            </w:r>
          </w:p>
        </w:sdtContent>
      </w:sdt>
    </w:sdtContent>
  </w:sdt>
  <w:p w14:paraId="6EFBFD90" w14:textId="77777777" w:rsidR="00A749E1" w:rsidRPr="00B96022" w:rsidRDefault="00A749E1" w:rsidP="00B96022">
    <w:pPr>
      <w:pStyle w:val="a6"/>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FD8D6" w14:textId="77777777" w:rsidR="000138F5" w:rsidRDefault="000138F5" w:rsidP="00E64B36">
      <w:r>
        <w:separator/>
      </w:r>
    </w:p>
  </w:footnote>
  <w:footnote w:type="continuationSeparator" w:id="0">
    <w:p w14:paraId="73E08161" w14:textId="77777777" w:rsidR="000138F5" w:rsidRDefault="000138F5" w:rsidP="00E64B36">
      <w:r>
        <w:continuationSeparator/>
      </w:r>
    </w:p>
  </w:footnote>
  <w:footnote w:id="1">
    <w:p w14:paraId="61C6D2D3" w14:textId="39B6C1B9" w:rsidR="00115E0C" w:rsidRDefault="00221362" w:rsidP="007E6563">
      <w:pPr>
        <w:pStyle w:val="ab"/>
        <w:spacing w:line="240" w:lineRule="auto"/>
      </w:pPr>
      <w:r>
        <w:rPr>
          <w:rStyle w:val="ad"/>
        </w:rPr>
        <w:footnoteRef/>
      </w:r>
      <w:r>
        <w:t xml:space="preserve"> </w:t>
      </w:r>
      <w:r w:rsidR="00D66B63">
        <w:t>For additional information on the segments’ activity in the foreign exchange market, see “</w:t>
      </w:r>
      <w:r w:rsidR="00E05AF2">
        <w:t>Statistical</w:t>
      </w:r>
      <w:r w:rsidR="00D66B63">
        <w:t xml:space="preserve"> Bulletin 2024—Chapter D</w:t>
      </w:r>
      <w:r w:rsidR="00A5203F">
        <w:t>”</w:t>
      </w:r>
      <w:r w:rsidR="007E6563">
        <w:t>.</w:t>
      </w:r>
      <w:r w:rsidR="00D66B63">
        <w:t xml:space="preserve"> </w:t>
      </w:r>
    </w:p>
    <w:p w14:paraId="3EBCEF1E" w14:textId="756BB041" w:rsidR="007E6563" w:rsidRDefault="009C1BA4" w:rsidP="007E6563">
      <w:pPr>
        <w:pStyle w:val="ab"/>
        <w:spacing w:line="240" w:lineRule="auto"/>
      </w:pPr>
      <w:hyperlink r:id="rId1" w:history="1">
        <w:r w:rsidR="007E6563" w:rsidRPr="00921877">
          <w:rPr>
            <w:rStyle w:val="Hyperlink"/>
          </w:rPr>
          <w:t>https://www.boi.org.il/en/communication-and-publications/regular-publications/statistical-publications/statistical-bulletin-2024/</w:t>
        </w:r>
      </w:hyperlink>
    </w:p>
  </w:footnote>
  <w:footnote w:id="2">
    <w:p w14:paraId="31FBF6F6" w14:textId="77777777" w:rsidR="007E6563" w:rsidRDefault="00115E0C" w:rsidP="00115E0C">
      <w:pPr>
        <w:pStyle w:val="ab"/>
        <w:spacing w:line="240" w:lineRule="auto"/>
      </w:pPr>
      <w:r>
        <w:rPr>
          <w:rStyle w:val="ad"/>
        </w:rPr>
        <w:footnoteRef/>
      </w:r>
      <w:r>
        <w:t xml:space="preserve"> The main segments presented do not make up the entire market—for additional information, see the section on “The Database of Foreign Exchange Market Activity” in the Bank of Israel's "Statistical Bulletin</w:t>
      </w:r>
      <w:r w:rsidRPr="002362CA">
        <w:t>" for 2024</w:t>
      </w:r>
      <w:r>
        <w:t xml:space="preserve"> </w:t>
      </w:r>
    </w:p>
    <w:p w14:paraId="197E4E84" w14:textId="33628B6D" w:rsidR="007E6563" w:rsidRDefault="009C1BA4" w:rsidP="007E6563">
      <w:pPr>
        <w:pStyle w:val="ab"/>
        <w:spacing w:line="240" w:lineRule="auto"/>
      </w:pPr>
      <w:hyperlink r:id="rId2" w:history="1">
        <w:r w:rsidR="007E6563" w:rsidRPr="00921877">
          <w:rPr>
            <w:rStyle w:val="Hyperlink"/>
          </w:rPr>
          <w:t>https://www.boi.org.il/en/communication-and-publications/regular-publications/statistical-publications/statistical-bulletin-2024/</w:t>
        </w:r>
      </w:hyperlink>
    </w:p>
    <w:p w14:paraId="0489493A" w14:textId="60016636" w:rsidR="00115E0C" w:rsidRDefault="00115E0C" w:rsidP="004F5159">
      <w:pPr>
        <w:pStyle w:val="ab"/>
        <w:spacing w:line="240" w:lineRule="auto"/>
      </w:pPr>
    </w:p>
  </w:footnote>
  <w:footnote w:id="3">
    <w:p w14:paraId="37580CC5" w14:textId="0B19EFB4" w:rsidR="0063362C" w:rsidRDefault="0063362C" w:rsidP="009D4E48">
      <w:pPr>
        <w:pStyle w:val="ab"/>
        <w:spacing w:line="240" w:lineRule="auto"/>
      </w:pPr>
      <w:r>
        <w:rPr>
          <w:rStyle w:val="ad"/>
        </w:rPr>
        <w:footnoteRef/>
      </w:r>
      <w:r>
        <w:t xml:space="preserve"> </w:t>
      </w:r>
      <w:r w:rsidR="009D4E48">
        <w:t>From the beginning of 2020, the data do not include branches of foreign banks in Israel.</w:t>
      </w:r>
    </w:p>
  </w:footnote>
  <w:footnote w:id="4">
    <w:p w14:paraId="1768723E" w14:textId="77777777" w:rsidR="00D80DD5" w:rsidRDefault="00D80DD5" w:rsidP="00D80DD5">
      <w:pPr>
        <w:pStyle w:val="ab"/>
        <w:spacing w:line="240" w:lineRule="auto"/>
      </w:pPr>
      <w:r>
        <w:rPr>
          <w:rStyle w:val="ad"/>
        </w:rPr>
        <w:footnoteRef/>
      </w:r>
      <w:r>
        <w:t xml:space="preserve"> Total trading volume is an estimate of total activity in transactions against the shekel, based on reports by the domestic banking system and by foreign reporting entities.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5AF"/>
    <w:rsid w:val="000063E5"/>
    <w:rsid w:val="00010600"/>
    <w:rsid w:val="000123AF"/>
    <w:rsid w:val="000133C4"/>
    <w:rsid w:val="0001385E"/>
    <w:rsid w:val="000138F5"/>
    <w:rsid w:val="0001413F"/>
    <w:rsid w:val="00020C20"/>
    <w:rsid w:val="000225C3"/>
    <w:rsid w:val="00024A52"/>
    <w:rsid w:val="0002528B"/>
    <w:rsid w:val="00031541"/>
    <w:rsid w:val="00034686"/>
    <w:rsid w:val="00035675"/>
    <w:rsid w:val="00042899"/>
    <w:rsid w:val="00051AE6"/>
    <w:rsid w:val="000526A0"/>
    <w:rsid w:val="00052DFD"/>
    <w:rsid w:val="0005726E"/>
    <w:rsid w:val="00061625"/>
    <w:rsid w:val="00064641"/>
    <w:rsid w:val="00065F2F"/>
    <w:rsid w:val="00074802"/>
    <w:rsid w:val="0008141D"/>
    <w:rsid w:val="00096380"/>
    <w:rsid w:val="000A2172"/>
    <w:rsid w:val="000A2D52"/>
    <w:rsid w:val="000A520E"/>
    <w:rsid w:val="000A65E5"/>
    <w:rsid w:val="000B66D6"/>
    <w:rsid w:val="000C0E73"/>
    <w:rsid w:val="000C1512"/>
    <w:rsid w:val="000C5557"/>
    <w:rsid w:val="000C57D0"/>
    <w:rsid w:val="000C5EF4"/>
    <w:rsid w:val="000C7A2A"/>
    <w:rsid w:val="000D22EB"/>
    <w:rsid w:val="000D26BE"/>
    <w:rsid w:val="000D4B4A"/>
    <w:rsid w:val="000E1A34"/>
    <w:rsid w:val="000E2845"/>
    <w:rsid w:val="000E38B5"/>
    <w:rsid w:val="000E5335"/>
    <w:rsid w:val="000E6E53"/>
    <w:rsid w:val="000F4369"/>
    <w:rsid w:val="000F5EA6"/>
    <w:rsid w:val="000F638D"/>
    <w:rsid w:val="001001A2"/>
    <w:rsid w:val="00101B55"/>
    <w:rsid w:val="00102E8F"/>
    <w:rsid w:val="001030DF"/>
    <w:rsid w:val="00104A7D"/>
    <w:rsid w:val="00112B2E"/>
    <w:rsid w:val="00115E0C"/>
    <w:rsid w:val="001204D4"/>
    <w:rsid w:val="001254A8"/>
    <w:rsid w:val="00130245"/>
    <w:rsid w:val="0013070F"/>
    <w:rsid w:val="001349B9"/>
    <w:rsid w:val="001428C4"/>
    <w:rsid w:val="00143F3A"/>
    <w:rsid w:val="001454F1"/>
    <w:rsid w:val="001459BD"/>
    <w:rsid w:val="00151140"/>
    <w:rsid w:val="0015175D"/>
    <w:rsid w:val="00153DE6"/>
    <w:rsid w:val="00154D08"/>
    <w:rsid w:val="00156288"/>
    <w:rsid w:val="00160B25"/>
    <w:rsid w:val="00165EE7"/>
    <w:rsid w:val="00170192"/>
    <w:rsid w:val="001707E0"/>
    <w:rsid w:val="00171B30"/>
    <w:rsid w:val="001721C7"/>
    <w:rsid w:val="00172B27"/>
    <w:rsid w:val="00176396"/>
    <w:rsid w:val="0017665B"/>
    <w:rsid w:val="0017718E"/>
    <w:rsid w:val="00182B94"/>
    <w:rsid w:val="0018370C"/>
    <w:rsid w:val="00183AC6"/>
    <w:rsid w:val="00183AE0"/>
    <w:rsid w:val="001933D0"/>
    <w:rsid w:val="00194595"/>
    <w:rsid w:val="0019621E"/>
    <w:rsid w:val="0019782B"/>
    <w:rsid w:val="001A0404"/>
    <w:rsid w:val="001B1084"/>
    <w:rsid w:val="001B2122"/>
    <w:rsid w:val="001B462A"/>
    <w:rsid w:val="001B4974"/>
    <w:rsid w:val="001B4D8F"/>
    <w:rsid w:val="001B4E73"/>
    <w:rsid w:val="001C07E2"/>
    <w:rsid w:val="001C1BC1"/>
    <w:rsid w:val="001C1FA3"/>
    <w:rsid w:val="001C2790"/>
    <w:rsid w:val="001C2E7B"/>
    <w:rsid w:val="001C388F"/>
    <w:rsid w:val="001C41F2"/>
    <w:rsid w:val="001C64AE"/>
    <w:rsid w:val="001C71E8"/>
    <w:rsid w:val="001D0AB4"/>
    <w:rsid w:val="001D2EB5"/>
    <w:rsid w:val="001D6426"/>
    <w:rsid w:val="001D7072"/>
    <w:rsid w:val="001E3CD1"/>
    <w:rsid w:val="001E3DF2"/>
    <w:rsid w:val="001E409B"/>
    <w:rsid w:val="001E6AE3"/>
    <w:rsid w:val="001F527C"/>
    <w:rsid w:val="001F6A4A"/>
    <w:rsid w:val="001F7971"/>
    <w:rsid w:val="002005DD"/>
    <w:rsid w:val="00203FDC"/>
    <w:rsid w:val="00206276"/>
    <w:rsid w:val="00212F75"/>
    <w:rsid w:val="0021327F"/>
    <w:rsid w:val="0021416E"/>
    <w:rsid w:val="00216E35"/>
    <w:rsid w:val="0021704D"/>
    <w:rsid w:val="00220D65"/>
    <w:rsid w:val="00221362"/>
    <w:rsid w:val="00227FCB"/>
    <w:rsid w:val="002316F9"/>
    <w:rsid w:val="002331FC"/>
    <w:rsid w:val="002362CA"/>
    <w:rsid w:val="00236B78"/>
    <w:rsid w:val="00237CE5"/>
    <w:rsid w:val="0024066C"/>
    <w:rsid w:val="0024170D"/>
    <w:rsid w:val="00242823"/>
    <w:rsid w:val="00252F9E"/>
    <w:rsid w:val="00264C17"/>
    <w:rsid w:val="002669C3"/>
    <w:rsid w:val="002709AA"/>
    <w:rsid w:val="0027498F"/>
    <w:rsid w:val="00280A66"/>
    <w:rsid w:val="00280E43"/>
    <w:rsid w:val="00281C70"/>
    <w:rsid w:val="00282F65"/>
    <w:rsid w:val="002860E9"/>
    <w:rsid w:val="0029082F"/>
    <w:rsid w:val="00294ABA"/>
    <w:rsid w:val="00295F5E"/>
    <w:rsid w:val="00297AC8"/>
    <w:rsid w:val="002A00BC"/>
    <w:rsid w:val="002A0D2A"/>
    <w:rsid w:val="002A51FC"/>
    <w:rsid w:val="002A6B07"/>
    <w:rsid w:val="002B1BC6"/>
    <w:rsid w:val="002B48CC"/>
    <w:rsid w:val="002B763A"/>
    <w:rsid w:val="002C248A"/>
    <w:rsid w:val="002C3403"/>
    <w:rsid w:val="002C6776"/>
    <w:rsid w:val="002D7BBC"/>
    <w:rsid w:val="002E2128"/>
    <w:rsid w:val="002E4AB3"/>
    <w:rsid w:val="002F0525"/>
    <w:rsid w:val="003004FD"/>
    <w:rsid w:val="0030279B"/>
    <w:rsid w:val="00303015"/>
    <w:rsid w:val="00305D1D"/>
    <w:rsid w:val="003125B3"/>
    <w:rsid w:val="003129D6"/>
    <w:rsid w:val="003136EE"/>
    <w:rsid w:val="003143C1"/>
    <w:rsid w:val="00316664"/>
    <w:rsid w:val="00316A5F"/>
    <w:rsid w:val="00326B32"/>
    <w:rsid w:val="003271D0"/>
    <w:rsid w:val="0033007A"/>
    <w:rsid w:val="00340E06"/>
    <w:rsid w:val="00344AA9"/>
    <w:rsid w:val="00345CD5"/>
    <w:rsid w:val="0034638A"/>
    <w:rsid w:val="00347A38"/>
    <w:rsid w:val="00353385"/>
    <w:rsid w:val="003539E2"/>
    <w:rsid w:val="003549F0"/>
    <w:rsid w:val="003575FB"/>
    <w:rsid w:val="003617D2"/>
    <w:rsid w:val="00361C9E"/>
    <w:rsid w:val="00362D57"/>
    <w:rsid w:val="003663BD"/>
    <w:rsid w:val="00372416"/>
    <w:rsid w:val="003727EE"/>
    <w:rsid w:val="003772AF"/>
    <w:rsid w:val="00383088"/>
    <w:rsid w:val="00385CB3"/>
    <w:rsid w:val="00387840"/>
    <w:rsid w:val="00387DD7"/>
    <w:rsid w:val="00390345"/>
    <w:rsid w:val="0039059D"/>
    <w:rsid w:val="00390CA5"/>
    <w:rsid w:val="00392CE6"/>
    <w:rsid w:val="003937E7"/>
    <w:rsid w:val="00397AA4"/>
    <w:rsid w:val="003A103D"/>
    <w:rsid w:val="003A15FE"/>
    <w:rsid w:val="003A335C"/>
    <w:rsid w:val="003A3813"/>
    <w:rsid w:val="003B0F1E"/>
    <w:rsid w:val="003B715F"/>
    <w:rsid w:val="003B7DC3"/>
    <w:rsid w:val="003C063B"/>
    <w:rsid w:val="003C2BB9"/>
    <w:rsid w:val="003C44AE"/>
    <w:rsid w:val="003C45F4"/>
    <w:rsid w:val="003C7815"/>
    <w:rsid w:val="003D23B5"/>
    <w:rsid w:val="003D6F31"/>
    <w:rsid w:val="003D7088"/>
    <w:rsid w:val="003D7860"/>
    <w:rsid w:val="003D7C2F"/>
    <w:rsid w:val="003E0D23"/>
    <w:rsid w:val="003F6116"/>
    <w:rsid w:val="00411BA4"/>
    <w:rsid w:val="00412846"/>
    <w:rsid w:val="004137E7"/>
    <w:rsid w:val="004147FC"/>
    <w:rsid w:val="00416E0A"/>
    <w:rsid w:val="00416F2B"/>
    <w:rsid w:val="0041749E"/>
    <w:rsid w:val="004200DC"/>
    <w:rsid w:val="00424296"/>
    <w:rsid w:val="004247DA"/>
    <w:rsid w:val="00426CA2"/>
    <w:rsid w:val="00431281"/>
    <w:rsid w:val="00435260"/>
    <w:rsid w:val="004357B2"/>
    <w:rsid w:val="004376D8"/>
    <w:rsid w:val="0044125C"/>
    <w:rsid w:val="00441348"/>
    <w:rsid w:val="00445B15"/>
    <w:rsid w:val="00446C7F"/>
    <w:rsid w:val="004506C0"/>
    <w:rsid w:val="00451EEC"/>
    <w:rsid w:val="004574F7"/>
    <w:rsid w:val="00461E98"/>
    <w:rsid w:val="00465721"/>
    <w:rsid w:val="00466441"/>
    <w:rsid w:val="00467FFB"/>
    <w:rsid w:val="004710A5"/>
    <w:rsid w:val="0047295E"/>
    <w:rsid w:val="00473C1E"/>
    <w:rsid w:val="00475E9A"/>
    <w:rsid w:val="0048070C"/>
    <w:rsid w:val="00492391"/>
    <w:rsid w:val="00492AB3"/>
    <w:rsid w:val="00497B95"/>
    <w:rsid w:val="004A0425"/>
    <w:rsid w:val="004A20A5"/>
    <w:rsid w:val="004A548C"/>
    <w:rsid w:val="004B0CEA"/>
    <w:rsid w:val="004B3F3D"/>
    <w:rsid w:val="004B5E31"/>
    <w:rsid w:val="004C61F9"/>
    <w:rsid w:val="004C6A99"/>
    <w:rsid w:val="004C72D6"/>
    <w:rsid w:val="004D08E6"/>
    <w:rsid w:val="004D32A7"/>
    <w:rsid w:val="004D5D6F"/>
    <w:rsid w:val="004D75D4"/>
    <w:rsid w:val="004E3B8E"/>
    <w:rsid w:val="004E4AEC"/>
    <w:rsid w:val="004E66D9"/>
    <w:rsid w:val="004F5159"/>
    <w:rsid w:val="005007E2"/>
    <w:rsid w:val="0050183E"/>
    <w:rsid w:val="005122EB"/>
    <w:rsid w:val="00512B40"/>
    <w:rsid w:val="00512DA3"/>
    <w:rsid w:val="005135B6"/>
    <w:rsid w:val="00513B3E"/>
    <w:rsid w:val="0051643E"/>
    <w:rsid w:val="00520577"/>
    <w:rsid w:val="00520ADA"/>
    <w:rsid w:val="00525B10"/>
    <w:rsid w:val="005305DA"/>
    <w:rsid w:val="00530A25"/>
    <w:rsid w:val="005316D2"/>
    <w:rsid w:val="005331E3"/>
    <w:rsid w:val="00533CB8"/>
    <w:rsid w:val="005406F8"/>
    <w:rsid w:val="00540991"/>
    <w:rsid w:val="00540A8E"/>
    <w:rsid w:val="00540B03"/>
    <w:rsid w:val="00541838"/>
    <w:rsid w:val="005439FF"/>
    <w:rsid w:val="00544758"/>
    <w:rsid w:val="005462D0"/>
    <w:rsid w:val="00546392"/>
    <w:rsid w:val="00547EBB"/>
    <w:rsid w:val="00556116"/>
    <w:rsid w:val="005613C1"/>
    <w:rsid w:val="00565786"/>
    <w:rsid w:val="0056698A"/>
    <w:rsid w:val="00570280"/>
    <w:rsid w:val="005713A8"/>
    <w:rsid w:val="0058083E"/>
    <w:rsid w:val="00584A0F"/>
    <w:rsid w:val="00587598"/>
    <w:rsid w:val="0059277F"/>
    <w:rsid w:val="0059583A"/>
    <w:rsid w:val="005965B3"/>
    <w:rsid w:val="00596FB4"/>
    <w:rsid w:val="00597398"/>
    <w:rsid w:val="00597BB2"/>
    <w:rsid w:val="00597EED"/>
    <w:rsid w:val="005B00FD"/>
    <w:rsid w:val="005B1850"/>
    <w:rsid w:val="005B1BA1"/>
    <w:rsid w:val="005B3DCE"/>
    <w:rsid w:val="005B3EEA"/>
    <w:rsid w:val="005B529D"/>
    <w:rsid w:val="005C4C81"/>
    <w:rsid w:val="005C72E2"/>
    <w:rsid w:val="005C7628"/>
    <w:rsid w:val="005D1CE7"/>
    <w:rsid w:val="005D39B6"/>
    <w:rsid w:val="005D7130"/>
    <w:rsid w:val="005E15BD"/>
    <w:rsid w:val="005E26D2"/>
    <w:rsid w:val="005E27F9"/>
    <w:rsid w:val="005E5212"/>
    <w:rsid w:val="005F20E9"/>
    <w:rsid w:val="005F3E47"/>
    <w:rsid w:val="005F6E5B"/>
    <w:rsid w:val="005F7744"/>
    <w:rsid w:val="00600224"/>
    <w:rsid w:val="00601CA2"/>
    <w:rsid w:val="0060215A"/>
    <w:rsid w:val="00602CBA"/>
    <w:rsid w:val="00604322"/>
    <w:rsid w:val="006050B1"/>
    <w:rsid w:val="00605171"/>
    <w:rsid w:val="00606124"/>
    <w:rsid w:val="006149EB"/>
    <w:rsid w:val="0061530A"/>
    <w:rsid w:val="00616685"/>
    <w:rsid w:val="0061692C"/>
    <w:rsid w:val="006216F9"/>
    <w:rsid w:val="00621BB5"/>
    <w:rsid w:val="006223DB"/>
    <w:rsid w:val="00623A3E"/>
    <w:rsid w:val="0062658F"/>
    <w:rsid w:val="0063362C"/>
    <w:rsid w:val="006346E3"/>
    <w:rsid w:val="006349E3"/>
    <w:rsid w:val="0063514B"/>
    <w:rsid w:val="00642252"/>
    <w:rsid w:val="006425AC"/>
    <w:rsid w:val="006426A2"/>
    <w:rsid w:val="0064703F"/>
    <w:rsid w:val="00651C22"/>
    <w:rsid w:val="00652D53"/>
    <w:rsid w:val="00654FCC"/>
    <w:rsid w:val="0065569A"/>
    <w:rsid w:val="006558DE"/>
    <w:rsid w:val="0066439E"/>
    <w:rsid w:val="0066534F"/>
    <w:rsid w:val="0066696B"/>
    <w:rsid w:val="00671C94"/>
    <w:rsid w:val="00672104"/>
    <w:rsid w:val="006730BD"/>
    <w:rsid w:val="006777B7"/>
    <w:rsid w:val="006778D4"/>
    <w:rsid w:val="006811E6"/>
    <w:rsid w:val="00681338"/>
    <w:rsid w:val="006855BF"/>
    <w:rsid w:val="00692468"/>
    <w:rsid w:val="00694180"/>
    <w:rsid w:val="00696602"/>
    <w:rsid w:val="006A301B"/>
    <w:rsid w:val="006A3FC4"/>
    <w:rsid w:val="006A6BEF"/>
    <w:rsid w:val="006A7AC0"/>
    <w:rsid w:val="006B2D26"/>
    <w:rsid w:val="006B37A4"/>
    <w:rsid w:val="006B4862"/>
    <w:rsid w:val="006B679C"/>
    <w:rsid w:val="006B7D9D"/>
    <w:rsid w:val="006C070A"/>
    <w:rsid w:val="006C1761"/>
    <w:rsid w:val="006C1C18"/>
    <w:rsid w:val="006C3672"/>
    <w:rsid w:val="006C6B43"/>
    <w:rsid w:val="006D3582"/>
    <w:rsid w:val="006D3D86"/>
    <w:rsid w:val="006D4768"/>
    <w:rsid w:val="006D5EA0"/>
    <w:rsid w:val="006E0BC7"/>
    <w:rsid w:val="006E38CA"/>
    <w:rsid w:val="006F20E9"/>
    <w:rsid w:val="006F2E68"/>
    <w:rsid w:val="0070039B"/>
    <w:rsid w:val="00701938"/>
    <w:rsid w:val="00701A3B"/>
    <w:rsid w:val="00707976"/>
    <w:rsid w:val="00707AC7"/>
    <w:rsid w:val="00716379"/>
    <w:rsid w:val="0072067C"/>
    <w:rsid w:val="00721560"/>
    <w:rsid w:val="007218B0"/>
    <w:rsid w:val="00723DBF"/>
    <w:rsid w:val="00724066"/>
    <w:rsid w:val="007326B5"/>
    <w:rsid w:val="0073283D"/>
    <w:rsid w:val="00733ACE"/>
    <w:rsid w:val="00735737"/>
    <w:rsid w:val="00736B67"/>
    <w:rsid w:val="0073750A"/>
    <w:rsid w:val="0074341E"/>
    <w:rsid w:val="00750EC7"/>
    <w:rsid w:val="00751F08"/>
    <w:rsid w:val="00756100"/>
    <w:rsid w:val="00757A52"/>
    <w:rsid w:val="00757B9D"/>
    <w:rsid w:val="007604B4"/>
    <w:rsid w:val="007621F1"/>
    <w:rsid w:val="00766664"/>
    <w:rsid w:val="007666A8"/>
    <w:rsid w:val="007764CA"/>
    <w:rsid w:val="0078051F"/>
    <w:rsid w:val="00785BD2"/>
    <w:rsid w:val="007876B0"/>
    <w:rsid w:val="00791405"/>
    <w:rsid w:val="007924C8"/>
    <w:rsid w:val="00793399"/>
    <w:rsid w:val="00794D46"/>
    <w:rsid w:val="007A2DE7"/>
    <w:rsid w:val="007B2448"/>
    <w:rsid w:val="007B6386"/>
    <w:rsid w:val="007B74E7"/>
    <w:rsid w:val="007C6400"/>
    <w:rsid w:val="007D1025"/>
    <w:rsid w:val="007D2403"/>
    <w:rsid w:val="007D57EE"/>
    <w:rsid w:val="007D65DA"/>
    <w:rsid w:val="007E058D"/>
    <w:rsid w:val="007E38F9"/>
    <w:rsid w:val="007E6563"/>
    <w:rsid w:val="007F0CCC"/>
    <w:rsid w:val="007F1559"/>
    <w:rsid w:val="007F29B3"/>
    <w:rsid w:val="007F44E2"/>
    <w:rsid w:val="007F6F44"/>
    <w:rsid w:val="007F7993"/>
    <w:rsid w:val="008049BE"/>
    <w:rsid w:val="00805221"/>
    <w:rsid w:val="008059F1"/>
    <w:rsid w:val="008072EF"/>
    <w:rsid w:val="0081026B"/>
    <w:rsid w:val="0081371F"/>
    <w:rsid w:val="00834456"/>
    <w:rsid w:val="008403F1"/>
    <w:rsid w:val="008412E8"/>
    <w:rsid w:val="00842BAF"/>
    <w:rsid w:val="0085046F"/>
    <w:rsid w:val="008507C5"/>
    <w:rsid w:val="00853938"/>
    <w:rsid w:val="008639EC"/>
    <w:rsid w:val="00864C55"/>
    <w:rsid w:val="008659EE"/>
    <w:rsid w:val="00872640"/>
    <w:rsid w:val="00873B9F"/>
    <w:rsid w:val="00875999"/>
    <w:rsid w:val="0087642C"/>
    <w:rsid w:val="00877705"/>
    <w:rsid w:val="008829AB"/>
    <w:rsid w:val="00884B49"/>
    <w:rsid w:val="00886CC2"/>
    <w:rsid w:val="008872F8"/>
    <w:rsid w:val="00887755"/>
    <w:rsid w:val="00892E93"/>
    <w:rsid w:val="00894249"/>
    <w:rsid w:val="008960F7"/>
    <w:rsid w:val="008A3B4D"/>
    <w:rsid w:val="008A4204"/>
    <w:rsid w:val="008A7212"/>
    <w:rsid w:val="008A72D3"/>
    <w:rsid w:val="008B0D77"/>
    <w:rsid w:val="008B4273"/>
    <w:rsid w:val="008B6833"/>
    <w:rsid w:val="008B7464"/>
    <w:rsid w:val="008C0C91"/>
    <w:rsid w:val="008C6903"/>
    <w:rsid w:val="008D11D4"/>
    <w:rsid w:val="008D1A2C"/>
    <w:rsid w:val="008D1F4D"/>
    <w:rsid w:val="008D46BB"/>
    <w:rsid w:val="008D4B9C"/>
    <w:rsid w:val="008D58D4"/>
    <w:rsid w:val="008D6BC5"/>
    <w:rsid w:val="008D6FB6"/>
    <w:rsid w:val="008E38AD"/>
    <w:rsid w:val="008E635D"/>
    <w:rsid w:val="008E674E"/>
    <w:rsid w:val="008E7476"/>
    <w:rsid w:val="008E7D15"/>
    <w:rsid w:val="008F1D45"/>
    <w:rsid w:val="008F2476"/>
    <w:rsid w:val="008F361E"/>
    <w:rsid w:val="00902D9D"/>
    <w:rsid w:val="0091307F"/>
    <w:rsid w:val="00915D25"/>
    <w:rsid w:val="0091626D"/>
    <w:rsid w:val="00923347"/>
    <w:rsid w:val="00924942"/>
    <w:rsid w:val="00926495"/>
    <w:rsid w:val="009338FA"/>
    <w:rsid w:val="00933EF4"/>
    <w:rsid w:val="0093574D"/>
    <w:rsid w:val="009400D8"/>
    <w:rsid w:val="009438E2"/>
    <w:rsid w:val="00952674"/>
    <w:rsid w:val="00960444"/>
    <w:rsid w:val="009609FA"/>
    <w:rsid w:val="00961BD6"/>
    <w:rsid w:val="009651F0"/>
    <w:rsid w:val="00966025"/>
    <w:rsid w:val="00967248"/>
    <w:rsid w:val="009708C5"/>
    <w:rsid w:val="0097278E"/>
    <w:rsid w:val="00973016"/>
    <w:rsid w:val="009744A0"/>
    <w:rsid w:val="009745A6"/>
    <w:rsid w:val="00976781"/>
    <w:rsid w:val="009831EE"/>
    <w:rsid w:val="009844A2"/>
    <w:rsid w:val="009846A7"/>
    <w:rsid w:val="00984FBD"/>
    <w:rsid w:val="00985B16"/>
    <w:rsid w:val="009865FD"/>
    <w:rsid w:val="00994D5A"/>
    <w:rsid w:val="00997FAC"/>
    <w:rsid w:val="009A0D29"/>
    <w:rsid w:val="009B15DB"/>
    <w:rsid w:val="009B1778"/>
    <w:rsid w:val="009B1A17"/>
    <w:rsid w:val="009B3F8D"/>
    <w:rsid w:val="009B50A7"/>
    <w:rsid w:val="009B51A5"/>
    <w:rsid w:val="009B5DE0"/>
    <w:rsid w:val="009C1BA4"/>
    <w:rsid w:val="009C1E74"/>
    <w:rsid w:val="009C21B3"/>
    <w:rsid w:val="009C2C42"/>
    <w:rsid w:val="009C3529"/>
    <w:rsid w:val="009C7BCD"/>
    <w:rsid w:val="009D4E48"/>
    <w:rsid w:val="009D7CDF"/>
    <w:rsid w:val="009E3D4E"/>
    <w:rsid w:val="009E6150"/>
    <w:rsid w:val="009E70F4"/>
    <w:rsid w:val="009F177B"/>
    <w:rsid w:val="009F2679"/>
    <w:rsid w:val="00A0590C"/>
    <w:rsid w:val="00A06ACF"/>
    <w:rsid w:val="00A117D2"/>
    <w:rsid w:val="00A15FCE"/>
    <w:rsid w:val="00A1704B"/>
    <w:rsid w:val="00A235FC"/>
    <w:rsid w:val="00A23DBE"/>
    <w:rsid w:val="00A25E08"/>
    <w:rsid w:val="00A32D0E"/>
    <w:rsid w:val="00A33F21"/>
    <w:rsid w:val="00A3533A"/>
    <w:rsid w:val="00A367C5"/>
    <w:rsid w:val="00A37869"/>
    <w:rsid w:val="00A37C5F"/>
    <w:rsid w:val="00A406BA"/>
    <w:rsid w:val="00A41B9A"/>
    <w:rsid w:val="00A44A88"/>
    <w:rsid w:val="00A45819"/>
    <w:rsid w:val="00A46934"/>
    <w:rsid w:val="00A501F6"/>
    <w:rsid w:val="00A5201A"/>
    <w:rsid w:val="00A5203F"/>
    <w:rsid w:val="00A5307A"/>
    <w:rsid w:val="00A561E0"/>
    <w:rsid w:val="00A56F78"/>
    <w:rsid w:val="00A60725"/>
    <w:rsid w:val="00A62731"/>
    <w:rsid w:val="00A71713"/>
    <w:rsid w:val="00A72122"/>
    <w:rsid w:val="00A725A1"/>
    <w:rsid w:val="00A73A47"/>
    <w:rsid w:val="00A74752"/>
    <w:rsid w:val="00A749E1"/>
    <w:rsid w:val="00A74B6D"/>
    <w:rsid w:val="00A80F11"/>
    <w:rsid w:val="00A811CE"/>
    <w:rsid w:val="00A81355"/>
    <w:rsid w:val="00A81B6C"/>
    <w:rsid w:val="00A82B0D"/>
    <w:rsid w:val="00A8444B"/>
    <w:rsid w:val="00A86C23"/>
    <w:rsid w:val="00A87DC1"/>
    <w:rsid w:val="00A9039C"/>
    <w:rsid w:val="00A9162A"/>
    <w:rsid w:val="00A9429D"/>
    <w:rsid w:val="00A94775"/>
    <w:rsid w:val="00A94805"/>
    <w:rsid w:val="00A97D03"/>
    <w:rsid w:val="00AA241D"/>
    <w:rsid w:val="00AA4329"/>
    <w:rsid w:val="00AA7F6F"/>
    <w:rsid w:val="00AB52DC"/>
    <w:rsid w:val="00AB5B37"/>
    <w:rsid w:val="00AB75B4"/>
    <w:rsid w:val="00AC0B5C"/>
    <w:rsid w:val="00AC1143"/>
    <w:rsid w:val="00AC3FC7"/>
    <w:rsid w:val="00AC5D3F"/>
    <w:rsid w:val="00AD0339"/>
    <w:rsid w:val="00AD4E62"/>
    <w:rsid w:val="00AD57E4"/>
    <w:rsid w:val="00AD7CC8"/>
    <w:rsid w:val="00AE645F"/>
    <w:rsid w:val="00AE70C0"/>
    <w:rsid w:val="00AE7F22"/>
    <w:rsid w:val="00AF32A3"/>
    <w:rsid w:val="00AF471B"/>
    <w:rsid w:val="00AF511A"/>
    <w:rsid w:val="00AF67E2"/>
    <w:rsid w:val="00AF6B3A"/>
    <w:rsid w:val="00AF7F92"/>
    <w:rsid w:val="00B04FB0"/>
    <w:rsid w:val="00B05353"/>
    <w:rsid w:val="00B055AC"/>
    <w:rsid w:val="00B108AE"/>
    <w:rsid w:val="00B13C9D"/>
    <w:rsid w:val="00B20B2B"/>
    <w:rsid w:val="00B21C28"/>
    <w:rsid w:val="00B21CC0"/>
    <w:rsid w:val="00B2783E"/>
    <w:rsid w:val="00B3066D"/>
    <w:rsid w:val="00B37116"/>
    <w:rsid w:val="00B37430"/>
    <w:rsid w:val="00B40E49"/>
    <w:rsid w:val="00B46E33"/>
    <w:rsid w:val="00B47112"/>
    <w:rsid w:val="00B47729"/>
    <w:rsid w:val="00B5463B"/>
    <w:rsid w:val="00B550EB"/>
    <w:rsid w:val="00B602F6"/>
    <w:rsid w:val="00B64DCF"/>
    <w:rsid w:val="00B66537"/>
    <w:rsid w:val="00B67F37"/>
    <w:rsid w:val="00B701F2"/>
    <w:rsid w:val="00B7455A"/>
    <w:rsid w:val="00B75E66"/>
    <w:rsid w:val="00B76B5D"/>
    <w:rsid w:val="00B82927"/>
    <w:rsid w:val="00B84789"/>
    <w:rsid w:val="00B85769"/>
    <w:rsid w:val="00B8751E"/>
    <w:rsid w:val="00B87F00"/>
    <w:rsid w:val="00B903FA"/>
    <w:rsid w:val="00B926AD"/>
    <w:rsid w:val="00B96022"/>
    <w:rsid w:val="00B9767B"/>
    <w:rsid w:val="00BA26B5"/>
    <w:rsid w:val="00BA69BE"/>
    <w:rsid w:val="00BB0B79"/>
    <w:rsid w:val="00BB77A2"/>
    <w:rsid w:val="00BC1596"/>
    <w:rsid w:val="00BC22C6"/>
    <w:rsid w:val="00BC43BA"/>
    <w:rsid w:val="00BC71FF"/>
    <w:rsid w:val="00BC7D84"/>
    <w:rsid w:val="00BD1BAB"/>
    <w:rsid w:val="00BD443F"/>
    <w:rsid w:val="00BD70C1"/>
    <w:rsid w:val="00BE2296"/>
    <w:rsid w:val="00BE27B4"/>
    <w:rsid w:val="00BE480B"/>
    <w:rsid w:val="00BE4B58"/>
    <w:rsid w:val="00BE52BF"/>
    <w:rsid w:val="00BE7ED4"/>
    <w:rsid w:val="00BF2C62"/>
    <w:rsid w:val="00BF2D7E"/>
    <w:rsid w:val="00BF32AB"/>
    <w:rsid w:val="00BF428E"/>
    <w:rsid w:val="00BF4848"/>
    <w:rsid w:val="00C01B10"/>
    <w:rsid w:val="00C10D54"/>
    <w:rsid w:val="00C12090"/>
    <w:rsid w:val="00C13F51"/>
    <w:rsid w:val="00C14E00"/>
    <w:rsid w:val="00C15121"/>
    <w:rsid w:val="00C15BBE"/>
    <w:rsid w:val="00C162A8"/>
    <w:rsid w:val="00C171FF"/>
    <w:rsid w:val="00C21009"/>
    <w:rsid w:val="00C210E7"/>
    <w:rsid w:val="00C21C2F"/>
    <w:rsid w:val="00C25F53"/>
    <w:rsid w:val="00C26558"/>
    <w:rsid w:val="00C270C6"/>
    <w:rsid w:val="00C3350A"/>
    <w:rsid w:val="00C36B70"/>
    <w:rsid w:val="00C37129"/>
    <w:rsid w:val="00C443BC"/>
    <w:rsid w:val="00C477FA"/>
    <w:rsid w:val="00C47F00"/>
    <w:rsid w:val="00C52DB7"/>
    <w:rsid w:val="00C52FC2"/>
    <w:rsid w:val="00C54DA8"/>
    <w:rsid w:val="00C56BA1"/>
    <w:rsid w:val="00C6128E"/>
    <w:rsid w:val="00C61C43"/>
    <w:rsid w:val="00C62192"/>
    <w:rsid w:val="00C62D37"/>
    <w:rsid w:val="00C7356F"/>
    <w:rsid w:val="00C74190"/>
    <w:rsid w:val="00C76E10"/>
    <w:rsid w:val="00C777AD"/>
    <w:rsid w:val="00C809DA"/>
    <w:rsid w:val="00C81A02"/>
    <w:rsid w:val="00C869D7"/>
    <w:rsid w:val="00C90887"/>
    <w:rsid w:val="00CA01A1"/>
    <w:rsid w:val="00CA2CA0"/>
    <w:rsid w:val="00CB155C"/>
    <w:rsid w:val="00CB719A"/>
    <w:rsid w:val="00CC2ABA"/>
    <w:rsid w:val="00CC31EA"/>
    <w:rsid w:val="00CC58F8"/>
    <w:rsid w:val="00CC6D30"/>
    <w:rsid w:val="00CD01C3"/>
    <w:rsid w:val="00CD43DC"/>
    <w:rsid w:val="00CD70B6"/>
    <w:rsid w:val="00CE0B40"/>
    <w:rsid w:val="00CE1103"/>
    <w:rsid w:val="00CE319F"/>
    <w:rsid w:val="00CE4684"/>
    <w:rsid w:val="00CE529E"/>
    <w:rsid w:val="00CF0D7A"/>
    <w:rsid w:val="00CF4AFC"/>
    <w:rsid w:val="00CF5CEA"/>
    <w:rsid w:val="00CF63C0"/>
    <w:rsid w:val="00D005EC"/>
    <w:rsid w:val="00D05632"/>
    <w:rsid w:val="00D072D6"/>
    <w:rsid w:val="00D10A47"/>
    <w:rsid w:val="00D10AE3"/>
    <w:rsid w:val="00D110EB"/>
    <w:rsid w:val="00D116BE"/>
    <w:rsid w:val="00D12941"/>
    <w:rsid w:val="00D17014"/>
    <w:rsid w:val="00D1753D"/>
    <w:rsid w:val="00D211FE"/>
    <w:rsid w:val="00D27A38"/>
    <w:rsid w:val="00D31076"/>
    <w:rsid w:val="00D313DC"/>
    <w:rsid w:val="00D31E5D"/>
    <w:rsid w:val="00D32D46"/>
    <w:rsid w:val="00D32DDD"/>
    <w:rsid w:val="00D37632"/>
    <w:rsid w:val="00D40E9F"/>
    <w:rsid w:val="00D43C5B"/>
    <w:rsid w:val="00D43E2E"/>
    <w:rsid w:val="00D46A6F"/>
    <w:rsid w:val="00D47318"/>
    <w:rsid w:val="00D554DA"/>
    <w:rsid w:val="00D60BFC"/>
    <w:rsid w:val="00D60FF3"/>
    <w:rsid w:val="00D648E1"/>
    <w:rsid w:val="00D66B63"/>
    <w:rsid w:val="00D67C46"/>
    <w:rsid w:val="00D67FD3"/>
    <w:rsid w:val="00D80DD5"/>
    <w:rsid w:val="00D83702"/>
    <w:rsid w:val="00D906D3"/>
    <w:rsid w:val="00D907A2"/>
    <w:rsid w:val="00D90F18"/>
    <w:rsid w:val="00D914B7"/>
    <w:rsid w:val="00D934F6"/>
    <w:rsid w:val="00DA65FA"/>
    <w:rsid w:val="00DB0F47"/>
    <w:rsid w:val="00DB291D"/>
    <w:rsid w:val="00DB3BD6"/>
    <w:rsid w:val="00DB402E"/>
    <w:rsid w:val="00DC2C2B"/>
    <w:rsid w:val="00DC3A5B"/>
    <w:rsid w:val="00DC49A5"/>
    <w:rsid w:val="00DD4CFD"/>
    <w:rsid w:val="00DD7D9C"/>
    <w:rsid w:val="00DE0078"/>
    <w:rsid w:val="00DE01A0"/>
    <w:rsid w:val="00DE0699"/>
    <w:rsid w:val="00DE2E73"/>
    <w:rsid w:val="00DF3848"/>
    <w:rsid w:val="00DF4CC2"/>
    <w:rsid w:val="00DF5143"/>
    <w:rsid w:val="00DF692F"/>
    <w:rsid w:val="00DF6966"/>
    <w:rsid w:val="00E00873"/>
    <w:rsid w:val="00E01704"/>
    <w:rsid w:val="00E020E5"/>
    <w:rsid w:val="00E04222"/>
    <w:rsid w:val="00E04770"/>
    <w:rsid w:val="00E04D4F"/>
    <w:rsid w:val="00E05AF2"/>
    <w:rsid w:val="00E06949"/>
    <w:rsid w:val="00E11590"/>
    <w:rsid w:val="00E13283"/>
    <w:rsid w:val="00E2493A"/>
    <w:rsid w:val="00E24F40"/>
    <w:rsid w:val="00E25475"/>
    <w:rsid w:val="00E3503F"/>
    <w:rsid w:val="00E3560C"/>
    <w:rsid w:val="00E37851"/>
    <w:rsid w:val="00E40ED5"/>
    <w:rsid w:val="00E42C0F"/>
    <w:rsid w:val="00E503AA"/>
    <w:rsid w:val="00E52455"/>
    <w:rsid w:val="00E5462E"/>
    <w:rsid w:val="00E56749"/>
    <w:rsid w:val="00E6114C"/>
    <w:rsid w:val="00E61393"/>
    <w:rsid w:val="00E64202"/>
    <w:rsid w:val="00E64B36"/>
    <w:rsid w:val="00E660F1"/>
    <w:rsid w:val="00E673F0"/>
    <w:rsid w:val="00E71475"/>
    <w:rsid w:val="00E7335C"/>
    <w:rsid w:val="00E8005F"/>
    <w:rsid w:val="00E8008F"/>
    <w:rsid w:val="00E809A4"/>
    <w:rsid w:val="00E8290A"/>
    <w:rsid w:val="00E84DD6"/>
    <w:rsid w:val="00E85DB1"/>
    <w:rsid w:val="00E87603"/>
    <w:rsid w:val="00E927D0"/>
    <w:rsid w:val="00E9418B"/>
    <w:rsid w:val="00E97A52"/>
    <w:rsid w:val="00EA035A"/>
    <w:rsid w:val="00EA4081"/>
    <w:rsid w:val="00EA4091"/>
    <w:rsid w:val="00EB07CD"/>
    <w:rsid w:val="00EB0DEC"/>
    <w:rsid w:val="00EB44F5"/>
    <w:rsid w:val="00EB64E3"/>
    <w:rsid w:val="00EB669A"/>
    <w:rsid w:val="00EC13FB"/>
    <w:rsid w:val="00EC1C00"/>
    <w:rsid w:val="00EC46DA"/>
    <w:rsid w:val="00EC48D4"/>
    <w:rsid w:val="00EC6A33"/>
    <w:rsid w:val="00ED08A0"/>
    <w:rsid w:val="00ED2DF8"/>
    <w:rsid w:val="00ED477C"/>
    <w:rsid w:val="00ED5226"/>
    <w:rsid w:val="00ED5B65"/>
    <w:rsid w:val="00EE09FC"/>
    <w:rsid w:val="00EE0BA4"/>
    <w:rsid w:val="00EE1353"/>
    <w:rsid w:val="00EE1511"/>
    <w:rsid w:val="00EE17C2"/>
    <w:rsid w:val="00EE2AA0"/>
    <w:rsid w:val="00EF0372"/>
    <w:rsid w:val="00EF1AC2"/>
    <w:rsid w:val="00EF312C"/>
    <w:rsid w:val="00EF71C5"/>
    <w:rsid w:val="00EF7FCA"/>
    <w:rsid w:val="00F00D13"/>
    <w:rsid w:val="00F031B0"/>
    <w:rsid w:val="00F03B49"/>
    <w:rsid w:val="00F04C09"/>
    <w:rsid w:val="00F0508D"/>
    <w:rsid w:val="00F06E4F"/>
    <w:rsid w:val="00F101FA"/>
    <w:rsid w:val="00F12380"/>
    <w:rsid w:val="00F15890"/>
    <w:rsid w:val="00F15922"/>
    <w:rsid w:val="00F15E93"/>
    <w:rsid w:val="00F167DD"/>
    <w:rsid w:val="00F241C9"/>
    <w:rsid w:val="00F24C4E"/>
    <w:rsid w:val="00F307FA"/>
    <w:rsid w:val="00F4293B"/>
    <w:rsid w:val="00F43537"/>
    <w:rsid w:val="00F4540B"/>
    <w:rsid w:val="00F45800"/>
    <w:rsid w:val="00F53236"/>
    <w:rsid w:val="00F563D6"/>
    <w:rsid w:val="00F56917"/>
    <w:rsid w:val="00F576F6"/>
    <w:rsid w:val="00F57C64"/>
    <w:rsid w:val="00F6263E"/>
    <w:rsid w:val="00F806F6"/>
    <w:rsid w:val="00F81BEE"/>
    <w:rsid w:val="00F81D9F"/>
    <w:rsid w:val="00F8267E"/>
    <w:rsid w:val="00F82AC5"/>
    <w:rsid w:val="00F83B0F"/>
    <w:rsid w:val="00F84DAD"/>
    <w:rsid w:val="00F85F66"/>
    <w:rsid w:val="00F87F2D"/>
    <w:rsid w:val="00F91EA0"/>
    <w:rsid w:val="00F94E2E"/>
    <w:rsid w:val="00FA003E"/>
    <w:rsid w:val="00FA0E1A"/>
    <w:rsid w:val="00FA13BA"/>
    <w:rsid w:val="00FA28D4"/>
    <w:rsid w:val="00FA4531"/>
    <w:rsid w:val="00FA4548"/>
    <w:rsid w:val="00FB0D59"/>
    <w:rsid w:val="00FB4279"/>
    <w:rsid w:val="00FB7F0A"/>
    <w:rsid w:val="00FC2164"/>
    <w:rsid w:val="00FC2A67"/>
    <w:rsid w:val="00FC38E1"/>
    <w:rsid w:val="00FD07FC"/>
    <w:rsid w:val="00FD18A0"/>
    <w:rsid w:val="00FD7E54"/>
    <w:rsid w:val="00FE4E0E"/>
    <w:rsid w:val="00FE5D3B"/>
    <w:rsid w:val="00FF017C"/>
    <w:rsid w:val="00FF1C5A"/>
    <w:rsid w:val="00FF4620"/>
    <w:rsid w:val="00FF5D0D"/>
    <w:rsid w:val="00FF5E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6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iPriority w:val="99"/>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uiPriority w:val="99"/>
    <w:rsid w:val="00596FB4"/>
    <w:rPr>
      <w:rFonts w:ascii="Times" w:hAnsi="Times" w:cs="Times"/>
    </w:rPr>
  </w:style>
  <w:style w:type="character" w:styleId="ad">
    <w:name w:val="footnote reference"/>
    <w:unhideWhenUsed/>
    <w:rsid w:val="00596FB4"/>
    <w:rPr>
      <w:vertAlign w:val="superscript"/>
    </w:rPr>
  </w:style>
  <w:style w:type="paragraph" w:customStyle="1" w:styleId="PressReleaseTitle">
    <w:name w:val="Press Release Title"/>
    <w:basedOn w:val="a"/>
    <w:link w:val="PressReleaseTitleChar"/>
    <w:qFormat/>
    <w:rsid w:val="00DE2E73"/>
    <w:pPr>
      <w:tabs>
        <w:tab w:val="center" w:pos="4156"/>
        <w:tab w:val="right" w:pos="8312"/>
      </w:tabs>
      <w:bidi w:val="0"/>
      <w:jc w:val="center"/>
    </w:pPr>
    <w:rPr>
      <w:rFonts w:cs="David"/>
      <w:b/>
      <w:bCs/>
      <w:sz w:val="26"/>
      <w:szCs w:val="26"/>
    </w:rPr>
  </w:style>
  <w:style w:type="character" w:customStyle="1" w:styleId="PressReleaseTitleChar">
    <w:name w:val="Press Release Title Char"/>
    <w:basedOn w:val="a0"/>
    <w:link w:val="PressReleaseTitle"/>
    <w:rsid w:val="00DE2E73"/>
    <w:rPr>
      <w:rFonts w:cs="David"/>
      <w:b/>
      <w:bCs/>
      <w:sz w:val="26"/>
      <w:szCs w:val="26"/>
    </w:rPr>
  </w:style>
  <w:style w:type="paragraph" w:styleId="ae">
    <w:name w:val="Title"/>
    <w:basedOn w:val="a"/>
    <w:next w:val="a"/>
    <w:link w:val="af"/>
    <w:qFormat/>
    <w:rsid w:val="00FA28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rsid w:val="00FA28D4"/>
    <w:rPr>
      <w:rFonts w:asciiTheme="majorHAnsi" w:eastAsiaTheme="majorEastAsia" w:hAnsiTheme="majorHAnsi" w:cstheme="majorBidi"/>
      <w:color w:val="17365D" w:themeColor="text2" w:themeShade="BF"/>
      <w:spacing w:val="5"/>
      <w:kern w:val="28"/>
      <w:sz w:val="52"/>
      <w:szCs w:val="52"/>
    </w:rPr>
  </w:style>
  <w:style w:type="character" w:styleId="af0">
    <w:name w:val="annotation reference"/>
    <w:basedOn w:val="a0"/>
    <w:rsid w:val="00F031B0"/>
    <w:rPr>
      <w:sz w:val="16"/>
      <w:szCs w:val="16"/>
    </w:rPr>
  </w:style>
  <w:style w:type="paragraph" w:styleId="af1">
    <w:name w:val="annotation text"/>
    <w:basedOn w:val="a"/>
    <w:link w:val="af2"/>
    <w:rsid w:val="00F031B0"/>
    <w:rPr>
      <w:sz w:val="20"/>
      <w:szCs w:val="20"/>
    </w:rPr>
  </w:style>
  <w:style w:type="character" w:customStyle="1" w:styleId="af2">
    <w:name w:val="טקסט הערה תו"/>
    <w:basedOn w:val="a0"/>
    <w:link w:val="af1"/>
    <w:rsid w:val="00F031B0"/>
  </w:style>
  <w:style w:type="paragraph" w:styleId="af3">
    <w:name w:val="annotation subject"/>
    <w:basedOn w:val="af1"/>
    <w:next w:val="af1"/>
    <w:link w:val="af4"/>
    <w:rsid w:val="00F031B0"/>
    <w:rPr>
      <w:b/>
      <w:bCs/>
    </w:rPr>
  </w:style>
  <w:style w:type="character" w:customStyle="1" w:styleId="af4">
    <w:name w:val="נושא הערה תו"/>
    <w:basedOn w:val="af2"/>
    <w:link w:val="af3"/>
    <w:rsid w:val="00F031B0"/>
    <w:rPr>
      <w:b/>
      <w:bCs/>
    </w:rPr>
  </w:style>
  <w:style w:type="table" w:styleId="af5">
    <w:name w:val="Table Grid"/>
    <w:basedOn w:val="a1"/>
    <w:rsid w:val="005F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5"/>
    <w:uiPriority w:val="59"/>
    <w:rsid w:val="001459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07886">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en/communication-and-publications/regular-publications/statistical-publications/statistical-bulletin-2024/" TargetMode="External"/><Relationship Id="rId1" Type="http://schemas.openxmlformats.org/officeDocument/2006/relationships/hyperlink" Target="https://www.boi.org.il/en/communication-and-publications/regular-publications/statistical-publications/statistical-bulletin-20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EC24-BB1E-4FD0-AE8B-EBD25862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1016</Words>
  <Characters>6108</Characters>
  <Application>Microsoft Office Word</Application>
  <DocSecurity>4</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7110</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2025-08-06T08:35:00Z</dcterms:created>
  <dcterms:modified xsi:type="dcterms:W3CDTF">2025-08-06T08:35:00Z</dcterms:modified>
</cp:coreProperties>
</file>