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14015ED" wp14:editId="3295F3A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BC17F0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BC17F0">
              <w:rPr>
                <w:rFonts w:cs="David"/>
                <w:rtl/>
              </w:rPr>
              <w:t xml:space="preserve">י"א </w:t>
            </w:r>
            <w:r w:rsidR="00C13028">
              <w:rPr>
                <w:rFonts w:cs="David"/>
                <w:rtl/>
              </w:rPr>
              <w:t>תשרי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C13028">
              <w:rPr>
                <w:rFonts w:cs="David"/>
                <w:rtl/>
              </w:rPr>
              <w:t>ד</w:t>
            </w:r>
            <w:proofErr w:type="spellEnd"/>
          </w:p>
          <w:p w:rsidR="00317000" w:rsidRPr="00912FF8" w:rsidRDefault="00317000" w:rsidP="00C13028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025DF3">
              <w:rPr>
                <w:rFonts w:cs="David"/>
                <w:rtl/>
              </w:rPr>
              <w:t>2</w:t>
            </w:r>
            <w:r w:rsidR="00C13028">
              <w:rPr>
                <w:rFonts w:cs="David"/>
                <w:rtl/>
              </w:rPr>
              <w:t>6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C13028">
              <w:rPr>
                <w:rFonts w:cs="David"/>
                <w:rtl/>
              </w:rPr>
              <w:t>ספטמבר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C52C86" w:rsidRDefault="00251F57" w:rsidP="00885A56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מדד המשולב לחודש </w:t>
      </w:r>
      <w:r w:rsidR="00C13028">
        <w:rPr>
          <w:rFonts w:ascii="David" w:hAnsi="David" w:cs="David"/>
          <w:b/>
          <w:bCs/>
          <w:sz w:val="28"/>
          <w:szCs w:val="28"/>
          <w:rtl/>
        </w:rPr>
        <w:t>אוגוסט</w:t>
      </w:r>
      <w:r w:rsidR="00025DF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3547E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עלה </w:t>
      </w:r>
      <w:r w:rsidR="00451A0B" w:rsidRPr="00C52C86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FB41B4" w:rsidRPr="00C52C86">
        <w:rPr>
          <w:rFonts w:ascii="David" w:hAnsi="David" w:cs="David" w:hint="default"/>
          <w:b/>
          <w:bCs/>
          <w:sz w:val="28"/>
          <w:szCs w:val="28"/>
          <w:rtl/>
        </w:rPr>
        <w:t>0.</w:t>
      </w:r>
      <w:r w:rsidR="00885A56">
        <w:rPr>
          <w:rFonts w:ascii="David" w:hAnsi="David" w:cs="David"/>
          <w:b/>
          <w:bCs/>
          <w:sz w:val="28"/>
          <w:szCs w:val="28"/>
          <w:rtl/>
        </w:rPr>
        <w:t>07</w:t>
      </w:r>
      <w:r w:rsidR="005A5051">
        <w:rPr>
          <w:rFonts w:ascii="David" w:hAnsi="David" w:cs="David"/>
          <w:b/>
          <w:bCs/>
          <w:sz w:val="28"/>
          <w:szCs w:val="28"/>
          <w:rtl/>
        </w:rPr>
        <w:t>%</w:t>
      </w:r>
    </w:p>
    <w:p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6D0A1E" w:rsidRDefault="002F75EB" w:rsidP="004C153A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bookmarkStart w:id="0" w:name="_GoBack"/>
      <w:r w:rsidRPr="007C0412">
        <w:rPr>
          <w:rFonts w:cs="David"/>
          <w:rtl/>
        </w:rPr>
        <w:t xml:space="preserve">המדד המשולב לחודש </w:t>
      </w:r>
      <w:r w:rsidR="00C13028">
        <w:rPr>
          <w:rFonts w:cs="David"/>
          <w:rtl/>
        </w:rPr>
        <w:t xml:space="preserve">אוגוסט </w:t>
      </w:r>
      <w:r w:rsidR="00BC14D4">
        <w:rPr>
          <w:rFonts w:cs="David"/>
          <w:rtl/>
        </w:rPr>
        <w:t xml:space="preserve">עלה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0F5CC1">
        <w:rPr>
          <w:rFonts w:cs="David"/>
          <w:rtl/>
        </w:rPr>
        <w:t>0.</w:t>
      </w:r>
      <w:r w:rsidR="00885A56">
        <w:rPr>
          <w:rFonts w:cs="David"/>
          <w:rtl/>
        </w:rPr>
        <w:t>07</w:t>
      </w:r>
      <w:r w:rsidR="00885A56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6D0A1E">
        <w:rPr>
          <w:rFonts w:cs="David"/>
          <w:rtl/>
        </w:rPr>
        <w:t xml:space="preserve">. </w:t>
      </w:r>
      <w:r w:rsidR="00D2705A">
        <w:rPr>
          <w:rFonts w:cs="David"/>
          <w:rtl/>
        </w:rPr>
        <w:t xml:space="preserve">בחודשיים הראשונים של הרבעון השלישי </w:t>
      </w:r>
      <w:r w:rsidR="006D0A1E">
        <w:rPr>
          <w:rFonts w:cs="David"/>
          <w:rtl/>
        </w:rPr>
        <w:t xml:space="preserve">המדד </w:t>
      </w:r>
      <w:r w:rsidR="00D2705A">
        <w:rPr>
          <w:rFonts w:cs="David"/>
          <w:rtl/>
        </w:rPr>
        <w:t xml:space="preserve">עלה </w:t>
      </w:r>
      <w:r w:rsidR="00AE0CF6">
        <w:rPr>
          <w:rFonts w:cs="David"/>
          <w:rtl/>
        </w:rPr>
        <w:t>בקצב נמוך</w:t>
      </w:r>
      <w:r w:rsidR="00BD5B12">
        <w:rPr>
          <w:rFonts w:cs="David"/>
          <w:rtl/>
        </w:rPr>
        <w:t xml:space="preserve"> מממוצע הרבעון </w:t>
      </w:r>
      <w:r w:rsidR="00D2705A">
        <w:rPr>
          <w:rFonts w:cs="David"/>
          <w:rtl/>
        </w:rPr>
        <w:t>השני</w:t>
      </w:r>
      <w:r w:rsidR="00BD5B12" w:rsidRPr="00BD5B12">
        <w:rPr>
          <w:rFonts w:cs="David"/>
          <w:rtl/>
        </w:rPr>
        <w:t xml:space="preserve"> </w:t>
      </w:r>
      <w:r w:rsidR="00D2705A">
        <w:rPr>
          <w:rFonts w:cs="David"/>
          <w:rtl/>
        </w:rPr>
        <w:t>ו</w:t>
      </w:r>
      <w:r w:rsidR="00BD5B12">
        <w:rPr>
          <w:rFonts w:cs="David"/>
          <w:rtl/>
        </w:rPr>
        <w:t>מ</w:t>
      </w:r>
      <w:r w:rsidR="00AE0CF6">
        <w:rPr>
          <w:rFonts w:cs="David"/>
          <w:rtl/>
        </w:rPr>
        <w:t>ה</w:t>
      </w:r>
      <w:r w:rsidR="00CF6016">
        <w:rPr>
          <w:rFonts w:cs="David"/>
          <w:rtl/>
        </w:rPr>
        <w:t>ממוצע ארוך הטווח של המדד</w:t>
      </w:r>
      <w:r w:rsidR="00174FEF">
        <w:rPr>
          <w:rFonts w:cs="David"/>
          <w:rtl/>
        </w:rPr>
        <w:t>.</w:t>
      </w:r>
      <w:r w:rsidR="006D0A1E">
        <w:rPr>
          <w:rFonts w:cs="David"/>
          <w:rtl/>
        </w:rPr>
        <w:t xml:space="preserve"> </w:t>
      </w:r>
    </w:p>
    <w:p w:rsidR="008953CE" w:rsidRDefault="003D51FF" w:rsidP="006D0A1E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 w:hint="eastAsia"/>
          <w:rtl/>
        </w:rPr>
        <w:t>המדד</w:t>
      </w:r>
      <w:r w:rsidRPr="007C0412">
        <w:rPr>
          <w:rFonts w:cs="David" w:hint="default"/>
          <w:rtl/>
        </w:rPr>
        <w:t xml:space="preserve"> המשולב הושפע לטובה </w:t>
      </w:r>
      <w:r w:rsidR="004A22F6" w:rsidRPr="007C0412">
        <w:rPr>
          <w:rFonts w:cs="David" w:hint="default"/>
          <w:rtl/>
        </w:rPr>
        <w:t>מעלי</w:t>
      </w:r>
      <w:r w:rsidR="00276391">
        <w:rPr>
          <w:rFonts w:cs="David"/>
          <w:rtl/>
        </w:rPr>
        <w:t>ו</w:t>
      </w:r>
      <w:r w:rsidR="004A22F6" w:rsidRPr="007C0412">
        <w:rPr>
          <w:rFonts w:cs="David" w:hint="default"/>
          <w:rtl/>
        </w:rPr>
        <w:t>ת</w:t>
      </w:r>
      <w:r w:rsidR="004A22F6">
        <w:rPr>
          <w:rFonts w:cs="David" w:hint="default"/>
        </w:rPr>
        <w:t xml:space="preserve"> </w:t>
      </w:r>
      <w:r w:rsidR="00276391">
        <w:rPr>
          <w:rFonts w:cs="David"/>
          <w:rtl/>
        </w:rPr>
        <w:t>ב</w:t>
      </w:r>
      <w:r w:rsidR="004A22F6">
        <w:rPr>
          <w:rFonts w:cs="David"/>
          <w:rtl/>
        </w:rPr>
        <w:t>מדד הייצור התעשייתי (יולי), מדד הפדיון במס</w:t>
      </w:r>
      <w:r w:rsidR="00276391">
        <w:rPr>
          <w:rFonts w:cs="David"/>
          <w:rtl/>
        </w:rPr>
        <w:t>ח</w:t>
      </w:r>
      <w:r w:rsidR="004A22F6">
        <w:rPr>
          <w:rFonts w:cs="David"/>
          <w:rtl/>
        </w:rPr>
        <w:t xml:space="preserve">ר הקמעונאי (יולי), התחלות הבנייה (יוני) </w:t>
      </w:r>
      <w:r w:rsidR="00D2705A">
        <w:rPr>
          <w:rFonts w:cs="David"/>
          <w:rtl/>
        </w:rPr>
        <w:t>ו</w:t>
      </w:r>
      <w:r w:rsidR="004A22F6" w:rsidRPr="0063280B">
        <w:rPr>
          <w:rFonts w:cs="David"/>
          <w:rtl/>
        </w:rPr>
        <w:t>עליית</w:t>
      </w:r>
      <w:r w:rsidR="004A22F6" w:rsidRPr="00194964">
        <w:rPr>
          <w:rFonts w:cs="David" w:hint="default"/>
          <w:rtl/>
        </w:rPr>
        <w:t xml:space="preserve"> </w:t>
      </w:r>
      <w:r w:rsidR="004A22F6" w:rsidRPr="00515F7F">
        <w:rPr>
          <w:rFonts w:cs="David" w:hint="eastAsia"/>
          <w:rtl/>
        </w:rPr>
        <w:t>ייצור</w:t>
      </w:r>
      <w:r w:rsidR="004A22F6" w:rsidRPr="00515F7F">
        <w:rPr>
          <w:rFonts w:cs="David" w:hint="default"/>
          <w:rtl/>
        </w:rPr>
        <w:t xml:space="preserve"> </w:t>
      </w:r>
      <w:r w:rsidR="004A22F6" w:rsidRPr="00515F7F">
        <w:rPr>
          <w:rFonts w:cs="David" w:hint="eastAsia"/>
          <w:rtl/>
        </w:rPr>
        <w:t>החשמל</w:t>
      </w:r>
      <w:r w:rsidR="004A22F6" w:rsidRPr="00515F7F">
        <w:rPr>
          <w:rFonts w:cs="David" w:hint="default"/>
          <w:rtl/>
        </w:rPr>
        <w:t xml:space="preserve"> (</w:t>
      </w:r>
      <w:r w:rsidR="004A22F6">
        <w:rPr>
          <w:rFonts w:cs="David"/>
          <w:rtl/>
        </w:rPr>
        <w:t>אוגוסט)</w:t>
      </w:r>
      <w:r w:rsidR="00D2705A">
        <w:rPr>
          <w:rFonts w:cs="David"/>
          <w:rtl/>
        </w:rPr>
        <w:t xml:space="preserve">. </w:t>
      </w:r>
      <w:r w:rsidRPr="007C0412">
        <w:rPr>
          <w:rFonts w:cs="David" w:hint="eastAsia"/>
          <w:rtl/>
        </w:rPr>
        <w:t>לעומת</w:t>
      </w:r>
      <w:r w:rsidRPr="007C0412">
        <w:rPr>
          <w:rFonts w:cs="David" w:hint="default"/>
          <w:rtl/>
        </w:rPr>
        <w:t xml:space="preserve"> </w:t>
      </w:r>
      <w:r w:rsidRPr="007C0412">
        <w:rPr>
          <w:rFonts w:cs="David" w:hint="eastAsia"/>
          <w:rtl/>
        </w:rPr>
        <w:t>אלה</w:t>
      </w:r>
      <w:r w:rsidRPr="007C0412">
        <w:rPr>
          <w:rFonts w:cs="David" w:hint="default"/>
          <w:rtl/>
        </w:rPr>
        <w:t>,</w:t>
      </w:r>
      <w:r w:rsidR="0062251D">
        <w:rPr>
          <w:rFonts w:cs="David"/>
          <w:rtl/>
        </w:rPr>
        <w:t xml:space="preserve"> </w:t>
      </w:r>
      <w:r w:rsidR="004153F0" w:rsidRPr="003C298E">
        <w:rPr>
          <w:rFonts w:cs="David" w:hint="eastAsia"/>
          <w:rtl/>
        </w:rPr>
        <w:t>מדד</w:t>
      </w:r>
      <w:r w:rsidR="004153F0" w:rsidRPr="003C298E">
        <w:rPr>
          <w:rFonts w:cs="David" w:hint="default"/>
          <w:rtl/>
        </w:rPr>
        <w:t xml:space="preserve"> הפדיון בשירותים (</w:t>
      </w:r>
      <w:r w:rsidR="008953CE">
        <w:rPr>
          <w:rFonts w:cs="David"/>
          <w:rtl/>
        </w:rPr>
        <w:t>יולי</w:t>
      </w:r>
      <w:r w:rsidR="00AC003E" w:rsidRPr="007C0412">
        <w:rPr>
          <w:rFonts w:cs="David" w:hint="default"/>
          <w:rtl/>
        </w:rPr>
        <w:t>),</w:t>
      </w:r>
      <w:r w:rsidR="00AC003E" w:rsidRPr="004153F0">
        <w:rPr>
          <w:rFonts w:cs="David" w:hint="default"/>
          <w:rtl/>
        </w:rPr>
        <w:t xml:space="preserve"> </w:t>
      </w:r>
      <w:r w:rsidR="004A22F6" w:rsidRPr="003C298E">
        <w:rPr>
          <w:rFonts w:cs="David" w:hint="default"/>
          <w:rtl/>
        </w:rPr>
        <w:t>יבוא מוצרי הצריכה (</w:t>
      </w:r>
      <w:r w:rsidR="004A22F6">
        <w:rPr>
          <w:rFonts w:cs="David"/>
          <w:rtl/>
        </w:rPr>
        <w:t>אוגוסט</w:t>
      </w:r>
      <w:r w:rsidR="004A22F6" w:rsidRPr="003C298E">
        <w:rPr>
          <w:rFonts w:cs="David" w:hint="default"/>
          <w:rtl/>
        </w:rPr>
        <w:t>)</w:t>
      </w:r>
      <w:r w:rsidR="004A22F6" w:rsidRPr="003C298E">
        <w:rPr>
          <w:rFonts w:cs="David"/>
          <w:rtl/>
        </w:rPr>
        <w:t>,</w:t>
      </w:r>
      <w:r w:rsidR="004A22F6">
        <w:rPr>
          <w:rFonts w:cs="David"/>
          <w:rtl/>
        </w:rPr>
        <w:t xml:space="preserve"> </w:t>
      </w:r>
      <w:r w:rsidR="004A22F6" w:rsidRPr="007C0412">
        <w:rPr>
          <w:rFonts w:cs="David" w:hint="default"/>
          <w:rtl/>
        </w:rPr>
        <w:t>יבוא התשומות לייצור (</w:t>
      </w:r>
      <w:r w:rsidR="004A22F6">
        <w:rPr>
          <w:rFonts w:cs="David"/>
          <w:rtl/>
        </w:rPr>
        <w:t>אוגוסט</w:t>
      </w:r>
      <w:r w:rsidR="004A22F6">
        <w:rPr>
          <w:rFonts w:cs="David" w:hint="default"/>
          <w:rtl/>
        </w:rPr>
        <w:t>)</w:t>
      </w:r>
      <w:r w:rsidR="004A22F6" w:rsidRPr="007C0412">
        <w:rPr>
          <w:rFonts w:cs="David" w:hint="default"/>
          <w:rtl/>
        </w:rPr>
        <w:t>,</w:t>
      </w:r>
      <w:r w:rsidR="00D2705A">
        <w:rPr>
          <w:rFonts w:cs="David"/>
          <w:rtl/>
        </w:rPr>
        <w:t xml:space="preserve"> </w:t>
      </w:r>
      <w:r w:rsidR="00D2705A" w:rsidRPr="007C0412">
        <w:rPr>
          <w:rFonts w:cs="David" w:hint="eastAsia"/>
          <w:rtl/>
        </w:rPr>
        <w:t>יצוא</w:t>
      </w:r>
      <w:r w:rsidR="00D2705A" w:rsidRPr="007C0412">
        <w:rPr>
          <w:rFonts w:cs="David" w:hint="default"/>
          <w:rtl/>
        </w:rPr>
        <w:t xml:space="preserve"> </w:t>
      </w:r>
      <w:r w:rsidR="00D2705A" w:rsidRPr="007C0412">
        <w:rPr>
          <w:rFonts w:cs="David" w:hint="eastAsia"/>
          <w:rtl/>
        </w:rPr>
        <w:t>הסחורות</w:t>
      </w:r>
      <w:r w:rsidR="00D2705A" w:rsidRPr="007C0412">
        <w:rPr>
          <w:rFonts w:cs="David" w:hint="default"/>
          <w:rtl/>
        </w:rPr>
        <w:t xml:space="preserve"> (</w:t>
      </w:r>
      <w:r w:rsidR="00D2705A">
        <w:rPr>
          <w:rFonts w:cs="David"/>
          <w:rtl/>
        </w:rPr>
        <w:t>אוגוסט</w:t>
      </w:r>
      <w:r w:rsidR="00D2705A" w:rsidRPr="007C0412">
        <w:rPr>
          <w:rFonts w:cs="David" w:hint="default"/>
          <w:rtl/>
        </w:rPr>
        <w:t>)</w:t>
      </w:r>
      <w:r w:rsidR="00D2705A">
        <w:rPr>
          <w:rFonts w:cs="David"/>
          <w:rtl/>
        </w:rPr>
        <w:t>,</w:t>
      </w:r>
      <w:r w:rsidR="00D2705A" w:rsidRPr="00AC003E">
        <w:rPr>
          <w:rFonts w:cs="David"/>
          <w:rtl/>
        </w:rPr>
        <w:t xml:space="preserve"> </w:t>
      </w:r>
      <w:r w:rsidR="004A22F6" w:rsidRPr="003C298E">
        <w:rPr>
          <w:rFonts w:cs="David" w:hint="eastAsia"/>
          <w:rtl/>
        </w:rPr>
        <w:t>יצוא</w:t>
      </w:r>
      <w:r w:rsidR="004A22F6" w:rsidRPr="003C298E">
        <w:rPr>
          <w:rFonts w:cs="David" w:hint="default"/>
          <w:rtl/>
        </w:rPr>
        <w:t xml:space="preserve"> </w:t>
      </w:r>
      <w:r w:rsidR="004A22F6" w:rsidRPr="003C298E">
        <w:rPr>
          <w:rFonts w:cs="David" w:hint="eastAsia"/>
          <w:rtl/>
        </w:rPr>
        <w:t>השירותים</w:t>
      </w:r>
      <w:r w:rsidR="004A22F6" w:rsidRPr="003C298E">
        <w:rPr>
          <w:rFonts w:cs="David" w:hint="default"/>
          <w:rtl/>
        </w:rPr>
        <w:t xml:space="preserve"> (</w:t>
      </w:r>
      <w:r w:rsidR="004A22F6">
        <w:rPr>
          <w:rFonts w:cs="David"/>
          <w:rtl/>
        </w:rPr>
        <w:t>יוני</w:t>
      </w:r>
      <w:r w:rsidR="004A22F6" w:rsidRPr="003C298E">
        <w:rPr>
          <w:rFonts w:cs="David"/>
          <w:rtl/>
        </w:rPr>
        <w:t>)</w:t>
      </w:r>
      <w:r w:rsidR="00D2705A">
        <w:rPr>
          <w:rFonts w:cs="David"/>
          <w:rtl/>
        </w:rPr>
        <w:t xml:space="preserve"> </w:t>
      </w:r>
      <w:r w:rsidR="004A22F6" w:rsidRPr="007C0412">
        <w:rPr>
          <w:rFonts w:cs="David"/>
          <w:rtl/>
        </w:rPr>
        <w:t>ו</w:t>
      </w:r>
      <w:r w:rsidR="004A22F6" w:rsidRPr="007C0412">
        <w:rPr>
          <w:rFonts w:cs="David" w:hint="eastAsia"/>
          <w:rtl/>
        </w:rPr>
        <w:t>הרכישות</w:t>
      </w:r>
      <w:r w:rsidR="004A22F6" w:rsidRPr="007C0412">
        <w:rPr>
          <w:rFonts w:cs="David" w:hint="default"/>
          <w:rtl/>
        </w:rPr>
        <w:t xml:space="preserve"> </w:t>
      </w:r>
      <w:r w:rsidR="004A22F6" w:rsidRPr="007C0412">
        <w:rPr>
          <w:rFonts w:cs="David" w:hint="eastAsia"/>
          <w:rtl/>
        </w:rPr>
        <w:t>בכרטיסי</w:t>
      </w:r>
      <w:r w:rsidR="004A22F6" w:rsidRPr="007C0412">
        <w:rPr>
          <w:rFonts w:cs="David" w:hint="default"/>
          <w:rtl/>
        </w:rPr>
        <w:t xml:space="preserve"> </w:t>
      </w:r>
      <w:r w:rsidR="004A22F6" w:rsidRPr="007C0412">
        <w:rPr>
          <w:rFonts w:cs="David" w:hint="eastAsia"/>
          <w:rtl/>
        </w:rPr>
        <w:t>אשראי</w:t>
      </w:r>
      <w:r w:rsidR="004A22F6" w:rsidRPr="007C0412">
        <w:rPr>
          <w:rFonts w:cs="David" w:hint="default"/>
          <w:rtl/>
        </w:rPr>
        <w:t xml:space="preserve"> (</w:t>
      </w:r>
      <w:r w:rsidR="004A22F6">
        <w:rPr>
          <w:rFonts w:cs="David"/>
          <w:rtl/>
        </w:rPr>
        <w:t>אוגוסט</w:t>
      </w:r>
      <w:r w:rsidR="004A22F6" w:rsidRPr="007C0412">
        <w:rPr>
          <w:rFonts w:cs="David" w:hint="default"/>
          <w:rtl/>
        </w:rPr>
        <w:t>)</w:t>
      </w:r>
      <w:r w:rsidR="00D2705A">
        <w:rPr>
          <w:rFonts w:cs="David"/>
          <w:rtl/>
        </w:rPr>
        <w:t xml:space="preserve"> </w:t>
      </w:r>
      <w:r w:rsidR="00837D8E" w:rsidRPr="007C0412">
        <w:rPr>
          <w:rFonts w:cs="David" w:hint="eastAsia"/>
          <w:rtl/>
        </w:rPr>
        <w:t>ירדו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והשפיעו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שלילית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על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המדד</w:t>
      </w:r>
      <w:r w:rsidR="00837D8E" w:rsidRPr="007C0412">
        <w:rPr>
          <w:rFonts w:cs="David" w:hint="default"/>
          <w:rtl/>
        </w:rPr>
        <w:t>.</w:t>
      </w:r>
      <w:r w:rsidR="00837D8E" w:rsidRPr="007C0412">
        <w:rPr>
          <w:rFonts w:cs="David"/>
          <w:rtl/>
        </w:rPr>
        <w:t xml:space="preserve"> </w:t>
      </w:r>
    </w:p>
    <w:p w:rsidR="008E1B9D" w:rsidRDefault="00D31011" w:rsidP="008953CE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:rsidR="00D31011" w:rsidRDefault="0004247A" w:rsidP="0047442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hyperlink r:id="rId9" w:history="1">
        <w:r w:rsidRPr="0004247A">
          <w:rPr>
            <w:rStyle w:val="Hyperlink"/>
            <w:rFonts w:hint="default"/>
          </w:rPr>
          <w:t>https://www.boi.org.il/roles/statistics/compositeindex/</w:t>
        </w:r>
      </w:hyperlink>
    </w:p>
    <w:p w:rsidR="00841F1A" w:rsidRPr="00947B41" w:rsidRDefault="0011689C" w:rsidP="00E0201D">
      <w:pPr>
        <w:pStyle w:val="1"/>
        <w:bidi/>
        <w:rPr>
          <w:rFonts w:hint="default"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Default="00C13028" w:rsidP="00D66257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885A56" w:rsidP="007E579B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0.07</w:t>
            </w:r>
          </w:p>
        </w:tc>
      </w:tr>
      <w:tr w:rsidR="00C13028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13028" w:rsidRDefault="00C13028" w:rsidP="00C13028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C13028" w:rsidRDefault="00C13028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0.17</w:t>
            </w:r>
          </w:p>
        </w:tc>
        <w:tc>
          <w:tcPr>
            <w:tcW w:w="0" w:type="auto"/>
            <w:vAlign w:val="bottom"/>
          </w:tcPr>
          <w:p w:rsidR="00C13028" w:rsidRDefault="00885A56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0.04</w:t>
            </w:r>
          </w:p>
        </w:tc>
      </w:tr>
      <w:tr w:rsidR="00C13028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13028" w:rsidRDefault="00C13028" w:rsidP="00C13028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:rsidR="00C13028" w:rsidRDefault="00C13028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0.07</w:t>
            </w:r>
          </w:p>
        </w:tc>
        <w:tc>
          <w:tcPr>
            <w:tcW w:w="0" w:type="auto"/>
            <w:vAlign w:val="bottom"/>
          </w:tcPr>
          <w:p w:rsidR="00C13028" w:rsidDel="00164403" w:rsidRDefault="00885A56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0.01</w:t>
            </w:r>
          </w:p>
        </w:tc>
      </w:tr>
      <w:tr w:rsidR="00C13028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13028" w:rsidRDefault="00C13028" w:rsidP="00C13028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C13028" w:rsidDel="00164403" w:rsidRDefault="00C13028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0.22</w:t>
            </w:r>
          </w:p>
        </w:tc>
        <w:tc>
          <w:tcPr>
            <w:tcW w:w="0" w:type="auto"/>
            <w:vAlign w:val="bottom"/>
          </w:tcPr>
          <w:p w:rsidR="00C13028" w:rsidRDefault="00D2705A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0.30</w:t>
            </w:r>
          </w:p>
        </w:tc>
      </w:tr>
      <w:tr w:rsidR="00C13028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13028" w:rsidRDefault="00C13028" w:rsidP="00C13028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:rsidR="00C13028" w:rsidRDefault="00C13028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0.04</w:t>
            </w:r>
          </w:p>
        </w:tc>
        <w:tc>
          <w:tcPr>
            <w:tcW w:w="0" w:type="auto"/>
            <w:vAlign w:val="bottom"/>
          </w:tcPr>
          <w:p w:rsidR="00C13028" w:rsidRPr="009307ED" w:rsidRDefault="00885A56" w:rsidP="00885A5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0.17</w:t>
            </w:r>
          </w:p>
        </w:tc>
      </w:tr>
      <w:tr w:rsidR="00C13028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C13028" w:rsidRPr="00BD36C8" w:rsidRDefault="00C13028" w:rsidP="00C13028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:rsidR="00C13028" w:rsidRPr="009307ED" w:rsidRDefault="00C13028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-0.01</w:t>
            </w:r>
          </w:p>
        </w:tc>
        <w:tc>
          <w:tcPr>
            <w:tcW w:w="0" w:type="auto"/>
            <w:vAlign w:val="bottom"/>
          </w:tcPr>
          <w:p w:rsidR="00C13028" w:rsidRDefault="00885A56" w:rsidP="00C13028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0.02</w:t>
            </w:r>
          </w:p>
        </w:tc>
      </w:tr>
    </w:tbl>
    <w:p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935854" w:rsidRPr="00947B41" w:rsidTr="00C52C86">
        <w:trPr>
          <w:tblHeader/>
        </w:trPr>
        <w:tc>
          <w:tcPr>
            <w:tcW w:w="3613" w:type="dxa"/>
            <w:shd w:val="clear" w:color="auto" w:fill="auto"/>
          </w:tcPr>
          <w:p w:rsidR="00935854" w:rsidRPr="005D09FC" w:rsidRDefault="00935854" w:rsidP="00935854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935854" w:rsidRPr="00BD36C8" w:rsidRDefault="00935854" w:rsidP="0093585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אוגוסט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5854" w:rsidRPr="00BD36C8" w:rsidRDefault="00935854" w:rsidP="0093585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יולי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5854" w:rsidRPr="00BD36C8" w:rsidRDefault="00935854" w:rsidP="0093585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יוני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935854" w:rsidRPr="00BD36C8" w:rsidRDefault="00935854" w:rsidP="0093585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מאי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-1.4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-1.9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-4.0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0.2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1.9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-2.6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-1.2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-4.5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1.2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0.3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-0.4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0.1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E46F29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3.9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4.0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D95D04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0651D6" w:rsidDel="00CD33E3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0651D6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12.6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0651D6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 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0.3</w:t>
            </w:r>
          </w:p>
        </w:tc>
      </w:tr>
      <w:tr w:rsidR="00885A56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885A56" w:rsidRPr="003B358C" w:rsidRDefault="00885A56" w:rsidP="00885A56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-0.2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56" w:rsidRPr="00650E12" w:rsidDel="00D279B8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A56" w:rsidRPr="00650E12" w:rsidRDefault="00885A56" w:rsidP="00885A56">
            <w:pPr>
              <w:jc w:val="center"/>
              <w:rPr>
                <w:rFonts w:ascii="David" w:hAnsi="David" w:cs="David" w:hint="default"/>
              </w:rPr>
            </w:pPr>
            <w:r w:rsidRPr="00885A56">
              <w:rPr>
                <w:rFonts w:ascii="David" w:hAnsi="David" w:cs="David"/>
              </w:rPr>
              <w:t>1.2</w:t>
            </w:r>
          </w:p>
        </w:tc>
      </w:tr>
      <w:bookmarkEnd w:id="0"/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4C" w:rsidRDefault="0004674C">
      <w:pPr>
        <w:rPr>
          <w:rFonts w:hint="default"/>
        </w:rPr>
      </w:pPr>
      <w:r>
        <w:separator/>
      </w:r>
    </w:p>
  </w:endnote>
  <w:endnote w:type="continuationSeparator" w:id="0">
    <w:p w:rsidR="0004674C" w:rsidRDefault="0004674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4C" w:rsidRDefault="0004674C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04674C" w:rsidRDefault="0004674C">
      <w:pPr>
        <w:rPr>
          <w:rFonts w:hint="default"/>
        </w:rPr>
      </w:pPr>
      <w:r>
        <w:continuationSeparator/>
      </w:r>
    </w:p>
  </w:footnote>
  <w:footnote w:id="1">
    <w:p w:rsidR="00885A56" w:rsidRDefault="00885A56" w:rsidP="00BF4428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885A56" w:rsidRPr="00743C4A" w:rsidRDefault="00885A56" w:rsidP="00A1797A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885A56" w:rsidRPr="00743C4A" w:rsidRDefault="00885A56" w:rsidP="008E202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885A56" w:rsidRPr="00E11C2B" w:rsidRDefault="00885A56" w:rsidP="00D95D04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:rsidR="00885A56" w:rsidRPr="00D95D04" w:rsidRDefault="00885A56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:rsidR="00885A56" w:rsidRPr="00D95D04" w:rsidRDefault="00885A56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F28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249A"/>
    <w:rsid w:val="00394783"/>
    <w:rsid w:val="00394BD2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17F0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2A80"/>
    <w:rsid w:val="00F22B64"/>
    <w:rsid w:val="00F23B25"/>
    <w:rsid w:val="00F24320"/>
    <w:rsid w:val="00F25874"/>
    <w:rsid w:val="00F269C2"/>
    <w:rsid w:val="00F275FF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2FF2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F44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tatistics/composite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A2C5-DEF7-4EE1-BA39-3EA2121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2023-09-26T07:09:00Z</dcterms:created>
  <dcterms:modified xsi:type="dcterms:W3CDTF">2023-09-26T07:09:00Z</dcterms:modified>
</cp:coreProperties>
</file>