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4F1D" w14:textId="5FBD437F" w:rsidR="00650B9A" w:rsidRPr="007323B3" w:rsidRDefault="0082439C" w:rsidP="00A60E0E">
      <w:pPr>
        <w:pStyle w:val="regpar"/>
        <w:spacing w:line="300" w:lineRule="atLeast"/>
        <w:ind w:firstLine="0"/>
        <w:jc w:val="center"/>
        <w:rPr>
          <w:rFonts w:ascii="Calibri" w:hAnsi="Calibri" w:cs="Calibri"/>
          <w:bCs/>
        </w:rPr>
      </w:pPr>
      <w:r w:rsidRPr="007323B3">
        <w:rPr>
          <w:rFonts w:ascii="Calibri" w:hAnsi="Calibri" w:cs="Calibri"/>
          <w:noProof/>
        </w:rPr>
        <w:drawing>
          <wp:inline distT="0" distB="0" distL="0" distR="0" wp14:anchorId="242E5CCB" wp14:editId="569645A0">
            <wp:extent cx="1933575" cy="6411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6153" cy="651971"/>
                    </a:xfrm>
                    <a:prstGeom prst="rect">
                      <a:avLst/>
                    </a:prstGeom>
                    <a:noFill/>
                    <a:ln>
                      <a:noFill/>
                    </a:ln>
                  </pic:spPr>
                </pic:pic>
              </a:graphicData>
            </a:graphic>
          </wp:inline>
        </w:drawing>
      </w:r>
    </w:p>
    <w:p w14:paraId="63BE01C5" w14:textId="77777777" w:rsidR="00125AB8" w:rsidRPr="007323B3" w:rsidRDefault="00125AB8" w:rsidP="00A60E0E">
      <w:pPr>
        <w:pStyle w:val="regpar"/>
        <w:spacing w:line="300" w:lineRule="atLeast"/>
        <w:ind w:firstLine="0"/>
        <w:jc w:val="center"/>
        <w:rPr>
          <w:rFonts w:ascii="Calibri" w:hAnsi="Calibri" w:cs="Calibri"/>
          <w:bCs/>
        </w:rPr>
      </w:pPr>
    </w:p>
    <w:p w14:paraId="0B56D4B0" w14:textId="77777777" w:rsidR="00650B9A" w:rsidRPr="007323B3" w:rsidRDefault="009509D8" w:rsidP="00A60E0E">
      <w:pPr>
        <w:pStyle w:val="regpar"/>
        <w:spacing w:line="300" w:lineRule="atLeast"/>
        <w:ind w:firstLine="0"/>
        <w:jc w:val="center"/>
        <w:rPr>
          <w:rFonts w:ascii="Calibri" w:hAnsi="Calibri" w:cs="Calibri"/>
          <w:bCs/>
          <w:sz w:val="22"/>
          <w:szCs w:val="22"/>
        </w:rPr>
      </w:pPr>
      <w:r w:rsidRPr="007323B3">
        <w:rPr>
          <w:rFonts w:ascii="Calibri" w:hAnsi="Calibri" w:cs="Calibri"/>
          <w:bCs/>
          <w:sz w:val="22"/>
          <w:szCs w:val="22"/>
        </w:rPr>
        <w:t>BANK OF ISRAEL</w:t>
      </w:r>
    </w:p>
    <w:p w14:paraId="1D2A098E" w14:textId="77777777" w:rsidR="00650B9A" w:rsidRPr="007323B3" w:rsidRDefault="009509D8" w:rsidP="0009048D">
      <w:pPr>
        <w:pStyle w:val="regpar"/>
        <w:spacing w:line="300" w:lineRule="atLeast"/>
        <w:ind w:firstLine="0"/>
        <w:jc w:val="center"/>
        <w:rPr>
          <w:rFonts w:ascii="Calibri" w:hAnsi="Calibri" w:cs="Calibri"/>
          <w:sz w:val="22"/>
          <w:szCs w:val="22"/>
        </w:rPr>
      </w:pPr>
      <w:r w:rsidRPr="007323B3">
        <w:rPr>
          <w:rFonts w:ascii="Calibri" w:hAnsi="Calibri" w:cs="Calibri"/>
          <w:sz w:val="22"/>
          <w:szCs w:val="22"/>
        </w:rPr>
        <w:t xml:space="preserve">Office of the </w:t>
      </w:r>
      <w:r w:rsidR="0009048D" w:rsidRPr="007323B3">
        <w:rPr>
          <w:rFonts w:ascii="Calibri" w:hAnsi="Calibri" w:cs="Calibri"/>
          <w:sz w:val="22"/>
          <w:szCs w:val="22"/>
        </w:rPr>
        <w:t>Spokesperson and Economic Information</w:t>
      </w:r>
    </w:p>
    <w:p w14:paraId="70BD471A" w14:textId="77777777" w:rsidR="0009048D" w:rsidRPr="007323B3" w:rsidRDefault="0009048D" w:rsidP="0009048D">
      <w:pPr>
        <w:pStyle w:val="regpar"/>
        <w:spacing w:line="300" w:lineRule="atLeast"/>
        <w:ind w:firstLine="0"/>
        <w:jc w:val="center"/>
        <w:rPr>
          <w:rFonts w:ascii="Calibri" w:hAnsi="Calibri" w:cs="Calibri"/>
          <w:sz w:val="22"/>
          <w:szCs w:val="22"/>
        </w:rPr>
      </w:pPr>
    </w:p>
    <w:p w14:paraId="285DAB54" w14:textId="77777777" w:rsidR="0009048D" w:rsidRPr="007323B3" w:rsidRDefault="009509D8" w:rsidP="0009048D">
      <w:pPr>
        <w:pStyle w:val="regpar"/>
        <w:spacing w:line="300" w:lineRule="atLeast"/>
        <w:ind w:firstLine="0"/>
        <w:jc w:val="center"/>
        <w:rPr>
          <w:rFonts w:ascii="Calibri" w:hAnsi="Calibri" w:cs="Calibri"/>
          <w:sz w:val="22"/>
          <w:szCs w:val="22"/>
        </w:rPr>
      </w:pPr>
      <w:r w:rsidRPr="007323B3">
        <w:rPr>
          <w:rFonts w:ascii="Calibri" w:hAnsi="Calibri" w:cs="Calibri"/>
          <w:sz w:val="22"/>
          <w:szCs w:val="22"/>
        </w:rPr>
        <w:t>Press release</w:t>
      </w:r>
    </w:p>
    <w:p w14:paraId="2C828B29" w14:textId="77777777" w:rsidR="00DD0AB5" w:rsidRPr="007323B3" w:rsidRDefault="00DD0AB5" w:rsidP="00A60E0E">
      <w:pPr>
        <w:pStyle w:val="regpar"/>
        <w:spacing w:line="300" w:lineRule="atLeast"/>
        <w:ind w:firstLine="0"/>
        <w:jc w:val="center"/>
        <w:rPr>
          <w:rFonts w:ascii="Calibri" w:hAnsi="Calibri" w:cs="Calibri"/>
          <w:b/>
          <w:sz w:val="22"/>
          <w:szCs w:val="22"/>
        </w:rPr>
      </w:pPr>
    </w:p>
    <w:p w14:paraId="27216EF9" w14:textId="49A1BEB2" w:rsidR="007617BD" w:rsidRPr="007323B3" w:rsidRDefault="007323B3" w:rsidP="00651EE8">
      <w:pPr>
        <w:pStyle w:val="regpar"/>
        <w:jc w:val="right"/>
        <w:rPr>
          <w:rFonts w:ascii="Calibri" w:hAnsi="Calibri" w:cs="Calibri"/>
          <w:sz w:val="22"/>
          <w:szCs w:val="22"/>
        </w:rPr>
      </w:pPr>
      <w:r>
        <w:rPr>
          <w:rFonts w:ascii="Calibri" w:hAnsi="Calibri" w:cs="Calibri"/>
          <w:sz w:val="22"/>
          <w:szCs w:val="22"/>
        </w:rPr>
        <w:t>January 6, 2025</w:t>
      </w:r>
    </w:p>
    <w:p w14:paraId="48AB2072" w14:textId="77777777" w:rsidR="00F23C43" w:rsidRPr="007323B3" w:rsidRDefault="00F23C43" w:rsidP="00F23C43">
      <w:pPr>
        <w:pStyle w:val="regpar"/>
        <w:rPr>
          <w:rFonts w:ascii="Calibri" w:hAnsi="Calibri" w:cs="Calibri"/>
          <w:sz w:val="22"/>
          <w:szCs w:val="22"/>
        </w:rPr>
      </w:pPr>
    </w:p>
    <w:p w14:paraId="0164B728" w14:textId="77777777" w:rsidR="007323B3" w:rsidRPr="007323B3" w:rsidRDefault="007323B3" w:rsidP="007323B3">
      <w:pPr>
        <w:jc w:val="center"/>
        <w:rPr>
          <w:rFonts w:ascii="Calibri" w:hAnsi="Calibri" w:cs="Calibri"/>
          <w:b/>
          <w:bCs/>
          <w:sz w:val="28"/>
          <w:szCs w:val="28"/>
        </w:rPr>
      </w:pPr>
      <w:bookmarkStart w:id="0" w:name="_GoBack"/>
      <w:r w:rsidRPr="007323B3">
        <w:rPr>
          <w:rFonts w:ascii="Calibri" w:hAnsi="Calibri" w:cs="Calibri"/>
          <w:b/>
          <w:bCs/>
          <w:sz w:val="28"/>
          <w:szCs w:val="28"/>
        </w:rPr>
        <w:t>Research Department Staff Forecast, January 2025</w:t>
      </w:r>
    </w:p>
    <w:bookmarkEnd w:id="0"/>
    <w:p w14:paraId="0FD333C1" w14:textId="77777777" w:rsidR="007323B3" w:rsidRPr="007323B3" w:rsidRDefault="007323B3" w:rsidP="007323B3">
      <w:pPr>
        <w:spacing w:line="360" w:lineRule="auto"/>
        <w:rPr>
          <w:rFonts w:ascii="Calibri" w:hAnsi="Calibri" w:cs="Calibri"/>
          <w:b/>
          <w:bCs/>
        </w:rPr>
      </w:pPr>
    </w:p>
    <w:p w14:paraId="34752BC3" w14:textId="77777777" w:rsidR="007323B3" w:rsidRPr="007323B3" w:rsidRDefault="007323B3" w:rsidP="007323B3">
      <w:pPr>
        <w:spacing w:line="360" w:lineRule="auto"/>
        <w:rPr>
          <w:rFonts w:ascii="Calibri" w:hAnsi="Calibri" w:cs="Calibri"/>
        </w:rPr>
      </w:pPr>
      <w:r w:rsidRPr="007323B3">
        <w:rPr>
          <w:rFonts w:ascii="Calibri" w:hAnsi="Calibri" w:cs="Calibri"/>
          <w:b/>
          <w:bCs/>
        </w:rPr>
        <w:t>Abstract</w:t>
      </w:r>
    </w:p>
    <w:p w14:paraId="0E1CA31C" w14:textId="77777777" w:rsidR="007323B3" w:rsidRPr="007323B3" w:rsidRDefault="007323B3" w:rsidP="007323B3">
      <w:pPr>
        <w:rPr>
          <w:rFonts w:ascii="Calibri" w:hAnsi="Calibri" w:cs="Calibri"/>
        </w:rPr>
      </w:pPr>
      <w:r w:rsidRPr="007323B3">
        <w:rPr>
          <w:rFonts w:ascii="Calibri" w:hAnsi="Calibri" w:cs="Calibri"/>
        </w:rPr>
        <w:t>This document presents the macroeconomic staff forecast formulated by the Bank of Israel Research Department in January 2025 concerning the main macroeconomic variables—GDP, inflation, and the interest rate.</w:t>
      </w:r>
      <w:r w:rsidRPr="007323B3">
        <w:rPr>
          <w:rStyle w:val="a6"/>
          <w:rFonts w:ascii="Calibri" w:hAnsi="Calibri" w:cs="Calibri"/>
        </w:rPr>
        <w:footnoteReference w:id="1"/>
      </w:r>
      <w:r w:rsidRPr="007323B3">
        <w:rPr>
          <w:rFonts w:ascii="Calibri" w:hAnsi="Calibri" w:cs="Calibri"/>
        </w:rPr>
        <w:t xml:space="preserve"> According to the forecast’s baseline scenario, the assessment is that GDP grew by 0.6 percent in 2024 and that it is expected to grow by 4.0 percent in </w:t>
      </w:r>
      <w:proofErr w:type="gramStart"/>
      <w:r w:rsidRPr="007323B3">
        <w:rPr>
          <w:rFonts w:ascii="Calibri" w:hAnsi="Calibri" w:cs="Calibri"/>
        </w:rPr>
        <w:t>2025,</w:t>
      </w:r>
      <w:proofErr w:type="gramEnd"/>
      <w:r w:rsidRPr="007323B3">
        <w:rPr>
          <w:rFonts w:ascii="Calibri" w:hAnsi="Calibri" w:cs="Calibri"/>
        </w:rPr>
        <w:t xml:space="preserve"> and by 4.5 percent in 2026.  The inflation rate in the coming four quarters (ending in the fourth quarter of 2025) </w:t>
      </w:r>
      <w:proofErr w:type="gramStart"/>
      <w:r w:rsidRPr="007323B3">
        <w:rPr>
          <w:rFonts w:ascii="Calibri" w:hAnsi="Calibri" w:cs="Calibri"/>
        </w:rPr>
        <w:t>is expected</w:t>
      </w:r>
      <w:proofErr w:type="gramEnd"/>
      <w:r w:rsidRPr="007323B3">
        <w:rPr>
          <w:rFonts w:ascii="Calibri" w:hAnsi="Calibri" w:cs="Calibri"/>
        </w:rPr>
        <w:t xml:space="preserve"> to be 2.6 percent, and inflation in 2026 is expected to be 2.3 percent.  The average interest rate in the fourth quarter of 2025 </w:t>
      </w:r>
      <w:proofErr w:type="gramStart"/>
      <w:r w:rsidRPr="007323B3">
        <w:rPr>
          <w:rFonts w:ascii="Calibri" w:hAnsi="Calibri" w:cs="Calibri"/>
        </w:rPr>
        <w:t>is expected</w:t>
      </w:r>
      <w:proofErr w:type="gramEnd"/>
      <w:r w:rsidRPr="007323B3">
        <w:rPr>
          <w:rFonts w:ascii="Calibri" w:hAnsi="Calibri" w:cs="Calibri"/>
        </w:rPr>
        <w:t xml:space="preserve"> to be </w:t>
      </w:r>
      <w:r w:rsidRPr="007323B3">
        <w:rPr>
          <w:rFonts w:ascii="Calibri" w:hAnsi="Calibri" w:cs="Calibri"/>
          <w:rtl/>
        </w:rPr>
        <w:t>4.0</w:t>
      </w:r>
      <w:r w:rsidRPr="007323B3">
        <w:rPr>
          <w:rFonts w:ascii="Calibri" w:hAnsi="Calibri" w:cs="Calibri"/>
        </w:rPr>
        <w:t xml:space="preserve">/4.25 percent. </w:t>
      </w:r>
    </w:p>
    <w:p w14:paraId="7BAA1B09" w14:textId="77777777" w:rsidR="007323B3" w:rsidRPr="007323B3" w:rsidRDefault="007323B3" w:rsidP="007323B3">
      <w:pPr>
        <w:rPr>
          <w:rFonts w:ascii="Calibri" w:hAnsi="Calibri" w:cs="Calibri"/>
        </w:rPr>
      </w:pPr>
    </w:p>
    <w:p w14:paraId="47DC10C2" w14:textId="77777777" w:rsidR="007323B3" w:rsidRPr="007323B3" w:rsidRDefault="007323B3" w:rsidP="007323B3">
      <w:pPr>
        <w:rPr>
          <w:rFonts w:ascii="Calibri" w:hAnsi="Calibri" w:cs="Calibri"/>
        </w:rPr>
      </w:pPr>
      <w:r w:rsidRPr="007323B3">
        <w:rPr>
          <w:rFonts w:ascii="Calibri" w:hAnsi="Calibri" w:cs="Calibri"/>
        </w:rPr>
        <w:t xml:space="preserve">This forecast </w:t>
      </w:r>
      <w:proofErr w:type="gramStart"/>
      <w:r w:rsidRPr="007323B3">
        <w:rPr>
          <w:rFonts w:ascii="Calibri" w:hAnsi="Calibri" w:cs="Calibri"/>
        </w:rPr>
        <w:t>was formulated</w:t>
      </w:r>
      <w:proofErr w:type="gramEnd"/>
      <w:r w:rsidRPr="007323B3">
        <w:rPr>
          <w:rFonts w:ascii="Calibri" w:hAnsi="Calibri" w:cs="Calibri"/>
        </w:rPr>
        <w:t xml:space="preserve"> under the assumption that the war’s direct impact on the economy will continue until the end of the first quarter of 2025.  This assumption reflects a moderate intensity of the fighting in early 2025. The downward risk to the forecast has decreased in view of geopolitical developments in the fourth quarter of 2024, particularly the relative calm along the Lebanese front, such that the probability we attribute to security scenarios with more serious economic implications has declined.  However, this risk remains much higher than normal.  As such, the level of uncertainty surrounding the growth, inflation, interest rate, and government deficit </w:t>
      </w:r>
      <w:proofErr w:type="gramStart"/>
      <w:r w:rsidRPr="007323B3">
        <w:rPr>
          <w:rFonts w:ascii="Calibri" w:hAnsi="Calibri" w:cs="Calibri"/>
        </w:rPr>
        <w:t>forecasts,</w:t>
      </w:r>
      <w:proofErr w:type="gramEnd"/>
      <w:r w:rsidRPr="007323B3">
        <w:rPr>
          <w:rFonts w:ascii="Calibri" w:hAnsi="Calibri" w:cs="Calibri"/>
        </w:rPr>
        <w:t xml:space="preserve"> remains high.</w:t>
      </w:r>
    </w:p>
    <w:p w14:paraId="607BB4AC" w14:textId="77777777" w:rsidR="007323B3" w:rsidRPr="007323B3" w:rsidRDefault="007323B3" w:rsidP="007323B3">
      <w:pPr>
        <w:rPr>
          <w:rFonts w:ascii="Calibri" w:hAnsi="Calibri" w:cs="Calibri"/>
        </w:rPr>
      </w:pPr>
    </w:p>
    <w:p w14:paraId="04CF0E4B" w14:textId="77777777" w:rsidR="007323B3" w:rsidRPr="007323B3" w:rsidRDefault="007323B3" w:rsidP="007323B3">
      <w:pPr>
        <w:rPr>
          <w:rFonts w:ascii="Calibri" w:hAnsi="Calibri" w:cs="Calibri"/>
          <w:b/>
          <w:bCs/>
        </w:rPr>
      </w:pPr>
      <w:r w:rsidRPr="007323B3">
        <w:rPr>
          <w:rFonts w:ascii="Calibri" w:hAnsi="Calibri" w:cs="Calibri"/>
          <w:b/>
          <w:bCs/>
        </w:rPr>
        <w:t>The forecast</w:t>
      </w:r>
    </w:p>
    <w:p w14:paraId="166404A0" w14:textId="77777777" w:rsidR="007323B3" w:rsidRPr="007323B3" w:rsidRDefault="007323B3" w:rsidP="007323B3">
      <w:pPr>
        <w:rPr>
          <w:rFonts w:ascii="Calibri" w:hAnsi="Calibri" w:cs="Calibri"/>
          <w:b/>
          <w:bCs/>
        </w:rPr>
      </w:pPr>
    </w:p>
    <w:p w14:paraId="16123C81" w14:textId="77777777" w:rsidR="007323B3" w:rsidRPr="007323B3" w:rsidRDefault="007323B3" w:rsidP="007323B3">
      <w:pPr>
        <w:rPr>
          <w:rFonts w:ascii="Calibri" w:hAnsi="Calibri" w:cs="Calibri"/>
        </w:rPr>
      </w:pPr>
      <w:r w:rsidRPr="007323B3">
        <w:rPr>
          <w:rFonts w:ascii="Calibri" w:hAnsi="Calibri" w:cs="Calibri"/>
        </w:rPr>
        <w:t>The Bank of Israel Research Department compiles a staff forecast of macroeconomic developments based on several models, various data sources, and assessments based on economists’ judgment. The Bank’s DSGE (Dynamic Stochastic General Equilibrium) model—a structural model developed in the Research Department and based on microeconomic foundations—plays a prime role in formulating the macroeconomic forecast.</w:t>
      </w:r>
      <w:r w:rsidRPr="007323B3">
        <w:rPr>
          <w:rStyle w:val="a6"/>
          <w:rFonts w:ascii="Calibri" w:hAnsi="Calibri" w:cs="Calibri"/>
        </w:rPr>
        <w:footnoteReference w:id="2"/>
      </w:r>
      <w:r w:rsidRPr="007323B3">
        <w:rPr>
          <w:rFonts w:ascii="Calibri" w:hAnsi="Calibri" w:cs="Calibri"/>
        </w:rPr>
        <w:t xml:space="preserve"> The model provides a framework for analyzing the forces that have an effect on the economy, and allows information from various sources to </w:t>
      </w:r>
      <w:proofErr w:type="gramStart"/>
      <w:r w:rsidRPr="007323B3">
        <w:rPr>
          <w:rFonts w:ascii="Calibri" w:hAnsi="Calibri" w:cs="Calibri"/>
        </w:rPr>
        <w:t>be combined</w:t>
      </w:r>
      <w:proofErr w:type="gramEnd"/>
      <w:r w:rsidRPr="007323B3">
        <w:rPr>
          <w:rFonts w:ascii="Calibri" w:hAnsi="Calibri" w:cs="Calibri"/>
        </w:rPr>
        <w:t xml:space="preserve"> into a macroeconomic forecast of real and nominal variables, with an internally consistent “economic story”.</w:t>
      </w:r>
    </w:p>
    <w:p w14:paraId="54A7D430" w14:textId="77777777" w:rsidR="007323B3" w:rsidRPr="007323B3" w:rsidRDefault="007323B3" w:rsidP="007323B3">
      <w:pPr>
        <w:rPr>
          <w:rFonts w:ascii="Calibri" w:hAnsi="Calibri" w:cs="Calibri"/>
        </w:rPr>
      </w:pPr>
    </w:p>
    <w:p w14:paraId="78BAAC66" w14:textId="77777777" w:rsidR="007323B3" w:rsidRPr="007323B3" w:rsidRDefault="007323B3" w:rsidP="007323B3">
      <w:pPr>
        <w:rPr>
          <w:rFonts w:ascii="Calibri" w:hAnsi="Calibri" w:cs="Calibri"/>
        </w:rPr>
      </w:pPr>
    </w:p>
    <w:p w14:paraId="2C74B8E5"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lastRenderedPageBreak/>
        <w:t>The global environment</w:t>
      </w:r>
    </w:p>
    <w:p w14:paraId="14E5FC24" w14:textId="77777777" w:rsidR="007323B3" w:rsidRPr="007323B3" w:rsidRDefault="007323B3" w:rsidP="007323B3">
      <w:pPr>
        <w:rPr>
          <w:rFonts w:ascii="Calibri" w:hAnsi="Calibri" w:cs="Calibri"/>
        </w:rPr>
      </w:pPr>
      <w:r w:rsidRPr="007323B3">
        <w:rPr>
          <w:rFonts w:ascii="Calibri" w:hAnsi="Calibri" w:cs="Calibri"/>
        </w:rPr>
        <w:t xml:space="preserve">Our assessments of expected developments in the global economy </w:t>
      </w:r>
      <w:proofErr w:type="gramStart"/>
      <w:r w:rsidRPr="007323B3">
        <w:rPr>
          <w:rFonts w:ascii="Calibri" w:hAnsi="Calibri" w:cs="Calibri"/>
        </w:rPr>
        <w:t>are based</w:t>
      </w:r>
      <w:proofErr w:type="gramEnd"/>
      <w:r w:rsidRPr="007323B3">
        <w:rPr>
          <w:rFonts w:ascii="Calibri" w:hAnsi="Calibri" w:cs="Calibri"/>
        </w:rPr>
        <w:t xml:space="preserve"> mainly on projections by international financial institutions and foreign investment houses.  Compared with the projections that </w:t>
      </w:r>
      <w:proofErr w:type="gramStart"/>
      <w:r w:rsidRPr="007323B3">
        <w:rPr>
          <w:rFonts w:ascii="Calibri" w:hAnsi="Calibri" w:cs="Calibri"/>
        </w:rPr>
        <w:t>were used</w:t>
      </w:r>
      <w:proofErr w:type="gramEnd"/>
      <w:r w:rsidRPr="007323B3">
        <w:rPr>
          <w:rFonts w:ascii="Calibri" w:hAnsi="Calibri" w:cs="Calibri"/>
        </w:rPr>
        <w:t xml:space="preserve"> in formulating the staff forecast in October, the growth and interest rate projections in advanced economies remained similar, and the expected inflation rate in the advanced economies increased slightly.  Accordingly, we assume that GDP in the advanced economies will grow by 1.5 percent in 2025 and by 1.6 percent in 2026.  Investment houses’ forecasts of inflation in the advanced economies in 2025 were revised upward to 2.3 percent (compared with 2.1 percent in October), and the forecast for 2026 is 2.2 percent.  Investment houses’ forecasts of the average interest rate in the advanced economies remained similar to October, at 2.9 percent at the end of 2025 and 2.8 percent at the end of 2026.  Our assumption is that world trade will grow by 2.4 percent in 2025 and by 2.6 percent in 2026 (compared with 3.4 percent in 2025 in the October forecast). The price of Brent crude oil was relatively stable, and declined to about $</w:t>
      </w:r>
      <w:r w:rsidRPr="007323B3">
        <w:rPr>
          <w:rFonts w:ascii="Calibri" w:hAnsi="Calibri" w:cs="Calibri"/>
          <w:rtl/>
        </w:rPr>
        <w:t>7</w:t>
      </w:r>
      <w:r w:rsidRPr="007323B3">
        <w:rPr>
          <w:rFonts w:ascii="Calibri" w:hAnsi="Calibri" w:cs="Calibri"/>
        </w:rPr>
        <w:t>4 per barrel, compared with around $77 at the time of the October forecast.</w:t>
      </w:r>
    </w:p>
    <w:p w14:paraId="5606A77A" w14:textId="77777777" w:rsidR="007323B3" w:rsidRPr="007323B3" w:rsidRDefault="007323B3" w:rsidP="007323B3">
      <w:pPr>
        <w:rPr>
          <w:rFonts w:ascii="Calibri" w:hAnsi="Calibri" w:cs="Calibri"/>
        </w:rPr>
      </w:pPr>
    </w:p>
    <w:p w14:paraId="5853C837"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Real activity in Israel</w:t>
      </w:r>
    </w:p>
    <w:p w14:paraId="2134B81B" w14:textId="77777777" w:rsidR="007323B3" w:rsidRPr="007323B3" w:rsidRDefault="007323B3" w:rsidP="007323B3">
      <w:pPr>
        <w:rPr>
          <w:rFonts w:ascii="Calibri" w:hAnsi="Calibri" w:cs="Calibri"/>
        </w:rPr>
      </w:pPr>
      <w:r w:rsidRPr="007323B3">
        <w:rPr>
          <w:rFonts w:ascii="Calibri" w:hAnsi="Calibri" w:cs="Calibri"/>
          <w:b/>
          <w:bCs/>
        </w:rPr>
        <w:t xml:space="preserve">In our assessment, GDP grew by 0.6 percent in 2024, and </w:t>
      </w:r>
      <w:proofErr w:type="gramStart"/>
      <w:r w:rsidRPr="007323B3">
        <w:rPr>
          <w:rFonts w:ascii="Calibri" w:hAnsi="Calibri" w:cs="Calibri"/>
          <w:b/>
          <w:bCs/>
        </w:rPr>
        <w:t>is expected</w:t>
      </w:r>
      <w:proofErr w:type="gramEnd"/>
      <w:r w:rsidRPr="007323B3">
        <w:rPr>
          <w:rFonts w:ascii="Calibri" w:hAnsi="Calibri" w:cs="Calibri"/>
          <w:b/>
          <w:bCs/>
        </w:rPr>
        <w:t xml:space="preserve"> to grow by 4.0 percent in 2025</w:t>
      </w:r>
      <w:r w:rsidRPr="007323B3">
        <w:rPr>
          <w:rFonts w:ascii="Calibri" w:hAnsi="Calibri" w:cs="Calibri"/>
        </w:rPr>
        <w:t xml:space="preserve">, slightly higher than our assessment in the October forecast (Table 1). </w:t>
      </w:r>
      <w:r w:rsidRPr="007323B3">
        <w:rPr>
          <w:rFonts w:ascii="Calibri" w:hAnsi="Calibri" w:cs="Calibri"/>
          <w:b/>
          <w:bCs/>
        </w:rPr>
        <w:t xml:space="preserve">In 2026, GDP </w:t>
      </w:r>
      <w:proofErr w:type="gramStart"/>
      <w:r w:rsidRPr="007323B3">
        <w:rPr>
          <w:rFonts w:ascii="Calibri" w:hAnsi="Calibri" w:cs="Calibri"/>
          <w:b/>
          <w:bCs/>
        </w:rPr>
        <w:t>is expected</w:t>
      </w:r>
      <w:proofErr w:type="gramEnd"/>
      <w:r w:rsidRPr="007323B3">
        <w:rPr>
          <w:rFonts w:ascii="Calibri" w:hAnsi="Calibri" w:cs="Calibri"/>
          <w:b/>
          <w:bCs/>
        </w:rPr>
        <w:t xml:space="preserve"> to grow by 4.5 percent.</w:t>
      </w:r>
      <w:r w:rsidRPr="007323B3">
        <w:rPr>
          <w:rFonts w:ascii="Calibri" w:hAnsi="Calibri" w:cs="Calibri"/>
        </w:rPr>
        <w:t xml:space="preserve">  The forecast </w:t>
      </w:r>
      <w:proofErr w:type="gramStart"/>
      <w:r w:rsidRPr="007323B3">
        <w:rPr>
          <w:rFonts w:ascii="Calibri" w:hAnsi="Calibri" w:cs="Calibri"/>
        </w:rPr>
        <w:t>is based</w:t>
      </w:r>
      <w:proofErr w:type="gramEnd"/>
      <w:r w:rsidRPr="007323B3">
        <w:rPr>
          <w:rFonts w:ascii="Calibri" w:hAnsi="Calibri" w:cs="Calibri"/>
        </w:rPr>
        <w:t xml:space="preserve"> on the assumption that the war’s direct impact on the economy will continue until the end of the first quarter of 2025.  Thereafter, GDP will gradually converge to its prewar trend, but will remain below the trend</w:t>
      </w:r>
      <w:r w:rsidRPr="007323B3">
        <w:rPr>
          <w:rFonts w:ascii="Calibri" w:hAnsi="Calibri" w:cs="Calibri"/>
          <w:rtl/>
        </w:rPr>
        <w:t xml:space="preserve"> </w:t>
      </w:r>
      <w:r w:rsidRPr="007323B3">
        <w:rPr>
          <w:rFonts w:ascii="Calibri" w:hAnsi="Calibri" w:cs="Calibri"/>
        </w:rPr>
        <w:t xml:space="preserve">line in the medium term.  We assume that during the forecast period, the existing supply-side limitations will gradually diminish, but that domestic demand will recover slightly more rapidly.  Our assessment is that growth in 2024 will be </w:t>
      </w:r>
      <w:r w:rsidRPr="007323B3">
        <w:rPr>
          <w:rFonts w:ascii="Calibri" w:hAnsi="Calibri" w:cs="Calibri"/>
          <w:rtl/>
        </w:rPr>
        <w:t>0.1</w:t>
      </w:r>
      <w:r w:rsidRPr="007323B3">
        <w:rPr>
          <w:rFonts w:ascii="Calibri" w:hAnsi="Calibri" w:cs="Calibri"/>
        </w:rPr>
        <w:t xml:space="preserve"> percentage points higher than in the forecast published in October.  </w:t>
      </w:r>
      <w:proofErr w:type="gramStart"/>
      <w:r w:rsidRPr="007323B3">
        <w:rPr>
          <w:rFonts w:ascii="Calibri" w:hAnsi="Calibri" w:cs="Calibri"/>
        </w:rPr>
        <w:t>While the intense fighting in the north lasted longer in the fourth quarter than we assumed in the October forecast, and contributed to a lower activity level, the geopolitical situation that has taken shape following the ceasefire, as well as the bringing forward of vehicle purchases due to the increase in tax rates at the beginning of 2025, contributed to an increase in growth in 2024.</w:t>
      </w:r>
      <w:proofErr w:type="gramEnd"/>
    </w:p>
    <w:p w14:paraId="7E879A47" w14:textId="77777777" w:rsidR="007323B3" w:rsidRPr="007323B3" w:rsidRDefault="007323B3" w:rsidP="007323B3">
      <w:pPr>
        <w:rPr>
          <w:rFonts w:ascii="Calibri" w:hAnsi="Calibri" w:cs="Calibri"/>
        </w:rPr>
      </w:pPr>
    </w:p>
    <w:p w14:paraId="33369805" w14:textId="77777777" w:rsidR="007323B3" w:rsidRPr="007323B3" w:rsidRDefault="007323B3" w:rsidP="007323B3">
      <w:pPr>
        <w:rPr>
          <w:rFonts w:ascii="Calibri" w:hAnsi="Calibri" w:cs="Calibri"/>
        </w:rPr>
      </w:pPr>
      <w:proofErr w:type="gramStart"/>
      <w:r w:rsidRPr="007323B3">
        <w:rPr>
          <w:rFonts w:ascii="Calibri" w:hAnsi="Calibri" w:cs="Calibri"/>
        </w:rPr>
        <w:t>The GDP growth rate for 2025 was also revised upward, by 0.2 percentage points, relative to our assessment in the October forecast</w:t>
      </w:r>
      <w:proofErr w:type="gramEnd"/>
      <w:r w:rsidRPr="007323B3">
        <w:rPr>
          <w:rFonts w:ascii="Calibri" w:hAnsi="Calibri" w:cs="Calibri"/>
        </w:rPr>
        <w:t xml:space="preserve">.  This increase reflects the decline in the intensity of fighting in the north, together with the improvement in the geopolitical situation relative to our October assessment, as well as our assessment that public consumption will be higher, in accordance with the proposed State budget.  In contrast, fixed capital formation will grow more solely in 2025 due to the continued shortage of workers in the construction industry.  In addition, private consumption </w:t>
      </w:r>
      <w:proofErr w:type="gramStart"/>
      <w:r w:rsidRPr="007323B3">
        <w:rPr>
          <w:rFonts w:ascii="Calibri" w:hAnsi="Calibri" w:cs="Calibri"/>
        </w:rPr>
        <w:t>will be positively affected</w:t>
      </w:r>
      <w:proofErr w:type="gramEnd"/>
      <w:r w:rsidRPr="007323B3">
        <w:rPr>
          <w:rFonts w:ascii="Calibri" w:hAnsi="Calibri" w:cs="Calibri"/>
        </w:rPr>
        <w:t xml:space="preserve"> by geopolitical developments, and exports will be affected by demand for defense exports.  The growth forecast for 2026 reflects continued economic recovery from the effects of the war.  Our assessment is that the shortage of workers in the construction industry </w:t>
      </w:r>
      <w:proofErr w:type="gramStart"/>
      <w:r w:rsidRPr="007323B3">
        <w:rPr>
          <w:rFonts w:ascii="Calibri" w:hAnsi="Calibri" w:cs="Calibri"/>
        </w:rPr>
        <w:t>will be solved</w:t>
      </w:r>
      <w:proofErr w:type="gramEnd"/>
      <w:r w:rsidRPr="007323B3">
        <w:rPr>
          <w:rFonts w:ascii="Calibri" w:hAnsi="Calibri" w:cs="Calibri"/>
        </w:rPr>
        <w:t xml:space="preserve"> only in 2026, and we accordingly expect an acceleration of investment beginning in that year.  Private consumption will continue to converge moderately from below to its trend, and public consumption will converge from above to its long-term trend.  In our assessment, we will see a full recovery in the incoming tourism industry in 2026, which </w:t>
      </w:r>
      <w:proofErr w:type="gramStart"/>
      <w:r w:rsidRPr="007323B3">
        <w:rPr>
          <w:rFonts w:ascii="Calibri" w:hAnsi="Calibri" w:cs="Calibri"/>
        </w:rPr>
        <w:t>is expected</w:t>
      </w:r>
      <w:proofErr w:type="gramEnd"/>
      <w:r w:rsidRPr="007323B3">
        <w:rPr>
          <w:rFonts w:ascii="Calibri" w:hAnsi="Calibri" w:cs="Calibri"/>
        </w:rPr>
        <w:t xml:space="preserve"> to contribute to growth in exports.</w:t>
      </w:r>
    </w:p>
    <w:p w14:paraId="5072C5F7" w14:textId="77777777" w:rsidR="007323B3" w:rsidRPr="007323B3" w:rsidRDefault="007323B3" w:rsidP="007323B3">
      <w:pPr>
        <w:rPr>
          <w:rFonts w:ascii="Calibri" w:hAnsi="Calibri" w:cs="Calibri"/>
        </w:rPr>
      </w:pPr>
    </w:p>
    <w:p w14:paraId="5E217FE0" w14:textId="77777777" w:rsidR="007323B3" w:rsidRPr="007323B3" w:rsidRDefault="007323B3" w:rsidP="007323B3">
      <w:pPr>
        <w:rPr>
          <w:rFonts w:ascii="Calibri" w:hAnsi="Calibri" w:cs="Calibri"/>
        </w:rPr>
      </w:pPr>
      <w:r w:rsidRPr="007323B3">
        <w:rPr>
          <w:rFonts w:ascii="Calibri" w:hAnsi="Calibri" w:cs="Calibri"/>
        </w:rPr>
        <w:t xml:space="preserve">We assume that the decline in the number of soldiers serving in the reserves in 2025 will ease the supply limitations in the labor market and will support a recovery in the volume of employment.  The unemployment rate during the forecast period </w:t>
      </w:r>
      <w:proofErr w:type="gramStart"/>
      <w:r w:rsidRPr="007323B3">
        <w:rPr>
          <w:rFonts w:ascii="Calibri" w:hAnsi="Calibri" w:cs="Calibri"/>
        </w:rPr>
        <w:t>is expected</w:t>
      </w:r>
      <w:proofErr w:type="gramEnd"/>
      <w:r w:rsidRPr="007323B3">
        <w:rPr>
          <w:rFonts w:ascii="Calibri" w:hAnsi="Calibri" w:cs="Calibri"/>
        </w:rPr>
        <w:t xml:space="preserve"> to remain low, and our assessment is that it will average 3.1 percent in 2025 and 2026.</w:t>
      </w:r>
    </w:p>
    <w:p w14:paraId="4633AAD6" w14:textId="77777777" w:rsidR="007323B3" w:rsidRPr="007323B3" w:rsidRDefault="007323B3" w:rsidP="007323B3">
      <w:pPr>
        <w:rPr>
          <w:rFonts w:ascii="Calibri" w:hAnsi="Calibri" w:cs="Calibri"/>
        </w:rPr>
      </w:pPr>
    </w:p>
    <w:p w14:paraId="472DB440" w14:textId="77777777" w:rsidR="007323B3" w:rsidRPr="007323B3" w:rsidRDefault="007323B3" w:rsidP="007323B3">
      <w:pPr>
        <w:rPr>
          <w:rFonts w:ascii="Calibri" w:hAnsi="Calibri" w:cs="Calibri"/>
          <w:rtl/>
        </w:rPr>
      </w:pPr>
      <w:r w:rsidRPr="007323B3">
        <w:rPr>
          <w:rFonts w:ascii="Calibri" w:hAnsi="Calibri" w:cs="Calibri"/>
          <w:b/>
          <w:bCs/>
        </w:rPr>
        <w:lastRenderedPageBreak/>
        <w:t xml:space="preserve">The government budget deficit </w:t>
      </w:r>
      <w:proofErr w:type="gramStart"/>
      <w:r w:rsidRPr="007323B3">
        <w:rPr>
          <w:rFonts w:ascii="Calibri" w:hAnsi="Calibri" w:cs="Calibri"/>
          <w:b/>
          <w:bCs/>
        </w:rPr>
        <w:t>is expected</w:t>
      </w:r>
      <w:proofErr w:type="gramEnd"/>
      <w:r w:rsidRPr="007323B3">
        <w:rPr>
          <w:rFonts w:ascii="Calibri" w:hAnsi="Calibri" w:cs="Calibri"/>
          <w:b/>
          <w:bCs/>
        </w:rPr>
        <w:t xml:space="preserve"> to be 7 percent of GDP in 2024, due to a positive surprise in fourth quarter tax revenues, partly due to vehicle purchases being brought forward and to the slight underperformance of expenditures.  </w:t>
      </w:r>
      <w:proofErr w:type="gramStart"/>
      <w:r w:rsidRPr="007323B3">
        <w:rPr>
          <w:rFonts w:ascii="Calibri" w:hAnsi="Calibri" w:cs="Calibri"/>
          <w:b/>
          <w:bCs/>
        </w:rPr>
        <w:t>The 2025 deficit target in the current State budget is 4.4 percent of GDP, but our assessment is that the actual deficit will be 4.7 percent of GDP in view of the changes that have taken place in adjustment measures since the government decision, and our assessments regarding the increments added to the defense budget as part of the Nagel Committee on the force structure and the defense budget.</w:t>
      </w:r>
      <w:proofErr w:type="gramEnd"/>
      <w:r w:rsidRPr="007323B3">
        <w:rPr>
          <w:rFonts w:ascii="Calibri" w:hAnsi="Calibri" w:cs="Calibri"/>
          <w:b/>
          <w:bCs/>
        </w:rPr>
        <w:t xml:space="preserve">  In 2026, the deficit </w:t>
      </w:r>
      <w:proofErr w:type="gramStart"/>
      <w:r w:rsidRPr="007323B3">
        <w:rPr>
          <w:rFonts w:ascii="Calibri" w:hAnsi="Calibri" w:cs="Calibri"/>
          <w:b/>
          <w:bCs/>
        </w:rPr>
        <w:t>is expected</w:t>
      </w:r>
      <w:proofErr w:type="gramEnd"/>
      <w:r w:rsidRPr="007323B3">
        <w:rPr>
          <w:rFonts w:ascii="Calibri" w:hAnsi="Calibri" w:cs="Calibri"/>
          <w:b/>
          <w:bCs/>
        </w:rPr>
        <w:t xml:space="preserve"> to be 3.2 percent of GDP.  Public debt is expected to increase to about 67 percent of GDP in 2024 and to about 69 percent of GDP in 2025, and then to decline back to 67 percent of GDP in 2026.</w:t>
      </w:r>
      <w:r w:rsidRPr="007323B3">
        <w:rPr>
          <w:rFonts w:ascii="Calibri" w:hAnsi="Calibri" w:cs="Calibri"/>
        </w:rPr>
        <w:t xml:space="preserve">  Since the October forecast, the government approved the proposed budget and economic program for 2025, and they </w:t>
      </w:r>
      <w:proofErr w:type="gramStart"/>
      <w:r w:rsidRPr="007323B3">
        <w:rPr>
          <w:rFonts w:ascii="Calibri" w:hAnsi="Calibri" w:cs="Calibri"/>
        </w:rPr>
        <w:t>were sent</w:t>
      </w:r>
      <w:proofErr w:type="gramEnd"/>
      <w:r w:rsidRPr="007323B3">
        <w:rPr>
          <w:rFonts w:ascii="Calibri" w:hAnsi="Calibri" w:cs="Calibri"/>
        </w:rPr>
        <w:t xml:space="preserve"> for Knesset approval.  The current forecast includes the 2025 budget proposal approved by the government and the changes that </w:t>
      </w:r>
      <w:proofErr w:type="gramStart"/>
      <w:r w:rsidRPr="007323B3">
        <w:rPr>
          <w:rFonts w:ascii="Calibri" w:hAnsi="Calibri" w:cs="Calibri"/>
        </w:rPr>
        <w:t>were inserted</w:t>
      </w:r>
      <w:proofErr w:type="gramEnd"/>
      <w:r w:rsidRPr="007323B3">
        <w:rPr>
          <w:rFonts w:ascii="Calibri" w:hAnsi="Calibri" w:cs="Calibri"/>
        </w:rPr>
        <w:t xml:space="preserve"> during the legislative process in the Knesset.  Relative to our October assessment, civilian expenditure in 2025 will be higher, while defense expenditure will be lower.  The decline in the deficit in 2026 mainly reflects a decline in the burden of the defense expenditure, with the end of the temporary war expenditures required in 2025 in order to replenish inventories and return the military to its prewar readiness, alongside an increase in the original defense budget base for the purpose of the new </w:t>
      </w:r>
      <w:proofErr w:type="gramStart"/>
      <w:r w:rsidRPr="007323B3">
        <w:rPr>
          <w:rFonts w:ascii="Calibri" w:hAnsi="Calibri" w:cs="Calibri"/>
        </w:rPr>
        <w:t>force building</w:t>
      </w:r>
      <w:proofErr w:type="gramEnd"/>
      <w:r w:rsidRPr="007323B3">
        <w:rPr>
          <w:rFonts w:ascii="Calibri" w:hAnsi="Calibri" w:cs="Calibri"/>
        </w:rPr>
        <w:t xml:space="preserve"> program.  In parallel, our assessment is that the burden of interest payments will continue to increase, and that civilian expenditures in GDP terms will remain similar to their 2025 level.  Therefore, without any further adjustments, the deficit </w:t>
      </w:r>
      <w:proofErr w:type="gramStart"/>
      <w:r w:rsidRPr="007323B3">
        <w:rPr>
          <w:rFonts w:ascii="Calibri" w:hAnsi="Calibri" w:cs="Calibri"/>
        </w:rPr>
        <w:t>is expected</w:t>
      </w:r>
      <w:proofErr w:type="gramEnd"/>
      <w:r w:rsidRPr="007323B3">
        <w:rPr>
          <w:rFonts w:ascii="Calibri" w:hAnsi="Calibri" w:cs="Calibri"/>
        </w:rPr>
        <w:t xml:space="preserve"> to converge to a structural level that will leave the debt to GDP ratio in future years in the high environment it will reach in 2026.</w:t>
      </w:r>
    </w:p>
    <w:p w14:paraId="3F68D34B" w14:textId="77777777" w:rsidR="007323B3" w:rsidRPr="007323B3" w:rsidRDefault="007323B3" w:rsidP="007323B3">
      <w:pPr>
        <w:rPr>
          <w:rFonts w:ascii="Calibri" w:hAnsi="Calibri" w:cs="Calibri"/>
        </w:rPr>
      </w:pPr>
    </w:p>
    <w:p w14:paraId="337EA822" w14:textId="77777777" w:rsidR="007323B3" w:rsidRPr="007323B3" w:rsidRDefault="007323B3" w:rsidP="007323B3">
      <w:pPr>
        <w:spacing w:after="200" w:line="276" w:lineRule="auto"/>
        <w:rPr>
          <w:rFonts w:ascii="Calibri" w:hAnsi="Calibri" w:cs="Calibri"/>
          <w:color w:val="FF0000"/>
        </w:rPr>
      </w:pPr>
      <w:r w:rsidRPr="007323B3">
        <w:rPr>
          <w:rFonts w:ascii="Calibri" w:hAnsi="Calibri" w:cs="Calibri"/>
          <w:color w:val="FF0000"/>
        </w:rPr>
        <w:br w:type="page"/>
      </w:r>
    </w:p>
    <w:p w14:paraId="1D04E98F" w14:textId="77777777" w:rsidR="007323B3" w:rsidRPr="007323B3" w:rsidRDefault="007323B3" w:rsidP="007323B3">
      <w:pPr>
        <w:rPr>
          <w:rFonts w:ascii="Calibri" w:hAnsi="Calibri" w:cs="Calibri"/>
          <w:color w:val="FF0000"/>
        </w:rPr>
      </w:pPr>
    </w:p>
    <w:tbl>
      <w:tblPr>
        <w:tblStyle w:val="ac"/>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4957"/>
        <w:gridCol w:w="850"/>
        <w:gridCol w:w="992"/>
        <w:gridCol w:w="1134"/>
        <w:gridCol w:w="993"/>
        <w:gridCol w:w="1134"/>
        <w:gridCol w:w="992"/>
      </w:tblGrid>
      <w:tr w:rsidR="007323B3" w:rsidRPr="007323B3" w14:paraId="093383CA" w14:textId="77777777" w:rsidTr="00CF4BDA">
        <w:trPr>
          <w:trHeight w:val="200"/>
        </w:trPr>
        <w:tc>
          <w:tcPr>
            <w:tcW w:w="11052" w:type="dxa"/>
            <w:gridSpan w:val="7"/>
            <w:tcBorders>
              <w:top w:val="single" w:sz="4" w:space="0" w:color="auto"/>
              <w:bottom w:val="single" w:sz="4" w:space="0" w:color="auto"/>
              <w:right w:val="single" w:sz="4" w:space="0" w:color="auto"/>
            </w:tcBorders>
          </w:tcPr>
          <w:p w14:paraId="6080D82E"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Table 1</w:t>
            </w:r>
          </w:p>
          <w:p w14:paraId="49F2569E"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Research Department Staff Forecast for 2023–2025</w:t>
            </w:r>
          </w:p>
          <w:p w14:paraId="70F1D98A" w14:textId="77777777" w:rsidR="007323B3" w:rsidRPr="007323B3" w:rsidRDefault="007323B3" w:rsidP="00CF4BDA">
            <w:pPr>
              <w:rPr>
                <w:rFonts w:ascii="Calibri" w:hAnsi="Calibri" w:cs="Calibri"/>
                <w:b/>
                <w:bCs/>
                <w:color w:val="0070C0"/>
              </w:rPr>
            </w:pPr>
            <w:r w:rsidRPr="007323B3">
              <w:rPr>
                <w:rFonts w:ascii="Calibri" w:hAnsi="Calibri" w:cs="Calibri"/>
                <w:color w:val="0070C0"/>
                <w:sz w:val="22"/>
                <w:szCs w:val="22"/>
              </w:rPr>
              <w:t xml:space="preserve">(rates of change, </w:t>
            </w:r>
            <w:proofErr w:type="spellStart"/>
            <w:r w:rsidRPr="007323B3">
              <w:rPr>
                <w:rFonts w:ascii="Calibri" w:hAnsi="Calibri" w:cs="Calibri"/>
                <w:color w:val="0070C0"/>
                <w:sz w:val="22"/>
                <w:szCs w:val="22"/>
              </w:rPr>
              <w:t>percent</w:t>
            </w:r>
            <w:r w:rsidRPr="007323B3">
              <w:rPr>
                <w:rFonts w:ascii="Calibri" w:hAnsi="Calibri" w:cs="Calibri"/>
                <w:color w:val="0070C0"/>
                <w:sz w:val="22"/>
                <w:szCs w:val="22"/>
                <w:vertAlign w:val="superscript"/>
              </w:rPr>
              <w:t>a</w:t>
            </w:r>
            <w:proofErr w:type="spellEnd"/>
            <w:r w:rsidRPr="007323B3">
              <w:rPr>
                <w:rFonts w:ascii="Calibri" w:hAnsi="Calibri" w:cs="Calibri"/>
                <w:color w:val="0070C0"/>
                <w:sz w:val="22"/>
                <w:szCs w:val="22"/>
              </w:rPr>
              <w:t>, unless stated otherwise)</w:t>
            </w:r>
          </w:p>
        </w:tc>
      </w:tr>
      <w:tr w:rsidR="007323B3" w:rsidRPr="007323B3" w14:paraId="7CF63651" w14:textId="77777777" w:rsidTr="00CF4BDA">
        <w:tc>
          <w:tcPr>
            <w:tcW w:w="4957" w:type="dxa"/>
            <w:tcBorders>
              <w:bottom w:val="nil"/>
            </w:tcBorders>
            <w:vAlign w:val="bottom"/>
          </w:tcPr>
          <w:p w14:paraId="18538B37" w14:textId="77777777" w:rsidR="007323B3" w:rsidRPr="007323B3" w:rsidRDefault="007323B3" w:rsidP="00CF4BDA">
            <w:pPr>
              <w:rPr>
                <w:rFonts w:ascii="Calibri" w:hAnsi="Calibri" w:cs="Calibri"/>
                <w:sz w:val="20"/>
                <w:szCs w:val="20"/>
              </w:rPr>
            </w:pPr>
          </w:p>
        </w:tc>
        <w:tc>
          <w:tcPr>
            <w:tcW w:w="850" w:type="dxa"/>
            <w:tcBorders>
              <w:left w:val="single" w:sz="4" w:space="0" w:color="auto"/>
              <w:bottom w:val="nil"/>
              <w:right w:val="nil"/>
            </w:tcBorders>
            <w:shd w:val="clear" w:color="auto" w:fill="auto"/>
          </w:tcPr>
          <w:p w14:paraId="5810849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2023</w:t>
            </w:r>
          </w:p>
          <w:p w14:paraId="0CBC4764"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Actual</w:t>
            </w:r>
          </w:p>
        </w:tc>
        <w:tc>
          <w:tcPr>
            <w:tcW w:w="992" w:type="dxa"/>
            <w:tcBorders>
              <w:left w:val="single" w:sz="4" w:space="0" w:color="auto"/>
              <w:bottom w:val="nil"/>
              <w:right w:val="nil"/>
            </w:tcBorders>
            <w:shd w:val="clear" w:color="auto" w:fill="auto"/>
          </w:tcPr>
          <w:p w14:paraId="2E0B7E54"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2024</w:t>
            </w:r>
          </w:p>
        </w:tc>
        <w:tc>
          <w:tcPr>
            <w:tcW w:w="1134" w:type="dxa"/>
            <w:tcBorders>
              <w:left w:val="nil"/>
              <w:bottom w:val="single" w:sz="4" w:space="0" w:color="auto"/>
              <w:right w:val="single" w:sz="4" w:space="0" w:color="auto"/>
            </w:tcBorders>
            <w:shd w:val="clear" w:color="auto" w:fill="C6D9F1" w:themeFill="text2" w:themeFillTint="33"/>
          </w:tcPr>
          <w:p w14:paraId="09FA1C6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 xml:space="preserve">Change from the  </w:t>
            </w:r>
            <w:r w:rsidRPr="007323B3">
              <w:rPr>
                <w:rFonts w:ascii="Calibri" w:hAnsi="Calibri" w:cs="Calibri"/>
              </w:rPr>
              <w:t xml:space="preserve"> </w:t>
            </w:r>
            <w:r w:rsidRPr="007323B3">
              <w:rPr>
                <w:rFonts w:ascii="Calibri" w:hAnsi="Calibri" w:cs="Calibri"/>
                <w:sz w:val="20"/>
                <w:szCs w:val="20"/>
              </w:rPr>
              <w:t>October forecast</w:t>
            </w:r>
          </w:p>
        </w:tc>
        <w:tc>
          <w:tcPr>
            <w:tcW w:w="993" w:type="dxa"/>
            <w:tcBorders>
              <w:left w:val="nil"/>
              <w:bottom w:val="single" w:sz="4" w:space="0" w:color="auto"/>
              <w:right w:val="single" w:sz="4" w:space="0" w:color="auto"/>
            </w:tcBorders>
            <w:shd w:val="clear" w:color="auto" w:fill="auto"/>
          </w:tcPr>
          <w:p w14:paraId="5B217F7A"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2025</w:t>
            </w:r>
          </w:p>
        </w:tc>
        <w:tc>
          <w:tcPr>
            <w:tcW w:w="1134" w:type="dxa"/>
            <w:shd w:val="clear" w:color="auto" w:fill="B8CCE4" w:themeFill="accent1" w:themeFillTint="66"/>
          </w:tcPr>
          <w:p w14:paraId="2F244B2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 xml:space="preserve">Change from the  </w:t>
            </w:r>
            <w:r w:rsidRPr="007323B3">
              <w:rPr>
                <w:rFonts w:ascii="Calibri" w:hAnsi="Calibri" w:cs="Calibri"/>
              </w:rPr>
              <w:t xml:space="preserve"> </w:t>
            </w:r>
            <w:r w:rsidRPr="007323B3">
              <w:rPr>
                <w:rFonts w:ascii="Calibri" w:hAnsi="Calibri" w:cs="Calibri"/>
                <w:sz w:val="20"/>
                <w:szCs w:val="20"/>
              </w:rPr>
              <w:t>October forecast</w:t>
            </w:r>
          </w:p>
        </w:tc>
        <w:tc>
          <w:tcPr>
            <w:tcW w:w="992" w:type="dxa"/>
            <w:shd w:val="clear" w:color="auto" w:fill="auto"/>
          </w:tcPr>
          <w:p w14:paraId="1E63FD3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2026</w:t>
            </w:r>
          </w:p>
        </w:tc>
      </w:tr>
      <w:tr w:rsidR="007323B3" w:rsidRPr="007323B3" w14:paraId="3F8D6425" w14:textId="77777777" w:rsidTr="00CF4BDA">
        <w:tc>
          <w:tcPr>
            <w:tcW w:w="4957" w:type="dxa"/>
            <w:tcBorders>
              <w:bottom w:val="single" w:sz="4" w:space="0" w:color="auto"/>
            </w:tcBorders>
            <w:vAlign w:val="bottom"/>
          </w:tcPr>
          <w:p w14:paraId="0C8EADA0" w14:textId="77777777" w:rsidR="007323B3" w:rsidRPr="007323B3" w:rsidRDefault="007323B3" w:rsidP="00CF4BDA">
            <w:pPr>
              <w:rPr>
                <w:rFonts w:ascii="Calibri" w:hAnsi="Calibri" w:cs="Calibri"/>
                <w:b/>
                <w:bCs/>
                <w:sz w:val="20"/>
                <w:szCs w:val="20"/>
              </w:rPr>
            </w:pPr>
            <w:r w:rsidRPr="007323B3">
              <w:rPr>
                <w:rFonts w:ascii="Calibri" w:hAnsi="Calibri" w:cs="Calibri"/>
                <w:b/>
                <w:bCs/>
                <w:sz w:val="20"/>
                <w:szCs w:val="20"/>
              </w:rPr>
              <w:t>GDP</w:t>
            </w:r>
          </w:p>
        </w:tc>
        <w:tc>
          <w:tcPr>
            <w:tcW w:w="850" w:type="dxa"/>
            <w:tcBorders>
              <w:left w:val="single" w:sz="4" w:space="0" w:color="auto"/>
              <w:bottom w:val="single" w:sz="4" w:space="0" w:color="auto"/>
              <w:right w:val="nil"/>
            </w:tcBorders>
            <w:shd w:val="clear" w:color="auto" w:fill="auto"/>
          </w:tcPr>
          <w:p w14:paraId="58A791B0"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2.0</w:t>
            </w:r>
          </w:p>
        </w:tc>
        <w:tc>
          <w:tcPr>
            <w:tcW w:w="992" w:type="dxa"/>
            <w:tcBorders>
              <w:left w:val="single" w:sz="4" w:space="0" w:color="auto"/>
              <w:bottom w:val="single" w:sz="4" w:space="0" w:color="auto"/>
              <w:right w:val="nil"/>
            </w:tcBorders>
            <w:shd w:val="clear" w:color="auto" w:fill="auto"/>
          </w:tcPr>
          <w:p w14:paraId="2F8D007A"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0.6</w:t>
            </w:r>
          </w:p>
        </w:tc>
        <w:tc>
          <w:tcPr>
            <w:tcW w:w="1134" w:type="dxa"/>
            <w:tcBorders>
              <w:left w:val="nil"/>
              <w:bottom w:val="single" w:sz="4" w:space="0" w:color="auto"/>
              <w:right w:val="single" w:sz="4" w:space="0" w:color="auto"/>
            </w:tcBorders>
            <w:shd w:val="clear" w:color="auto" w:fill="C6D9F1" w:themeFill="text2" w:themeFillTint="33"/>
          </w:tcPr>
          <w:p w14:paraId="4F58259B"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0.1</w:t>
            </w:r>
          </w:p>
        </w:tc>
        <w:tc>
          <w:tcPr>
            <w:tcW w:w="993" w:type="dxa"/>
            <w:tcBorders>
              <w:left w:val="nil"/>
              <w:bottom w:val="single" w:sz="4" w:space="0" w:color="auto"/>
              <w:right w:val="single" w:sz="4" w:space="0" w:color="auto"/>
            </w:tcBorders>
            <w:shd w:val="clear" w:color="auto" w:fill="auto"/>
          </w:tcPr>
          <w:p w14:paraId="03A78A9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4.0</w:t>
            </w:r>
          </w:p>
        </w:tc>
        <w:tc>
          <w:tcPr>
            <w:tcW w:w="1134" w:type="dxa"/>
            <w:shd w:val="clear" w:color="auto" w:fill="B8CCE4" w:themeFill="accent1" w:themeFillTint="66"/>
            <w:vAlign w:val="bottom"/>
          </w:tcPr>
          <w:p w14:paraId="4D7DAB09"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0.2</w:t>
            </w:r>
          </w:p>
        </w:tc>
        <w:tc>
          <w:tcPr>
            <w:tcW w:w="992" w:type="dxa"/>
            <w:shd w:val="clear" w:color="auto" w:fill="auto"/>
          </w:tcPr>
          <w:p w14:paraId="691757BA"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4.5</w:t>
            </w:r>
          </w:p>
        </w:tc>
      </w:tr>
      <w:tr w:rsidR="007323B3" w:rsidRPr="007323B3" w14:paraId="30DAF401" w14:textId="77777777" w:rsidTr="00CF4BDA">
        <w:tc>
          <w:tcPr>
            <w:tcW w:w="4957" w:type="dxa"/>
            <w:tcBorders>
              <w:bottom w:val="single" w:sz="4" w:space="0" w:color="auto"/>
            </w:tcBorders>
            <w:vAlign w:val="bottom"/>
          </w:tcPr>
          <w:p w14:paraId="2E47B6A9"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Private consumption</w:t>
            </w:r>
          </w:p>
        </w:tc>
        <w:tc>
          <w:tcPr>
            <w:tcW w:w="850" w:type="dxa"/>
            <w:tcBorders>
              <w:left w:val="single" w:sz="4" w:space="0" w:color="auto"/>
              <w:bottom w:val="single" w:sz="4" w:space="0" w:color="auto"/>
              <w:right w:val="nil"/>
            </w:tcBorders>
            <w:shd w:val="clear" w:color="auto" w:fill="auto"/>
          </w:tcPr>
          <w:p w14:paraId="1037355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-0.9</w:t>
            </w:r>
          </w:p>
        </w:tc>
        <w:tc>
          <w:tcPr>
            <w:tcW w:w="992" w:type="dxa"/>
            <w:tcBorders>
              <w:left w:val="single" w:sz="4" w:space="0" w:color="auto"/>
              <w:bottom w:val="single" w:sz="4" w:space="0" w:color="auto"/>
              <w:right w:val="nil"/>
            </w:tcBorders>
            <w:shd w:val="clear" w:color="auto" w:fill="auto"/>
          </w:tcPr>
          <w:p w14:paraId="3106B43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1134" w:type="dxa"/>
            <w:tcBorders>
              <w:left w:val="nil"/>
              <w:bottom w:val="single" w:sz="4" w:space="0" w:color="auto"/>
              <w:right w:val="single" w:sz="4" w:space="0" w:color="auto"/>
            </w:tcBorders>
            <w:shd w:val="clear" w:color="auto" w:fill="C6D9F1" w:themeFill="text2" w:themeFillTint="33"/>
          </w:tcPr>
          <w:p w14:paraId="693D22E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6971189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7.5</w:t>
            </w:r>
          </w:p>
        </w:tc>
        <w:tc>
          <w:tcPr>
            <w:tcW w:w="1134" w:type="dxa"/>
            <w:shd w:val="clear" w:color="auto" w:fill="B8CCE4" w:themeFill="accent1" w:themeFillTint="66"/>
            <w:vAlign w:val="bottom"/>
          </w:tcPr>
          <w:p w14:paraId="32C836F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45F05AD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5.5</w:t>
            </w:r>
          </w:p>
        </w:tc>
      </w:tr>
      <w:tr w:rsidR="007323B3" w:rsidRPr="007323B3" w14:paraId="0207D736" w14:textId="77777777" w:rsidTr="00CF4BDA">
        <w:tc>
          <w:tcPr>
            <w:tcW w:w="4957" w:type="dxa"/>
            <w:tcBorders>
              <w:bottom w:val="single" w:sz="4" w:space="0" w:color="auto"/>
            </w:tcBorders>
            <w:vAlign w:val="bottom"/>
          </w:tcPr>
          <w:p w14:paraId="5ACF9FC8"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Fixed capital formation (excl. ships and aircraft)</w:t>
            </w:r>
          </w:p>
        </w:tc>
        <w:tc>
          <w:tcPr>
            <w:tcW w:w="850" w:type="dxa"/>
            <w:tcBorders>
              <w:left w:val="single" w:sz="4" w:space="0" w:color="auto"/>
              <w:bottom w:val="single" w:sz="4" w:space="0" w:color="auto"/>
              <w:right w:val="nil"/>
            </w:tcBorders>
            <w:shd w:val="clear" w:color="auto" w:fill="auto"/>
          </w:tcPr>
          <w:p w14:paraId="6A31983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c>
          <w:tcPr>
            <w:tcW w:w="992" w:type="dxa"/>
            <w:tcBorders>
              <w:left w:val="single" w:sz="4" w:space="0" w:color="auto"/>
              <w:bottom w:val="single" w:sz="4" w:space="0" w:color="auto"/>
              <w:right w:val="nil"/>
            </w:tcBorders>
            <w:shd w:val="clear" w:color="auto" w:fill="auto"/>
          </w:tcPr>
          <w:p w14:paraId="0BA8762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-7.5</w:t>
            </w:r>
          </w:p>
        </w:tc>
        <w:tc>
          <w:tcPr>
            <w:tcW w:w="1134" w:type="dxa"/>
            <w:tcBorders>
              <w:left w:val="nil"/>
              <w:bottom w:val="single" w:sz="4" w:space="0" w:color="auto"/>
              <w:right w:val="single" w:sz="4" w:space="0" w:color="auto"/>
            </w:tcBorders>
            <w:shd w:val="clear" w:color="auto" w:fill="C6D9F1" w:themeFill="text2" w:themeFillTint="33"/>
          </w:tcPr>
          <w:p w14:paraId="58C994A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2.5</w:t>
            </w:r>
          </w:p>
        </w:tc>
        <w:tc>
          <w:tcPr>
            <w:tcW w:w="993" w:type="dxa"/>
            <w:tcBorders>
              <w:left w:val="nil"/>
              <w:bottom w:val="single" w:sz="4" w:space="0" w:color="auto"/>
              <w:right w:val="single" w:sz="4" w:space="0" w:color="auto"/>
            </w:tcBorders>
            <w:shd w:val="clear" w:color="auto" w:fill="auto"/>
          </w:tcPr>
          <w:p w14:paraId="4858A66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8.0</w:t>
            </w:r>
          </w:p>
        </w:tc>
        <w:tc>
          <w:tcPr>
            <w:tcW w:w="1134" w:type="dxa"/>
            <w:shd w:val="clear" w:color="auto" w:fill="B8CCE4" w:themeFill="accent1" w:themeFillTint="66"/>
            <w:vAlign w:val="bottom"/>
          </w:tcPr>
          <w:p w14:paraId="0BF3BDA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992" w:type="dxa"/>
            <w:shd w:val="clear" w:color="auto" w:fill="auto"/>
          </w:tcPr>
          <w:p w14:paraId="20C0083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15.0</w:t>
            </w:r>
          </w:p>
        </w:tc>
      </w:tr>
      <w:tr w:rsidR="007323B3" w:rsidRPr="007323B3" w14:paraId="2B1D00CA" w14:textId="77777777" w:rsidTr="00CF4BDA">
        <w:tc>
          <w:tcPr>
            <w:tcW w:w="4957" w:type="dxa"/>
            <w:tcBorders>
              <w:bottom w:val="single" w:sz="4" w:space="0" w:color="auto"/>
            </w:tcBorders>
            <w:vAlign w:val="bottom"/>
          </w:tcPr>
          <w:p w14:paraId="01D7F30F"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Public consumption (excl. defense imports)</w:t>
            </w:r>
          </w:p>
        </w:tc>
        <w:tc>
          <w:tcPr>
            <w:tcW w:w="850" w:type="dxa"/>
            <w:tcBorders>
              <w:left w:val="single" w:sz="4" w:space="0" w:color="auto"/>
              <w:bottom w:val="single" w:sz="4" w:space="0" w:color="auto"/>
              <w:right w:val="nil"/>
            </w:tcBorders>
            <w:shd w:val="clear" w:color="auto" w:fill="auto"/>
          </w:tcPr>
          <w:p w14:paraId="5494420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7.2</w:t>
            </w:r>
          </w:p>
        </w:tc>
        <w:tc>
          <w:tcPr>
            <w:tcW w:w="992" w:type="dxa"/>
            <w:tcBorders>
              <w:left w:val="single" w:sz="4" w:space="0" w:color="auto"/>
              <w:bottom w:val="single" w:sz="4" w:space="0" w:color="auto"/>
              <w:right w:val="nil"/>
            </w:tcBorders>
            <w:shd w:val="clear" w:color="auto" w:fill="auto"/>
          </w:tcPr>
          <w:p w14:paraId="56B593C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12.0</w:t>
            </w:r>
          </w:p>
        </w:tc>
        <w:tc>
          <w:tcPr>
            <w:tcW w:w="1134" w:type="dxa"/>
            <w:tcBorders>
              <w:left w:val="nil"/>
              <w:bottom w:val="single" w:sz="4" w:space="0" w:color="auto"/>
              <w:right w:val="single" w:sz="4" w:space="0" w:color="auto"/>
            </w:tcBorders>
            <w:shd w:val="clear" w:color="auto" w:fill="C6D9F1" w:themeFill="text2" w:themeFillTint="33"/>
          </w:tcPr>
          <w:p w14:paraId="0EF3F77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406866F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-1.5</w:t>
            </w:r>
          </w:p>
        </w:tc>
        <w:tc>
          <w:tcPr>
            <w:tcW w:w="1134" w:type="dxa"/>
            <w:shd w:val="clear" w:color="auto" w:fill="B8CCE4" w:themeFill="accent1" w:themeFillTint="66"/>
            <w:vAlign w:val="bottom"/>
          </w:tcPr>
          <w:p w14:paraId="0043056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2.5</w:t>
            </w:r>
          </w:p>
        </w:tc>
        <w:tc>
          <w:tcPr>
            <w:tcW w:w="992" w:type="dxa"/>
            <w:shd w:val="clear" w:color="auto" w:fill="auto"/>
          </w:tcPr>
          <w:p w14:paraId="2633C51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r>
      <w:tr w:rsidR="007323B3" w:rsidRPr="007323B3" w14:paraId="5A562413" w14:textId="77777777" w:rsidTr="00CF4BDA">
        <w:tc>
          <w:tcPr>
            <w:tcW w:w="4957" w:type="dxa"/>
            <w:tcBorders>
              <w:bottom w:val="single" w:sz="4" w:space="0" w:color="auto"/>
            </w:tcBorders>
            <w:vAlign w:val="bottom"/>
          </w:tcPr>
          <w:p w14:paraId="12B409CC"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Exports (excl. diamonds and startups)</w:t>
            </w:r>
          </w:p>
        </w:tc>
        <w:tc>
          <w:tcPr>
            <w:tcW w:w="850" w:type="dxa"/>
            <w:tcBorders>
              <w:left w:val="single" w:sz="4" w:space="0" w:color="auto"/>
              <w:bottom w:val="single" w:sz="4" w:space="0" w:color="auto"/>
              <w:right w:val="nil"/>
            </w:tcBorders>
            <w:shd w:val="clear" w:color="auto" w:fill="auto"/>
          </w:tcPr>
          <w:p w14:paraId="1FE8845E" w14:textId="77777777" w:rsidR="007323B3" w:rsidRPr="007323B3" w:rsidRDefault="007323B3" w:rsidP="00CF4BDA">
            <w:pPr>
              <w:jc w:val="center"/>
              <w:rPr>
                <w:rFonts w:ascii="Calibri" w:hAnsi="Calibri" w:cs="Calibri"/>
                <w:color w:val="FF0000"/>
                <w:sz w:val="20"/>
                <w:szCs w:val="20"/>
              </w:rPr>
            </w:pPr>
            <w:r w:rsidRPr="007323B3">
              <w:rPr>
                <w:rFonts w:ascii="Calibri" w:hAnsi="Calibri" w:cs="Calibri"/>
                <w:sz w:val="20"/>
                <w:szCs w:val="20"/>
              </w:rPr>
              <w:t>-0.2</w:t>
            </w:r>
          </w:p>
        </w:tc>
        <w:tc>
          <w:tcPr>
            <w:tcW w:w="992" w:type="dxa"/>
            <w:tcBorders>
              <w:left w:val="single" w:sz="4" w:space="0" w:color="auto"/>
              <w:bottom w:val="single" w:sz="4" w:space="0" w:color="auto"/>
              <w:right w:val="nil"/>
            </w:tcBorders>
            <w:shd w:val="clear" w:color="auto" w:fill="auto"/>
          </w:tcPr>
          <w:p w14:paraId="362AD8E6"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-5.0</w:t>
            </w:r>
          </w:p>
        </w:tc>
        <w:tc>
          <w:tcPr>
            <w:tcW w:w="1134" w:type="dxa"/>
            <w:tcBorders>
              <w:left w:val="nil"/>
              <w:bottom w:val="single" w:sz="4" w:space="0" w:color="auto"/>
              <w:right w:val="single" w:sz="4" w:space="0" w:color="auto"/>
            </w:tcBorders>
            <w:shd w:val="clear" w:color="auto" w:fill="C6D9F1" w:themeFill="text2" w:themeFillTint="33"/>
          </w:tcPr>
          <w:p w14:paraId="24CFC5B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51E11FB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4.5</w:t>
            </w:r>
          </w:p>
        </w:tc>
        <w:tc>
          <w:tcPr>
            <w:tcW w:w="1134" w:type="dxa"/>
            <w:shd w:val="clear" w:color="auto" w:fill="B8CCE4" w:themeFill="accent1" w:themeFillTint="66"/>
            <w:vAlign w:val="bottom"/>
          </w:tcPr>
          <w:p w14:paraId="4489F98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7C36B8A2"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5.5</w:t>
            </w:r>
          </w:p>
        </w:tc>
      </w:tr>
      <w:tr w:rsidR="007323B3" w:rsidRPr="007323B3" w14:paraId="602812D3" w14:textId="77777777" w:rsidTr="00CF4BDA">
        <w:tc>
          <w:tcPr>
            <w:tcW w:w="4957" w:type="dxa"/>
            <w:tcBorders>
              <w:bottom w:val="nil"/>
            </w:tcBorders>
            <w:vAlign w:val="bottom"/>
          </w:tcPr>
          <w:p w14:paraId="35B2C53E"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Civilian imports (excl. diamonds, ships, and aircraft)</w:t>
            </w:r>
          </w:p>
        </w:tc>
        <w:tc>
          <w:tcPr>
            <w:tcW w:w="850" w:type="dxa"/>
            <w:tcBorders>
              <w:left w:val="single" w:sz="4" w:space="0" w:color="auto"/>
              <w:bottom w:val="nil"/>
              <w:right w:val="nil"/>
            </w:tcBorders>
            <w:shd w:val="clear" w:color="auto" w:fill="auto"/>
          </w:tcPr>
          <w:p w14:paraId="2645BB4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-7.2</w:t>
            </w:r>
          </w:p>
        </w:tc>
        <w:tc>
          <w:tcPr>
            <w:tcW w:w="992" w:type="dxa"/>
            <w:tcBorders>
              <w:left w:val="single" w:sz="4" w:space="0" w:color="auto"/>
              <w:bottom w:val="nil"/>
              <w:right w:val="nil"/>
            </w:tcBorders>
            <w:shd w:val="clear" w:color="auto" w:fill="auto"/>
          </w:tcPr>
          <w:p w14:paraId="5C2E983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c>
          <w:tcPr>
            <w:tcW w:w="1134" w:type="dxa"/>
            <w:tcBorders>
              <w:left w:val="nil"/>
              <w:bottom w:val="single" w:sz="4" w:space="0" w:color="auto"/>
              <w:right w:val="single" w:sz="4" w:space="0" w:color="auto"/>
            </w:tcBorders>
            <w:shd w:val="clear" w:color="auto" w:fill="C6D9F1" w:themeFill="text2" w:themeFillTint="33"/>
          </w:tcPr>
          <w:p w14:paraId="0293494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993" w:type="dxa"/>
            <w:tcBorders>
              <w:left w:val="nil"/>
              <w:bottom w:val="single" w:sz="4" w:space="0" w:color="auto"/>
              <w:right w:val="single" w:sz="4" w:space="0" w:color="auto"/>
            </w:tcBorders>
            <w:shd w:val="clear" w:color="auto" w:fill="auto"/>
          </w:tcPr>
          <w:p w14:paraId="676E2E6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12.0</w:t>
            </w:r>
          </w:p>
        </w:tc>
        <w:tc>
          <w:tcPr>
            <w:tcW w:w="1134" w:type="dxa"/>
            <w:shd w:val="clear" w:color="auto" w:fill="B8CCE4" w:themeFill="accent1" w:themeFillTint="66"/>
            <w:vAlign w:val="bottom"/>
          </w:tcPr>
          <w:p w14:paraId="08F840C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36D9E4B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13.0</w:t>
            </w:r>
          </w:p>
        </w:tc>
      </w:tr>
      <w:tr w:rsidR="007323B3" w:rsidRPr="007323B3" w14:paraId="1617011F" w14:textId="77777777" w:rsidTr="00CF4BDA">
        <w:tc>
          <w:tcPr>
            <w:tcW w:w="4957" w:type="dxa"/>
            <w:tcBorders>
              <w:top w:val="single" w:sz="4" w:space="0" w:color="auto"/>
              <w:bottom w:val="single" w:sz="4" w:space="0" w:color="auto"/>
            </w:tcBorders>
            <w:vAlign w:val="bottom"/>
          </w:tcPr>
          <w:p w14:paraId="7C671A64" w14:textId="77777777" w:rsidR="007323B3" w:rsidRPr="007323B3" w:rsidRDefault="007323B3" w:rsidP="00CF4BDA">
            <w:pPr>
              <w:rPr>
                <w:rFonts w:ascii="Calibri" w:hAnsi="Calibri" w:cs="Calibri"/>
                <w:sz w:val="20"/>
                <w:szCs w:val="20"/>
                <w:vertAlign w:val="superscript"/>
              </w:rPr>
            </w:pPr>
            <w:r w:rsidRPr="007323B3">
              <w:rPr>
                <w:rFonts w:ascii="Calibri" w:hAnsi="Calibri" w:cs="Calibri"/>
                <w:sz w:val="20"/>
                <w:szCs w:val="20"/>
              </w:rPr>
              <w:t>Broad unemployment rate (average for the year, ages 25–64)</w:t>
            </w:r>
            <w:r w:rsidRPr="007323B3">
              <w:rPr>
                <w:rFonts w:ascii="Calibri" w:hAnsi="Calibri" w:cs="Calibri"/>
                <w:sz w:val="20"/>
                <w:szCs w:val="20"/>
                <w:vertAlign w:val="superscript"/>
              </w:rPr>
              <w:t>b</w:t>
            </w:r>
          </w:p>
        </w:tc>
        <w:tc>
          <w:tcPr>
            <w:tcW w:w="850" w:type="dxa"/>
            <w:tcBorders>
              <w:top w:val="single" w:sz="4" w:space="0" w:color="auto"/>
              <w:left w:val="single" w:sz="4" w:space="0" w:color="auto"/>
              <w:bottom w:val="single" w:sz="4" w:space="0" w:color="auto"/>
              <w:right w:val="nil"/>
            </w:tcBorders>
            <w:shd w:val="clear" w:color="auto" w:fill="auto"/>
          </w:tcPr>
          <w:p w14:paraId="1A6C643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4.4</w:t>
            </w:r>
          </w:p>
        </w:tc>
        <w:tc>
          <w:tcPr>
            <w:tcW w:w="992" w:type="dxa"/>
            <w:tcBorders>
              <w:top w:val="single" w:sz="4" w:space="0" w:color="auto"/>
              <w:left w:val="single" w:sz="4" w:space="0" w:color="auto"/>
              <w:bottom w:val="single" w:sz="4" w:space="0" w:color="auto"/>
              <w:right w:val="nil"/>
            </w:tcBorders>
            <w:shd w:val="clear" w:color="auto" w:fill="auto"/>
          </w:tcPr>
          <w:p w14:paraId="4B4C7B0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5017889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14:paraId="31E0D22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3.1</w:t>
            </w:r>
          </w:p>
        </w:tc>
        <w:tc>
          <w:tcPr>
            <w:tcW w:w="1134" w:type="dxa"/>
            <w:shd w:val="clear" w:color="auto" w:fill="B8CCE4" w:themeFill="accent1" w:themeFillTint="66"/>
          </w:tcPr>
          <w:p w14:paraId="18EB7B0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-0.1</w:t>
            </w:r>
          </w:p>
        </w:tc>
        <w:tc>
          <w:tcPr>
            <w:tcW w:w="992" w:type="dxa"/>
            <w:shd w:val="clear" w:color="auto" w:fill="auto"/>
          </w:tcPr>
          <w:p w14:paraId="1CDAEF32"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3.1</w:t>
            </w:r>
          </w:p>
        </w:tc>
      </w:tr>
      <w:tr w:rsidR="007323B3" w:rsidRPr="007323B3" w14:paraId="2CAB48F6" w14:textId="77777777" w:rsidTr="00CF4BDA">
        <w:tc>
          <w:tcPr>
            <w:tcW w:w="4957" w:type="dxa"/>
            <w:tcBorders>
              <w:top w:val="single" w:sz="4" w:space="0" w:color="auto"/>
              <w:bottom w:val="single" w:sz="4" w:space="0" w:color="auto"/>
            </w:tcBorders>
            <w:vAlign w:val="bottom"/>
          </w:tcPr>
          <w:p w14:paraId="0B92BF55"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Adjusted employment rate (average for the year, ages 25–64)</w:t>
            </w:r>
            <w:r w:rsidRPr="007323B3">
              <w:rPr>
                <w:rFonts w:ascii="Calibri" w:hAnsi="Calibri" w:cs="Calibri"/>
                <w:sz w:val="20"/>
                <w:szCs w:val="20"/>
                <w:vertAlign w:val="superscript"/>
              </w:rPr>
              <w:t>b</w:t>
            </w:r>
          </w:p>
        </w:tc>
        <w:tc>
          <w:tcPr>
            <w:tcW w:w="850" w:type="dxa"/>
            <w:tcBorders>
              <w:top w:val="single" w:sz="4" w:space="0" w:color="auto"/>
              <w:left w:val="single" w:sz="4" w:space="0" w:color="auto"/>
              <w:bottom w:val="single" w:sz="4" w:space="0" w:color="auto"/>
              <w:right w:val="nil"/>
            </w:tcBorders>
            <w:shd w:val="clear" w:color="auto" w:fill="auto"/>
          </w:tcPr>
          <w:p w14:paraId="17C2D4C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77.8</w:t>
            </w:r>
          </w:p>
        </w:tc>
        <w:tc>
          <w:tcPr>
            <w:tcW w:w="992" w:type="dxa"/>
            <w:tcBorders>
              <w:top w:val="single" w:sz="4" w:space="0" w:color="auto"/>
              <w:left w:val="single" w:sz="4" w:space="0" w:color="auto"/>
              <w:bottom w:val="single" w:sz="4" w:space="0" w:color="auto"/>
              <w:right w:val="nil"/>
            </w:tcBorders>
            <w:shd w:val="clear" w:color="auto" w:fill="auto"/>
          </w:tcPr>
          <w:p w14:paraId="2869B946"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77.9</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7AF58A3E"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14:paraId="38C5683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78.4</w:t>
            </w:r>
          </w:p>
        </w:tc>
        <w:tc>
          <w:tcPr>
            <w:tcW w:w="1134" w:type="dxa"/>
            <w:shd w:val="clear" w:color="auto" w:fill="B8CCE4" w:themeFill="accent1" w:themeFillTint="66"/>
          </w:tcPr>
          <w:p w14:paraId="083C751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0.1</w:t>
            </w:r>
          </w:p>
        </w:tc>
        <w:tc>
          <w:tcPr>
            <w:tcW w:w="992" w:type="dxa"/>
            <w:shd w:val="clear" w:color="auto" w:fill="auto"/>
          </w:tcPr>
          <w:p w14:paraId="12644B5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78.7</w:t>
            </w:r>
          </w:p>
        </w:tc>
      </w:tr>
      <w:tr w:rsidR="007323B3" w:rsidRPr="007323B3" w14:paraId="1CE3025B" w14:textId="77777777" w:rsidTr="00CF4BDA">
        <w:tc>
          <w:tcPr>
            <w:tcW w:w="4957" w:type="dxa"/>
            <w:tcBorders>
              <w:top w:val="single" w:sz="4" w:space="0" w:color="auto"/>
              <w:bottom w:val="single" w:sz="4" w:space="0" w:color="auto"/>
            </w:tcBorders>
            <w:vAlign w:val="bottom"/>
          </w:tcPr>
          <w:p w14:paraId="421ABE9D"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Government deficit (percent of GDP)</w:t>
            </w:r>
          </w:p>
        </w:tc>
        <w:tc>
          <w:tcPr>
            <w:tcW w:w="850" w:type="dxa"/>
            <w:tcBorders>
              <w:top w:val="single" w:sz="4" w:space="0" w:color="auto"/>
              <w:left w:val="single" w:sz="4" w:space="0" w:color="auto"/>
              <w:bottom w:val="single" w:sz="4" w:space="0" w:color="auto"/>
              <w:right w:val="nil"/>
            </w:tcBorders>
            <w:shd w:val="clear" w:color="auto" w:fill="auto"/>
          </w:tcPr>
          <w:p w14:paraId="170F5E2F"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4.1</w:t>
            </w:r>
          </w:p>
        </w:tc>
        <w:tc>
          <w:tcPr>
            <w:tcW w:w="992" w:type="dxa"/>
            <w:tcBorders>
              <w:top w:val="single" w:sz="4" w:space="0" w:color="auto"/>
              <w:left w:val="single" w:sz="4" w:space="0" w:color="auto"/>
              <w:bottom w:val="single" w:sz="4" w:space="0" w:color="auto"/>
              <w:right w:val="nil"/>
            </w:tcBorders>
            <w:shd w:val="clear" w:color="auto" w:fill="auto"/>
          </w:tcPr>
          <w:p w14:paraId="439D000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7.0</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7917B76E"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-0.2</w:t>
            </w:r>
          </w:p>
        </w:tc>
        <w:tc>
          <w:tcPr>
            <w:tcW w:w="993" w:type="dxa"/>
            <w:tcBorders>
              <w:top w:val="single" w:sz="4" w:space="0" w:color="auto"/>
              <w:left w:val="nil"/>
              <w:bottom w:val="single" w:sz="4" w:space="0" w:color="auto"/>
              <w:right w:val="single" w:sz="4" w:space="0" w:color="auto"/>
            </w:tcBorders>
            <w:shd w:val="clear" w:color="auto" w:fill="auto"/>
          </w:tcPr>
          <w:p w14:paraId="1DE4E67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4.7</w:t>
            </w:r>
          </w:p>
        </w:tc>
        <w:tc>
          <w:tcPr>
            <w:tcW w:w="1134" w:type="dxa"/>
            <w:shd w:val="clear" w:color="auto" w:fill="B8CCE4" w:themeFill="accent1" w:themeFillTint="66"/>
            <w:vAlign w:val="bottom"/>
          </w:tcPr>
          <w:p w14:paraId="7169D4C4"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-0.2</w:t>
            </w:r>
          </w:p>
        </w:tc>
        <w:tc>
          <w:tcPr>
            <w:tcW w:w="992" w:type="dxa"/>
            <w:shd w:val="clear" w:color="auto" w:fill="auto"/>
          </w:tcPr>
          <w:p w14:paraId="0414613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3.2</w:t>
            </w:r>
          </w:p>
        </w:tc>
      </w:tr>
      <w:tr w:rsidR="007323B3" w:rsidRPr="007323B3" w14:paraId="3FF1140C" w14:textId="77777777" w:rsidTr="00CF4BDA">
        <w:tc>
          <w:tcPr>
            <w:tcW w:w="4957" w:type="dxa"/>
            <w:tcBorders>
              <w:top w:val="single" w:sz="4" w:space="0" w:color="auto"/>
              <w:bottom w:val="single" w:sz="4" w:space="0" w:color="auto"/>
            </w:tcBorders>
            <w:vAlign w:val="bottom"/>
          </w:tcPr>
          <w:p w14:paraId="4BDE2271"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Debt to GDP ratio (percent)</w:t>
            </w:r>
          </w:p>
        </w:tc>
        <w:tc>
          <w:tcPr>
            <w:tcW w:w="850" w:type="dxa"/>
            <w:tcBorders>
              <w:top w:val="single" w:sz="4" w:space="0" w:color="auto"/>
              <w:left w:val="single" w:sz="4" w:space="0" w:color="auto"/>
              <w:bottom w:val="single" w:sz="4" w:space="0" w:color="auto"/>
              <w:right w:val="nil"/>
            </w:tcBorders>
            <w:shd w:val="clear" w:color="auto" w:fill="auto"/>
          </w:tcPr>
          <w:p w14:paraId="23DC2A8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61.4</w:t>
            </w:r>
          </w:p>
        </w:tc>
        <w:tc>
          <w:tcPr>
            <w:tcW w:w="992" w:type="dxa"/>
            <w:tcBorders>
              <w:top w:val="single" w:sz="4" w:space="0" w:color="auto"/>
              <w:left w:val="single" w:sz="4" w:space="0" w:color="auto"/>
              <w:bottom w:val="single" w:sz="4" w:space="0" w:color="auto"/>
              <w:right w:val="nil"/>
            </w:tcBorders>
            <w:shd w:val="clear" w:color="auto" w:fill="auto"/>
          </w:tcPr>
          <w:p w14:paraId="5058894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67.0</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6F9876B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top w:val="single" w:sz="4" w:space="0" w:color="auto"/>
              <w:left w:val="nil"/>
              <w:bottom w:val="single" w:sz="4" w:space="0" w:color="auto"/>
              <w:right w:val="single" w:sz="4" w:space="0" w:color="auto"/>
            </w:tcBorders>
            <w:shd w:val="clear" w:color="auto" w:fill="auto"/>
          </w:tcPr>
          <w:p w14:paraId="470FFEB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69.0</w:t>
            </w:r>
          </w:p>
        </w:tc>
        <w:tc>
          <w:tcPr>
            <w:tcW w:w="1134" w:type="dxa"/>
            <w:shd w:val="clear" w:color="auto" w:fill="B8CCE4" w:themeFill="accent1" w:themeFillTint="66"/>
            <w:vAlign w:val="bottom"/>
          </w:tcPr>
          <w:p w14:paraId="4BAC56A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2" w:type="dxa"/>
            <w:shd w:val="clear" w:color="auto" w:fill="auto"/>
          </w:tcPr>
          <w:p w14:paraId="2D841A48"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67.0</w:t>
            </w:r>
          </w:p>
        </w:tc>
      </w:tr>
      <w:tr w:rsidR="007323B3" w:rsidRPr="007323B3" w14:paraId="1C734B00" w14:textId="77777777" w:rsidTr="00CF4BDA">
        <w:tc>
          <w:tcPr>
            <w:tcW w:w="4957" w:type="dxa"/>
            <w:tcBorders>
              <w:top w:val="single" w:sz="4" w:space="0" w:color="auto"/>
              <w:bottom w:val="single" w:sz="4" w:space="0" w:color="auto"/>
            </w:tcBorders>
            <w:vAlign w:val="bottom"/>
          </w:tcPr>
          <w:p w14:paraId="1E9AECAC" w14:textId="77777777" w:rsidR="007323B3" w:rsidRPr="007323B3" w:rsidRDefault="007323B3" w:rsidP="00CF4BDA">
            <w:pPr>
              <w:rPr>
                <w:rFonts w:ascii="Calibri" w:hAnsi="Calibri" w:cs="Calibri"/>
                <w:sz w:val="20"/>
                <w:szCs w:val="20"/>
                <w:vertAlign w:val="superscript"/>
              </w:rPr>
            </w:pPr>
            <w:r w:rsidRPr="007323B3">
              <w:rPr>
                <w:rFonts w:ascii="Calibri" w:hAnsi="Calibri" w:cs="Calibri"/>
                <w:sz w:val="20"/>
                <w:szCs w:val="20"/>
              </w:rPr>
              <w:t>Inflation (percent)</w:t>
            </w:r>
            <w:r w:rsidRPr="007323B3">
              <w:rPr>
                <w:rFonts w:ascii="Calibri" w:hAnsi="Calibri" w:cs="Calibri"/>
                <w:sz w:val="20"/>
                <w:szCs w:val="20"/>
                <w:vertAlign w:val="superscript"/>
              </w:rPr>
              <w:t>c</w:t>
            </w:r>
          </w:p>
        </w:tc>
        <w:tc>
          <w:tcPr>
            <w:tcW w:w="850" w:type="dxa"/>
            <w:tcBorders>
              <w:top w:val="single" w:sz="4" w:space="0" w:color="auto"/>
              <w:left w:val="single" w:sz="4" w:space="0" w:color="auto"/>
              <w:bottom w:val="single" w:sz="4" w:space="0" w:color="auto"/>
              <w:right w:val="nil"/>
            </w:tcBorders>
            <w:shd w:val="clear" w:color="auto" w:fill="auto"/>
          </w:tcPr>
          <w:p w14:paraId="387653E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3.3</w:t>
            </w:r>
          </w:p>
        </w:tc>
        <w:tc>
          <w:tcPr>
            <w:tcW w:w="992" w:type="dxa"/>
            <w:tcBorders>
              <w:top w:val="single" w:sz="4" w:space="0" w:color="auto"/>
              <w:left w:val="single" w:sz="4" w:space="0" w:color="auto"/>
              <w:bottom w:val="single" w:sz="4" w:space="0" w:color="auto"/>
              <w:right w:val="nil"/>
            </w:tcBorders>
            <w:shd w:val="clear" w:color="auto" w:fill="auto"/>
          </w:tcPr>
          <w:p w14:paraId="2E7EBC4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3.4</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4F0AFD49"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-0.4</w:t>
            </w:r>
          </w:p>
        </w:tc>
        <w:tc>
          <w:tcPr>
            <w:tcW w:w="993" w:type="dxa"/>
            <w:tcBorders>
              <w:top w:val="single" w:sz="4" w:space="0" w:color="auto"/>
              <w:left w:val="nil"/>
              <w:bottom w:val="single" w:sz="4" w:space="0" w:color="auto"/>
              <w:right w:val="single" w:sz="4" w:space="0" w:color="auto"/>
            </w:tcBorders>
            <w:shd w:val="clear" w:color="auto" w:fill="auto"/>
          </w:tcPr>
          <w:p w14:paraId="73A3CA82"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2.6</w:t>
            </w:r>
          </w:p>
        </w:tc>
        <w:tc>
          <w:tcPr>
            <w:tcW w:w="1134" w:type="dxa"/>
            <w:shd w:val="clear" w:color="auto" w:fill="B8CCE4" w:themeFill="accent1" w:themeFillTint="66"/>
            <w:vAlign w:val="bottom"/>
          </w:tcPr>
          <w:p w14:paraId="6D9CDA21"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-0.2</w:t>
            </w:r>
          </w:p>
        </w:tc>
        <w:tc>
          <w:tcPr>
            <w:tcW w:w="992" w:type="dxa"/>
            <w:shd w:val="clear" w:color="auto" w:fill="auto"/>
          </w:tcPr>
          <w:p w14:paraId="35691C66"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2.3</w:t>
            </w:r>
          </w:p>
        </w:tc>
      </w:tr>
      <w:tr w:rsidR="007323B3" w:rsidRPr="007323B3" w14:paraId="2DAA1B78" w14:textId="77777777" w:rsidTr="00CF4BDA">
        <w:tc>
          <w:tcPr>
            <w:tcW w:w="11052" w:type="dxa"/>
            <w:gridSpan w:val="7"/>
            <w:tcBorders>
              <w:top w:val="single" w:sz="4" w:space="0" w:color="auto"/>
              <w:bottom w:val="single" w:sz="4" w:space="0" w:color="auto"/>
              <w:right w:val="single" w:sz="4" w:space="0" w:color="auto"/>
            </w:tcBorders>
            <w:vAlign w:val="bottom"/>
          </w:tcPr>
          <w:p w14:paraId="0E10FF97" w14:textId="77777777" w:rsidR="007323B3" w:rsidRPr="007323B3" w:rsidRDefault="007323B3" w:rsidP="00CF4BDA">
            <w:pPr>
              <w:rPr>
                <w:rFonts w:ascii="Calibri" w:hAnsi="Calibri" w:cs="Calibri"/>
                <w:sz w:val="18"/>
                <w:szCs w:val="18"/>
              </w:rPr>
            </w:pPr>
            <w:proofErr w:type="spellStart"/>
            <w:proofErr w:type="gramStart"/>
            <w:r w:rsidRPr="007323B3">
              <w:rPr>
                <w:rFonts w:ascii="Calibri" w:hAnsi="Calibri" w:cs="Calibri"/>
                <w:sz w:val="18"/>
                <w:szCs w:val="18"/>
                <w:vertAlign w:val="superscript"/>
              </w:rPr>
              <w:t>a</w:t>
            </w:r>
            <w:proofErr w:type="spellEnd"/>
            <w:proofErr w:type="gramEnd"/>
            <w:r w:rsidRPr="007323B3">
              <w:rPr>
                <w:rFonts w:ascii="Calibri" w:hAnsi="Calibri" w:cs="Calibri"/>
                <w:sz w:val="18"/>
                <w:szCs w:val="18"/>
                <w:vertAlign w:val="superscript"/>
              </w:rPr>
              <w:t xml:space="preserve"> </w:t>
            </w:r>
            <w:r w:rsidRPr="007323B3">
              <w:rPr>
                <w:rFonts w:ascii="Calibri" w:hAnsi="Calibri" w:cs="Calibri"/>
                <w:sz w:val="18"/>
                <w:szCs w:val="18"/>
              </w:rPr>
              <w:t>The forecasts of the National Accounts components and the debt to GDP ratio are rounded to the nearest half percentage point.</w:t>
            </w:r>
          </w:p>
          <w:p w14:paraId="3D2A0D5C" w14:textId="77777777" w:rsidR="007323B3" w:rsidRPr="007323B3" w:rsidRDefault="007323B3" w:rsidP="00CF4BDA">
            <w:pPr>
              <w:rPr>
                <w:rFonts w:ascii="Calibri" w:hAnsi="Calibri" w:cs="Calibri"/>
                <w:sz w:val="18"/>
                <w:szCs w:val="18"/>
              </w:rPr>
            </w:pPr>
            <w:proofErr w:type="gramStart"/>
            <w:r w:rsidRPr="007323B3">
              <w:rPr>
                <w:rFonts w:ascii="Calibri" w:hAnsi="Calibri" w:cs="Calibri"/>
                <w:sz w:val="18"/>
                <w:szCs w:val="18"/>
                <w:vertAlign w:val="superscript"/>
              </w:rPr>
              <w:t>b</w:t>
            </w:r>
            <w:proofErr w:type="gramEnd"/>
            <w:r w:rsidRPr="007323B3">
              <w:rPr>
                <w:rFonts w:ascii="Calibri" w:hAnsi="Calibri" w:cs="Calibr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114F6388" w14:textId="77777777" w:rsidR="007323B3" w:rsidRPr="007323B3" w:rsidRDefault="007323B3" w:rsidP="00CF4BDA">
            <w:pPr>
              <w:rPr>
                <w:rFonts w:ascii="Calibri" w:hAnsi="Calibri" w:cs="Calibri"/>
                <w:sz w:val="18"/>
                <w:szCs w:val="18"/>
                <w:vertAlign w:val="superscript"/>
              </w:rPr>
            </w:pPr>
            <w:proofErr w:type="gramStart"/>
            <w:r w:rsidRPr="007323B3">
              <w:rPr>
                <w:rFonts w:ascii="Calibri" w:hAnsi="Calibri" w:cs="Calibri"/>
                <w:sz w:val="18"/>
                <w:szCs w:val="18"/>
                <w:vertAlign w:val="superscript"/>
              </w:rPr>
              <w:t>c</w:t>
            </w:r>
            <w:proofErr w:type="gramEnd"/>
            <w:r w:rsidRPr="007323B3">
              <w:rPr>
                <w:rFonts w:ascii="Calibri" w:hAnsi="Calibri" w:cs="Calibri"/>
                <w:sz w:val="18"/>
                <w:szCs w:val="18"/>
              </w:rPr>
              <w:t xml:space="preserve"> The average of the Consumer Price Index in the last quarter of the year compared with the average in the last quarter of the previous year.</w:t>
            </w:r>
          </w:p>
        </w:tc>
      </w:tr>
    </w:tbl>
    <w:p w14:paraId="71EC93DF" w14:textId="77777777" w:rsidR="007323B3" w:rsidRPr="007323B3" w:rsidRDefault="007323B3" w:rsidP="007323B3">
      <w:pPr>
        <w:rPr>
          <w:rFonts w:ascii="Calibri" w:hAnsi="Calibri" w:cs="Calibri"/>
          <w:b/>
          <w:bCs/>
        </w:rPr>
      </w:pPr>
    </w:p>
    <w:p w14:paraId="1BF1C494"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 xml:space="preserve">Inflation and interest rates </w:t>
      </w:r>
    </w:p>
    <w:p w14:paraId="250F3144" w14:textId="77777777" w:rsidR="007323B3" w:rsidRPr="007323B3" w:rsidRDefault="007323B3" w:rsidP="007323B3">
      <w:pPr>
        <w:rPr>
          <w:rFonts w:ascii="Calibri" w:hAnsi="Calibri" w:cs="Calibri"/>
          <w:rtl/>
        </w:rPr>
      </w:pPr>
      <w:r w:rsidRPr="007323B3">
        <w:rPr>
          <w:rFonts w:ascii="Calibri" w:hAnsi="Calibri" w:cs="Calibri"/>
          <w:b/>
          <w:bCs/>
        </w:rPr>
        <w:t xml:space="preserve">Our assessment is that inflation in 2024 (the four quarters ending in the fourth quarter of 2024) was 3.4 percent.  Inflation in 2025 is expected to be 2.6 percent, and in 2026 it is expected to be 2.3 percent </w:t>
      </w:r>
      <w:r w:rsidRPr="007323B3">
        <w:rPr>
          <w:rFonts w:ascii="Calibri" w:hAnsi="Calibri" w:cs="Calibri"/>
        </w:rPr>
        <w:t xml:space="preserve">(Table 1), compared with the October forecast of 3.8 percent in 2024 and 2.8 percent in 2025.  During the forecast period, we expect an easing of the existing supply-side limitations, together with a recovery of demand that is initially slightly more rapid.  In view of this, we expect some continued increase in consumer prices on some goods and services.  Despite this, the inflation forecast for 2025 </w:t>
      </w:r>
      <w:proofErr w:type="gramStart"/>
      <w:r w:rsidRPr="007323B3">
        <w:rPr>
          <w:rFonts w:ascii="Calibri" w:hAnsi="Calibri" w:cs="Calibri"/>
        </w:rPr>
        <w:t>was revised</w:t>
      </w:r>
      <w:proofErr w:type="gramEnd"/>
      <w:r w:rsidRPr="007323B3">
        <w:rPr>
          <w:rFonts w:ascii="Calibri" w:hAnsi="Calibri" w:cs="Calibri"/>
        </w:rPr>
        <w:t xml:space="preserve"> downward, mainly due to an expected appreciation of the shekel by 5.5 percent in terms of the nominal effective exchange rate relative to our assumption in October.  The effect of this appreciation </w:t>
      </w:r>
      <w:proofErr w:type="gramStart"/>
      <w:r w:rsidRPr="007323B3">
        <w:rPr>
          <w:rFonts w:ascii="Calibri" w:hAnsi="Calibri" w:cs="Calibri"/>
        </w:rPr>
        <w:t>will be partly offset</w:t>
      </w:r>
      <w:proofErr w:type="gramEnd"/>
      <w:r w:rsidRPr="007323B3">
        <w:rPr>
          <w:rFonts w:ascii="Calibri" w:hAnsi="Calibri" w:cs="Calibri"/>
        </w:rPr>
        <w:t xml:space="preserve"> by positive contributions to inflation in 2025 due to fiscal measures that are expected to influence price levels from the beginning of the year (beyond the effect that was already attributed to these measures in the October forecast).  The increase in the inflation path that </w:t>
      </w:r>
      <w:proofErr w:type="gramStart"/>
      <w:r w:rsidRPr="007323B3">
        <w:rPr>
          <w:rFonts w:ascii="Calibri" w:hAnsi="Calibri" w:cs="Calibri"/>
        </w:rPr>
        <w:t>is expected</w:t>
      </w:r>
      <w:proofErr w:type="gramEnd"/>
      <w:r w:rsidRPr="007323B3">
        <w:rPr>
          <w:rFonts w:ascii="Calibri" w:hAnsi="Calibri" w:cs="Calibri"/>
        </w:rPr>
        <w:t xml:space="preserve"> in the advanced economies also slightly offsets the impact of the expected appreciation of the shekel, and contributes slightly to the increase in the expected inflation rate in 2025.</w:t>
      </w:r>
      <w:r w:rsidRPr="007323B3">
        <w:rPr>
          <w:rFonts w:ascii="Calibri" w:hAnsi="Calibri" w:cs="Calibri"/>
          <w:b/>
          <w:bCs/>
        </w:rPr>
        <w:t xml:space="preserve">  </w:t>
      </w:r>
    </w:p>
    <w:p w14:paraId="52E1CCD4" w14:textId="77777777" w:rsidR="007323B3" w:rsidRPr="007323B3" w:rsidRDefault="007323B3" w:rsidP="007323B3">
      <w:pPr>
        <w:rPr>
          <w:rFonts w:ascii="Calibri" w:hAnsi="Calibri" w:cs="Calibri"/>
        </w:rPr>
      </w:pPr>
    </w:p>
    <w:p w14:paraId="3B7BB3AA" w14:textId="77777777" w:rsidR="007323B3" w:rsidRPr="007323B3" w:rsidRDefault="007323B3" w:rsidP="007323B3">
      <w:pPr>
        <w:rPr>
          <w:rFonts w:ascii="Calibri" w:hAnsi="Calibri" w:cs="Calibri"/>
        </w:rPr>
      </w:pPr>
      <w:r w:rsidRPr="007323B3">
        <w:rPr>
          <w:rFonts w:ascii="Calibri" w:hAnsi="Calibri" w:cs="Calibri"/>
          <w:b/>
          <w:bCs/>
        </w:rPr>
        <w:t xml:space="preserve">The interest rate </w:t>
      </w:r>
      <w:proofErr w:type="gramStart"/>
      <w:r w:rsidRPr="007323B3">
        <w:rPr>
          <w:rFonts w:ascii="Calibri" w:hAnsi="Calibri" w:cs="Calibri"/>
          <w:b/>
          <w:bCs/>
        </w:rPr>
        <w:t>is expected</w:t>
      </w:r>
      <w:proofErr w:type="gramEnd"/>
      <w:r w:rsidRPr="007323B3">
        <w:rPr>
          <w:rFonts w:ascii="Calibri" w:hAnsi="Calibri" w:cs="Calibri"/>
          <w:b/>
          <w:bCs/>
        </w:rPr>
        <w:t xml:space="preserve"> to decline slightly, to an average of 4.0/4.25 percent in the fourth quarter of 2025</w:t>
      </w:r>
      <w:r w:rsidRPr="007323B3">
        <w:rPr>
          <w:rFonts w:ascii="Calibri" w:hAnsi="Calibri" w:cs="Calibri"/>
        </w:rPr>
        <w:t xml:space="preserve"> (Table 2). This is in view of the lower inflation environment than our October assessment and the gradual decline that is expected in surplus demand in view of the expected gradual dwindling of the supply limitations throughout the forecast period. </w:t>
      </w:r>
    </w:p>
    <w:p w14:paraId="13A841A6" w14:textId="77777777" w:rsidR="007323B3" w:rsidRPr="007323B3" w:rsidRDefault="007323B3" w:rsidP="007323B3">
      <w:pPr>
        <w:rPr>
          <w:rFonts w:ascii="Calibri" w:hAnsi="Calibri" w:cs="Calibri"/>
        </w:rPr>
      </w:pPr>
    </w:p>
    <w:p w14:paraId="38EB3C52" w14:textId="77777777" w:rsidR="007323B3" w:rsidRPr="007323B3" w:rsidRDefault="007323B3" w:rsidP="007323B3">
      <w:pPr>
        <w:rPr>
          <w:rFonts w:ascii="Calibri" w:hAnsi="Calibri" w:cs="Calibri"/>
        </w:rPr>
      </w:pPr>
    </w:p>
    <w:p w14:paraId="3375E66A" w14:textId="77777777" w:rsidR="007323B3" w:rsidRPr="007323B3" w:rsidRDefault="007323B3" w:rsidP="007323B3">
      <w:pPr>
        <w:rPr>
          <w:rFonts w:ascii="Calibri" w:hAnsi="Calibri" w:cs="Calibri"/>
        </w:rPr>
      </w:pPr>
    </w:p>
    <w:tbl>
      <w:tblPr>
        <w:tblW w:w="8233" w:type="dxa"/>
        <w:tblInd w:w="93" w:type="dxa"/>
        <w:tblLook w:val="04A0" w:firstRow="1" w:lastRow="0" w:firstColumn="1" w:lastColumn="0" w:noHBand="0" w:noVBand="1"/>
      </w:tblPr>
      <w:tblGrid>
        <w:gridCol w:w="2480"/>
        <w:gridCol w:w="2094"/>
        <w:gridCol w:w="1540"/>
        <w:gridCol w:w="2119"/>
      </w:tblGrid>
      <w:tr w:rsidR="007323B3" w:rsidRPr="007323B3" w14:paraId="41A1AEBC" w14:textId="77777777" w:rsidTr="00CF4BDA">
        <w:trPr>
          <w:trHeight w:val="316"/>
          <w:tblHeader/>
        </w:trPr>
        <w:tc>
          <w:tcPr>
            <w:tcW w:w="8233" w:type="dxa"/>
            <w:gridSpan w:val="4"/>
            <w:tcBorders>
              <w:top w:val="nil"/>
              <w:left w:val="nil"/>
              <w:bottom w:val="nil"/>
              <w:right w:val="nil"/>
            </w:tcBorders>
            <w:shd w:val="clear" w:color="000000" w:fill="FFFFFF"/>
            <w:noWrap/>
            <w:vAlign w:val="center"/>
            <w:hideMark/>
          </w:tcPr>
          <w:p w14:paraId="4D153511" w14:textId="77777777" w:rsidR="007323B3" w:rsidRPr="007323B3" w:rsidRDefault="007323B3" w:rsidP="00CF4BDA">
            <w:pPr>
              <w:rPr>
                <w:rFonts w:ascii="Calibri" w:hAnsi="Calibri" w:cs="Calibri"/>
                <w:b/>
                <w:bCs/>
                <w:color w:val="0070C0"/>
              </w:rPr>
            </w:pPr>
            <w:r w:rsidRPr="007323B3">
              <w:rPr>
                <w:rFonts w:ascii="Calibri" w:hAnsi="Calibri" w:cs="Calibri"/>
                <w:color w:val="0070C0"/>
              </w:rPr>
              <w:br w:type="page"/>
            </w:r>
            <w:r w:rsidRPr="007323B3">
              <w:rPr>
                <w:rFonts w:ascii="Calibri" w:hAnsi="Calibri" w:cs="Calibri"/>
                <w:b/>
                <w:bCs/>
                <w:color w:val="0070C0"/>
              </w:rPr>
              <w:t>Table 2</w:t>
            </w:r>
          </w:p>
        </w:tc>
      </w:tr>
      <w:tr w:rsidR="007323B3" w:rsidRPr="007323B3" w14:paraId="445F3DC1" w14:textId="77777777" w:rsidTr="00CF4BDA">
        <w:trPr>
          <w:trHeight w:val="316"/>
          <w:tblHeader/>
        </w:trPr>
        <w:tc>
          <w:tcPr>
            <w:tcW w:w="8233" w:type="dxa"/>
            <w:gridSpan w:val="4"/>
            <w:tcBorders>
              <w:top w:val="nil"/>
              <w:left w:val="nil"/>
              <w:bottom w:val="nil"/>
              <w:right w:val="nil"/>
            </w:tcBorders>
            <w:shd w:val="clear" w:color="000000" w:fill="FFFFFF"/>
            <w:noWrap/>
            <w:vAlign w:val="center"/>
            <w:hideMark/>
          </w:tcPr>
          <w:p w14:paraId="72B928CD"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Inflation forecast for the coming year and interest rate forecast for one year from now</w:t>
            </w:r>
          </w:p>
        </w:tc>
      </w:tr>
      <w:tr w:rsidR="007323B3" w:rsidRPr="007323B3" w14:paraId="2CB6EBF9" w14:textId="77777777" w:rsidTr="00CF4BDA">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14D0E391" w14:textId="77777777" w:rsidR="007323B3" w:rsidRPr="007323B3" w:rsidRDefault="007323B3" w:rsidP="00CF4BDA">
            <w:pPr>
              <w:jc w:val="right"/>
              <w:rPr>
                <w:rFonts w:ascii="Calibri" w:hAnsi="Calibri" w:cs="Calibri"/>
                <w:color w:val="0070C0"/>
                <w:sz w:val="22"/>
                <w:szCs w:val="22"/>
              </w:rPr>
            </w:pPr>
            <w:r w:rsidRPr="007323B3">
              <w:rPr>
                <w:rFonts w:ascii="Calibri" w:hAnsi="Calibri" w:cs="Calibri"/>
                <w:color w:val="0070C0"/>
                <w:sz w:val="22"/>
                <w:szCs w:val="22"/>
              </w:rPr>
              <w:t>(percent)</w:t>
            </w:r>
          </w:p>
        </w:tc>
      </w:tr>
      <w:tr w:rsidR="007323B3" w:rsidRPr="007323B3" w14:paraId="788A52E2" w14:textId="77777777" w:rsidTr="00CF4BDA">
        <w:trPr>
          <w:trHeight w:val="683"/>
          <w:tblHeader/>
        </w:trPr>
        <w:tc>
          <w:tcPr>
            <w:tcW w:w="2480" w:type="dxa"/>
            <w:tcBorders>
              <w:top w:val="nil"/>
              <w:left w:val="nil"/>
              <w:bottom w:val="nil"/>
              <w:right w:val="nil"/>
            </w:tcBorders>
            <w:shd w:val="clear" w:color="000000" w:fill="FFFFFF"/>
            <w:vAlign w:val="center"/>
            <w:hideMark/>
          </w:tcPr>
          <w:p w14:paraId="00876F13" w14:textId="77777777" w:rsidR="007323B3" w:rsidRPr="007323B3" w:rsidRDefault="007323B3" w:rsidP="00CF4BDA">
            <w:pPr>
              <w:jc w:val="center"/>
              <w:rPr>
                <w:rFonts w:ascii="Calibri" w:hAnsi="Calibri" w:cs="Calibri"/>
              </w:rPr>
            </w:pPr>
          </w:p>
        </w:tc>
        <w:tc>
          <w:tcPr>
            <w:tcW w:w="2094" w:type="dxa"/>
            <w:tcBorders>
              <w:top w:val="nil"/>
              <w:left w:val="nil"/>
              <w:bottom w:val="nil"/>
              <w:right w:val="nil"/>
            </w:tcBorders>
            <w:shd w:val="clear" w:color="000000" w:fill="FFFFFF"/>
            <w:vAlign w:val="center"/>
            <w:hideMark/>
          </w:tcPr>
          <w:p w14:paraId="66BCE78B" w14:textId="77777777" w:rsidR="007323B3" w:rsidRPr="007323B3" w:rsidRDefault="007323B3" w:rsidP="00CF4BDA">
            <w:pPr>
              <w:jc w:val="center"/>
              <w:rPr>
                <w:rFonts w:ascii="Calibri" w:hAnsi="Calibri" w:cs="Calibri"/>
              </w:rPr>
            </w:pPr>
            <w:r w:rsidRPr="007323B3">
              <w:rPr>
                <w:rFonts w:ascii="Calibri" w:hAnsi="Calibri" w:cs="Calibri"/>
              </w:rPr>
              <w:t>Bank of Israel Research Department</w:t>
            </w:r>
          </w:p>
        </w:tc>
        <w:tc>
          <w:tcPr>
            <w:tcW w:w="1540" w:type="dxa"/>
            <w:tcBorders>
              <w:top w:val="nil"/>
              <w:left w:val="nil"/>
              <w:bottom w:val="nil"/>
              <w:right w:val="nil"/>
            </w:tcBorders>
            <w:shd w:val="clear" w:color="000000" w:fill="FFFFFF"/>
            <w:vAlign w:val="center"/>
            <w:hideMark/>
          </w:tcPr>
          <w:p w14:paraId="780BAFD0" w14:textId="77777777" w:rsidR="007323B3" w:rsidRPr="007323B3" w:rsidRDefault="007323B3" w:rsidP="00CF4BDA">
            <w:pPr>
              <w:jc w:val="center"/>
              <w:rPr>
                <w:rFonts w:ascii="Calibri" w:hAnsi="Calibri" w:cs="Calibri"/>
              </w:rPr>
            </w:pPr>
            <w:r w:rsidRPr="007323B3">
              <w:rPr>
                <w:rFonts w:ascii="Calibri" w:hAnsi="Calibri" w:cs="Calibri"/>
              </w:rPr>
              <w:t xml:space="preserve">Capital </w:t>
            </w:r>
            <w:proofErr w:type="spellStart"/>
            <w:r w:rsidRPr="007323B3">
              <w:rPr>
                <w:rFonts w:ascii="Calibri" w:hAnsi="Calibri" w:cs="Calibri"/>
              </w:rPr>
              <w:t>markets</w:t>
            </w:r>
            <w:r w:rsidRPr="007323B3">
              <w:rPr>
                <w:rFonts w:ascii="Calibri" w:hAnsi="Calibri" w:cs="Calibri"/>
                <w:vertAlign w:val="superscript"/>
              </w:rPr>
              <w:t>a</w:t>
            </w:r>
            <w:proofErr w:type="spellEnd"/>
          </w:p>
        </w:tc>
        <w:tc>
          <w:tcPr>
            <w:tcW w:w="2119" w:type="dxa"/>
            <w:tcBorders>
              <w:top w:val="nil"/>
              <w:left w:val="nil"/>
              <w:bottom w:val="nil"/>
              <w:right w:val="nil"/>
            </w:tcBorders>
            <w:shd w:val="clear" w:color="000000" w:fill="FFFFFF"/>
            <w:vAlign w:val="center"/>
            <w:hideMark/>
          </w:tcPr>
          <w:p w14:paraId="7364AE94" w14:textId="77777777" w:rsidR="007323B3" w:rsidRPr="007323B3" w:rsidRDefault="007323B3" w:rsidP="00CF4BDA">
            <w:pPr>
              <w:jc w:val="center"/>
              <w:rPr>
                <w:rFonts w:ascii="Calibri" w:hAnsi="Calibri" w:cs="Calibri"/>
              </w:rPr>
            </w:pPr>
            <w:r w:rsidRPr="007323B3">
              <w:rPr>
                <w:rFonts w:ascii="Calibri" w:hAnsi="Calibri" w:cs="Calibri"/>
              </w:rPr>
              <w:t xml:space="preserve">Private </w:t>
            </w:r>
            <w:proofErr w:type="spellStart"/>
            <w:r w:rsidRPr="007323B3">
              <w:rPr>
                <w:rFonts w:ascii="Calibri" w:hAnsi="Calibri" w:cs="Calibri"/>
              </w:rPr>
              <w:t>forecasters</w:t>
            </w:r>
            <w:r w:rsidRPr="007323B3">
              <w:rPr>
                <w:rFonts w:ascii="Calibri" w:hAnsi="Calibri" w:cs="Calibri"/>
                <w:vertAlign w:val="superscript"/>
              </w:rPr>
              <w:t>b</w:t>
            </w:r>
            <w:proofErr w:type="spellEnd"/>
          </w:p>
        </w:tc>
      </w:tr>
      <w:tr w:rsidR="007323B3" w:rsidRPr="007323B3" w14:paraId="7E949C64" w14:textId="77777777" w:rsidTr="00CF4BDA">
        <w:trPr>
          <w:trHeight w:val="280"/>
          <w:tblHeader/>
        </w:trPr>
        <w:tc>
          <w:tcPr>
            <w:tcW w:w="2480" w:type="dxa"/>
            <w:tcBorders>
              <w:top w:val="single" w:sz="4" w:space="0" w:color="auto"/>
              <w:left w:val="nil"/>
              <w:bottom w:val="nil"/>
              <w:right w:val="nil"/>
            </w:tcBorders>
            <w:shd w:val="clear" w:color="auto" w:fill="auto"/>
            <w:vAlign w:val="center"/>
            <w:hideMark/>
          </w:tcPr>
          <w:p w14:paraId="6D9A9053" w14:textId="77777777" w:rsidR="007323B3" w:rsidRPr="007323B3" w:rsidRDefault="007323B3" w:rsidP="00CF4BDA">
            <w:pPr>
              <w:jc w:val="center"/>
              <w:rPr>
                <w:rFonts w:ascii="Calibri" w:hAnsi="Calibri" w:cs="Calibri"/>
              </w:rPr>
            </w:pPr>
            <w:r w:rsidRPr="007323B3">
              <w:rPr>
                <w:rFonts w:ascii="Calibri" w:hAnsi="Calibri" w:cs="Calibri"/>
              </w:rPr>
              <w:t xml:space="preserve">Inflation </w:t>
            </w:r>
            <w:proofErr w:type="spellStart"/>
            <w:r w:rsidRPr="007323B3">
              <w:rPr>
                <w:rFonts w:ascii="Calibri" w:hAnsi="Calibri" w:cs="Calibri"/>
              </w:rPr>
              <w:t>rate</w:t>
            </w:r>
            <w:r w:rsidRPr="007323B3">
              <w:rPr>
                <w:rFonts w:ascii="Calibri" w:hAnsi="Calibri" w:cs="Calibr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5D9FB377" w14:textId="77777777" w:rsidR="007323B3" w:rsidRPr="007323B3" w:rsidRDefault="007323B3" w:rsidP="00CF4BDA">
            <w:pPr>
              <w:jc w:val="center"/>
              <w:rPr>
                <w:rFonts w:ascii="Calibri" w:hAnsi="Calibri" w:cs="Calibri"/>
              </w:rPr>
            </w:pPr>
            <w:r w:rsidRPr="007323B3">
              <w:rPr>
                <w:rFonts w:ascii="Calibri" w:hAnsi="Calibri" w:cs="Calibri"/>
              </w:rPr>
              <w:t>2.6</w:t>
            </w:r>
          </w:p>
        </w:tc>
        <w:tc>
          <w:tcPr>
            <w:tcW w:w="1540" w:type="dxa"/>
            <w:tcBorders>
              <w:top w:val="single" w:sz="4" w:space="0" w:color="auto"/>
              <w:left w:val="nil"/>
              <w:bottom w:val="nil"/>
              <w:right w:val="nil"/>
            </w:tcBorders>
            <w:shd w:val="clear" w:color="auto" w:fill="auto"/>
            <w:vAlign w:val="center"/>
          </w:tcPr>
          <w:p w14:paraId="52B4CB0C" w14:textId="77777777" w:rsidR="007323B3" w:rsidRPr="007323B3" w:rsidRDefault="007323B3" w:rsidP="00CF4BDA">
            <w:pPr>
              <w:jc w:val="center"/>
              <w:rPr>
                <w:rFonts w:ascii="Calibri" w:hAnsi="Calibri" w:cs="Calibri"/>
              </w:rPr>
            </w:pPr>
            <w:r w:rsidRPr="007323B3">
              <w:rPr>
                <w:rFonts w:ascii="Calibri" w:hAnsi="Calibri" w:cs="Calibri"/>
              </w:rPr>
              <w:t>2.</w:t>
            </w:r>
            <w:r w:rsidRPr="007323B3">
              <w:rPr>
                <w:rFonts w:ascii="Calibri" w:hAnsi="Calibri" w:cs="Calibri"/>
                <w:rtl/>
              </w:rPr>
              <w:t>3</w:t>
            </w:r>
          </w:p>
        </w:tc>
        <w:tc>
          <w:tcPr>
            <w:tcW w:w="2119" w:type="dxa"/>
            <w:tcBorders>
              <w:top w:val="single" w:sz="4" w:space="0" w:color="auto"/>
              <w:left w:val="nil"/>
              <w:bottom w:val="nil"/>
              <w:right w:val="nil"/>
            </w:tcBorders>
            <w:shd w:val="clear" w:color="auto" w:fill="auto"/>
            <w:vAlign w:val="center"/>
          </w:tcPr>
          <w:p w14:paraId="7CDE7DFF" w14:textId="77777777" w:rsidR="007323B3" w:rsidRPr="007323B3" w:rsidRDefault="007323B3" w:rsidP="00CF4BDA">
            <w:pPr>
              <w:jc w:val="center"/>
              <w:rPr>
                <w:rFonts w:ascii="Calibri" w:hAnsi="Calibri" w:cs="Calibri"/>
              </w:rPr>
            </w:pPr>
            <w:r w:rsidRPr="007323B3">
              <w:rPr>
                <w:rFonts w:ascii="Calibri" w:hAnsi="Calibri" w:cs="Calibri"/>
              </w:rPr>
              <w:t>2.7</w:t>
            </w:r>
          </w:p>
        </w:tc>
      </w:tr>
      <w:tr w:rsidR="007323B3" w:rsidRPr="007323B3" w14:paraId="7504F4EC" w14:textId="77777777" w:rsidTr="00CF4BDA">
        <w:trPr>
          <w:trHeight w:val="281"/>
          <w:tblHeader/>
        </w:trPr>
        <w:tc>
          <w:tcPr>
            <w:tcW w:w="2480" w:type="dxa"/>
            <w:tcBorders>
              <w:top w:val="nil"/>
              <w:left w:val="nil"/>
              <w:bottom w:val="single" w:sz="4" w:space="0" w:color="auto"/>
              <w:right w:val="nil"/>
            </w:tcBorders>
            <w:shd w:val="clear" w:color="auto" w:fill="auto"/>
            <w:vAlign w:val="center"/>
            <w:hideMark/>
          </w:tcPr>
          <w:p w14:paraId="264092CE" w14:textId="77777777" w:rsidR="007323B3" w:rsidRPr="007323B3" w:rsidRDefault="007323B3" w:rsidP="00CF4BDA">
            <w:pPr>
              <w:jc w:val="center"/>
              <w:rPr>
                <w:rFonts w:ascii="Calibri" w:hAnsi="Calibri" w:cs="Calibri"/>
              </w:rPr>
            </w:pPr>
            <w:r w:rsidRPr="007323B3">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tcPr>
          <w:p w14:paraId="164CA0A9" w14:textId="77777777" w:rsidR="007323B3" w:rsidRPr="007323B3" w:rsidRDefault="007323B3" w:rsidP="00CF4BDA">
            <w:pPr>
              <w:jc w:val="center"/>
              <w:rPr>
                <w:rFonts w:ascii="Calibri" w:hAnsi="Calibri" w:cs="Calibri"/>
              </w:rPr>
            </w:pPr>
          </w:p>
        </w:tc>
        <w:tc>
          <w:tcPr>
            <w:tcW w:w="1540" w:type="dxa"/>
            <w:tcBorders>
              <w:top w:val="nil"/>
              <w:left w:val="nil"/>
              <w:bottom w:val="single" w:sz="4" w:space="0" w:color="auto"/>
              <w:right w:val="nil"/>
            </w:tcBorders>
            <w:shd w:val="clear" w:color="auto" w:fill="auto"/>
            <w:vAlign w:val="center"/>
          </w:tcPr>
          <w:p w14:paraId="14BC333D" w14:textId="77777777" w:rsidR="007323B3" w:rsidRPr="007323B3" w:rsidRDefault="007323B3" w:rsidP="00CF4BDA">
            <w:pPr>
              <w:jc w:val="center"/>
              <w:rPr>
                <w:rFonts w:ascii="Calibri" w:hAnsi="Calibri" w:cs="Calibri"/>
              </w:rPr>
            </w:pPr>
          </w:p>
        </w:tc>
        <w:tc>
          <w:tcPr>
            <w:tcW w:w="2119" w:type="dxa"/>
            <w:tcBorders>
              <w:top w:val="nil"/>
              <w:left w:val="nil"/>
              <w:bottom w:val="nil"/>
              <w:right w:val="nil"/>
            </w:tcBorders>
            <w:shd w:val="clear" w:color="auto" w:fill="auto"/>
            <w:noWrap/>
            <w:vAlign w:val="center"/>
          </w:tcPr>
          <w:p w14:paraId="13065559" w14:textId="77777777" w:rsidR="007323B3" w:rsidRPr="007323B3" w:rsidRDefault="007323B3" w:rsidP="00CF4BDA">
            <w:pPr>
              <w:jc w:val="center"/>
              <w:rPr>
                <w:rFonts w:ascii="Calibri" w:hAnsi="Calibri" w:cs="Calibri"/>
              </w:rPr>
            </w:pPr>
            <w:r w:rsidRPr="007323B3">
              <w:rPr>
                <w:rFonts w:ascii="Calibri" w:hAnsi="Calibri" w:cs="Calibri"/>
              </w:rPr>
              <w:t>(2.3–3.2)</w:t>
            </w:r>
          </w:p>
        </w:tc>
      </w:tr>
      <w:tr w:rsidR="007323B3" w:rsidRPr="007323B3" w14:paraId="2844F34A" w14:textId="77777777" w:rsidTr="00CF4BDA">
        <w:trPr>
          <w:trHeight w:val="274"/>
          <w:tblHeader/>
        </w:trPr>
        <w:tc>
          <w:tcPr>
            <w:tcW w:w="2480" w:type="dxa"/>
            <w:tcBorders>
              <w:top w:val="nil"/>
              <w:left w:val="nil"/>
              <w:bottom w:val="nil"/>
              <w:right w:val="nil"/>
            </w:tcBorders>
            <w:shd w:val="clear" w:color="auto" w:fill="auto"/>
            <w:vAlign w:val="center"/>
            <w:hideMark/>
          </w:tcPr>
          <w:p w14:paraId="5A34E769" w14:textId="77777777" w:rsidR="007323B3" w:rsidRPr="007323B3" w:rsidRDefault="007323B3" w:rsidP="00CF4BDA">
            <w:pPr>
              <w:jc w:val="center"/>
              <w:rPr>
                <w:rFonts w:ascii="Calibri" w:hAnsi="Calibri" w:cs="Calibri"/>
              </w:rPr>
            </w:pPr>
            <w:r w:rsidRPr="007323B3">
              <w:rPr>
                <w:rFonts w:ascii="Calibri" w:hAnsi="Calibri" w:cs="Calibri"/>
              </w:rPr>
              <w:t>Interest rate</w:t>
            </w:r>
            <w:r w:rsidRPr="007323B3">
              <w:rPr>
                <w:rFonts w:ascii="Calibri" w:hAnsi="Calibri" w:cs="Calibri"/>
                <w:vertAlign w:val="superscript"/>
              </w:rPr>
              <w:t>d</w:t>
            </w:r>
          </w:p>
        </w:tc>
        <w:tc>
          <w:tcPr>
            <w:tcW w:w="2094" w:type="dxa"/>
            <w:tcBorders>
              <w:top w:val="nil"/>
              <w:left w:val="nil"/>
              <w:bottom w:val="nil"/>
              <w:right w:val="nil"/>
            </w:tcBorders>
            <w:shd w:val="clear" w:color="auto" w:fill="auto"/>
            <w:vAlign w:val="center"/>
          </w:tcPr>
          <w:p w14:paraId="3A9E93B7" w14:textId="77777777" w:rsidR="007323B3" w:rsidRPr="007323B3" w:rsidRDefault="007323B3" w:rsidP="00CF4BDA">
            <w:pPr>
              <w:jc w:val="center"/>
              <w:rPr>
                <w:rFonts w:ascii="Calibri" w:hAnsi="Calibri" w:cs="Calibri"/>
              </w:rPr>
            </w:pPr>
            <w:r w:rsidRPr="007323B3">
              <w:rPr>
                <w:rFonts w:ascii="Calibri" w:hAnsi="Calibri" w:cs="Calibri"/>
              </w:rPr>
              <w:t>4.0/4.25</w:t>
            </w:r>
          </w:p>
        </w:tc>
        <w:tc>
          <w:tcPr>
            <w:tcW w:w="1540" w:type="dxa"/>
            <w:tcBorders>
              <w:top w:val="nil"/>
              <w:left w:val="nil"/>
              <w:bottom w:val="nil"/>
              <w:right w:val="nil"/>
            </w:tcBorders>
            <w:shd w:val="clear" w:color="auto" w:fill="auto"/>
            <w:vAlign w:val="center"/>
          </w:tcPr>
          <w:p w14:paraId="7095B4E2" w14:textId="77777777" w:rsidR="007323B3" w:rsidRPr="007323B3" w:rsidRDefault="007323B3" w:rsidP="00CF4BDA">
            <w:pPr>
              <w:jc w:val="center"/>
              <w:rPr>
                <w:rFonts w:ascii="Calibri" w:hAnsi="Calibri" w:cs="Calibri"/>
              </w:rPr>
            </w:pPr>
            <w:r w:rsidRPr="007323B3">
              <w:rPr>
                <w:rFonts w:ascii="Calibri" w:hAnsi="Calibri" w:cs="Calibri"/>
              </w:rPr>
              <w:t>4.</w:t>
            </w:r>
            <w:r w:rsidRPr="007323B3">
              <w:rPr>
                <w:rFonts w:ascii="Calibri" w:hAnsi="Calibri" w:cs="Calibri"/>
                <w:rtl/>
              </w:rPr>
              <w:t>0</w:t>
            </w:r>
          </w:p>
        </w:tc>
        <w:tc>
          <w:tcPr>
            <w:tcW w:w="2119" w:type="dxa"/>
            <w:tcBorders>
              <w:top w:val="single" w:sz="4" w:space="0" w:color="auto"/>
              <w:left w:val="nil"/>
              <w:bottom w:val="nil"/>
              <w:right w:val="nil"/>
            </w:tcBorders>
            <w:shd w:val="clear" w:color="auto" w:fill="auto"/>
            <w:vAlign w:val="center"/>
            <w:hideMark/>
          </w:tcPr>
          <w:p w14:paraId="3A494766" w14:textId="77777777" w:rsidR="007323B3" w:rsidRPr="007323B3" w:rsidRDefault="007323B3" w:rsidP="00CF4BDA">
            <w:pPr>
              <w:jc w:val="center"/>
              <w:rPr>
                <w:rFonts w:ascii="Calibri" w:hAnsi="Calibri" w:cs="Calibri"/>
                <w:rtl/>
              </w:rPr>
            </w:pPr>
            <w:r w:rsidRPr="007323B3">
              <w:rPr>
                <w:rFonts w:ascii="Calibri" w:hAnsi="Calibri" w:cs="Calibri"/>
              </w:rPr>
              <w:t>3.9</w:t>
            </w:r>
          </w:p>
        </w:tc>
      </w:tr>
      <w:tr w:rsidR="007323B3" w:rsidRPr="007323B3" w14:paraId="658F9929" w14:textId="77777777" w:rsidTr="00CF4BDA">
        <w:trPr>
          <w:trHeight w:val="238"/>
          <w:tblHeader/>
        </w:trPr>
        <w:tc>
          <w:tcPr>
            <w:tcW w:w="2480" w:type="dxa"/>
            <w:tcBorders>
              <w:top w:val="nil"/>
              <w:left w:val="nil"/>
              <w:bottom w:val="single" w:sz="4" w:space="0" w:color="auto"/>
              <w:right w:val="nil"/>
            </w:tcBorders>
            <w:shd w:val="clear" w:color="auto" w:fill="auto"/>
            <w:vAlign w:val="center"/>
            <w:hideMark/>
          </w:tcPr>
          <w:p w14:paraId="7836328C" w14:textId="77777777" w:rsidR="007323B3" w:rsidRPr="007323B3" w:rsidRDefault="007323B3" w:rsidP="00CF4BDA">
            <w:pPr>
              <w:jc w:val="center"/>
              <w:rPr>
                <w:rFonts w:ascii="Calibri" w:hAnsi="Calibri" w:cs="Calibri"/>
              </w:rPr>
            </w:pPr>
            <w:r w:rsidRPr="007323B3">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hideMark/>
          </w:tcPr>
          <w:p w14:paraId="523E2ECD" w14:textId="77777777" w:rsidR="007323B3" w:rsidRPr="007323B3" w:rsidRDefault="007323B3" w:rsidP="00CF4BDA">
            <w:pPr>
              <w:jc w:val="center"/>
              <w:rPr>
                <w:rFonts w:ascii="Calibri" w:hAnsi="Calibri" w:cs="Calibri"/>
              </w:rPr>
            </w:pPr>
          </w:p>
        </w:tc>
        <w:tc>
          <w:tcPr>
            <w:tcW w:w="1540" w:type="dxa"/>
            <w:tcBorders>
              <w:top w:val="nil"/>
              <w:left w:val="nil"/>
              <w:bottom w:val="single" w:sz="4" w:space="0" w:color="auto"/>
              <w:right w:val="nil"/>
            </w:tcBorders>
            <w:shd w:val="clear" w:color="auto" w:fill="auto"/>
            <w:vAlign w:val="center"/>
            <w:hideMark/>
          </w:tcPr>
          <w:p w14:paraId="369657BF" w14:textId="77777777" w:rsidR="007323B3" w:rsidRPr="007323B3" w:rsidRDefault="007323B3" w:rsidP="00CF4BDA">
            <w:pPr>
              <w:jc w:val="center"/>
              <w:rPr>
                <w:rFonts w:ascii="Calibri" w:hAnsi="Calibri" w:cs="Calibri"/>
              </w:rPr>
            </w:pPr>
          </w:p>
        </w:tc>
        <w:tc>
          <w:tcPr>
            <w:tcW w:w="2119" w:type="dxa"/>
            <w:tcBorders>
              <w:top w:val="nil"/>
              <w:left w:val="nil"/>
              <w:bottom w:val="single" w:sz="4" w:space="0" w:color="auto"/>
              <w:right w:val="nil"/>
            </w:tcBorders>
            <w:shd w:val="clear" w:color="auto" w:fill="auto"/>
            <w:noWrap/>
            <w:vAlign w:val="center"/>
            <w:hideMark/>
          </w:tcPr>
          <w:p w14:paraId="40B11C18" w14:textId="77777777" w:rsidR="007323B3" w:rsidRPr="007323B3" w:rsidRDefault="007323B3" w:rsidP="00CF4BDA">
            <w:pPr>
              <w:jc w:val="center"/>
              <w:rPr>
                <w:rFonts w:ascii="Calibri" w:hAnsi="Calibri" w:cs="Calibri"/>
              </w:rPr>
            </w:pPr>
            <w:r w:rsidRPr="007323B3">
              <w:rPr>
                <w:rFonts w:ascii="Calibri" w:hAnsi="Calibri" w:cs="Calibri"/>
              </w:rPr>
              <w:t>(3.25–4.4)</w:t>
            </w:r>
          </w:p>
        </w:tc>
      </w:tr>
      <w:tr w:rsidR="007323B3" w:rsidRPr="007323B3" w14:paraId="7783B7E0" w14:textId="77777777" w:rsidTr="00CF4BDA">
        <w:trPr>
          <w:trHeight w:val="257"/>
          <w:tblHeader/>
        </w:trPr>
        <w:tc>
          <w:tcPr>
            <w:tcW w:w="8233" w:type="dxa"/>
            <w:gridSpan w:val="4"/>
            <w:tcBorders>
              <w:top w:val="nil"/>
              <w:left w:val="nil"/>
              <w:bottom w:val="nil"/>
              <w:right w:val="nil"/>
            </w:tcBorders>
            <w:shd w:val="clear" w:color="auto" w:fill="auto"/>
            <w:hideMark/>
          </w:tcPr>
          <w:p w14:paraId="50F3AEEF"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 xml:space="preserve">Inflation expectations </w:t>
            </w:r>
            <w:proofErr w:type="gramStart"/>
            <w:r w:rsidRPr="007323B3">
              <w:rPr>
                <w:rFonts w:ascii="Calibri" w:hAnsi="Calibri" w:cs="Calibri"/>
                <w:sz w:val="20"/>
                <w:szCs w:val="20"/>
              </w:rPr>
              <w:t>are seasonally adjusted</w:t>
            </w:r>
            <w:proofErr w:type="gramEnd"/>
            <w:r w:rsidRPr="007323B3">
              <w:rPr>
                <w:rFonts w:ascii="Calibri" w:hAnsi="Calibri" w:cs="Calibri"/>
                <w:sz w:val="20"/>
                <w:szCs w:val="20"/>
              </w:rPr>
              <w:t xml:space="preserve"> (as of January 1, 2025).</w:t>
            </w:r>
          </w:p>
          <w:p w14:paraId="2F8AD606"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Data as of January 1, 2025.</w:t>
            </w:r>
          </w:p>
          <w:p w14:paraId="7C417DCA"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 xml:space="preserve">Research Department: the inflation rate during the four quarters ending in the fourth quarter of 2025. </w:t>
            </w:r>
          </w:p>
        </w:tc>
      </w:tr>
      <w:tr w:rsidR="007323B3" w:rsidRPr="007323B3" w14:paraId="0106F770" w14:textId="77777777" w:rsidTr="00CF4BDA">
        <w:trPr>
          <w:trHeight w:val="445"/>
          <w:tblHeader/>
        </w:trPr>
        <w:tc>
          <w:tcPr>
            <w:tcW w:w="8233" w:type="dxa"/>
            <w:gridSpan w:val="4"/>
            <w:tcBorders>
              <w:top w:val="nil"/>
              <w:left w:val="nil"/>
              <w:bottom w:val="nil"/>
              <w:right w:val="nil"/>
            </w:tcBorders>
            <w:shd w:val="clear" w:color="auto" w:fill="auto"/>
            <w:hideMark/>
          </w:tcPr>
          <w:p w14:paraId="1331F235"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 xml:space="preserve">Research Department: the average interest rate in the fourth quarter of 2025. </w:t>
            </w:r>
          </w:p>
          <w:p w14:paraId="7E258908" w14:textId="77777777" w:rsidR="007323B3" w:rsidRPr="007323B3" w:rsidRDefault="007323B3" w:rsidP="00CF4BDA">
            <w:pPr>
              <w:rPr>
                <w:rFonts w:ascii="Calibri" w:hAnsi="Calibri" w:cs="Calibri"/>
                <w:sz w:val="20"/>
                <w:szCs w:val="20"/>
                <w:rtl/>
              </w:rPr>
            </w:pPr>
            <w:r w:rsidRPr="007323B3">
              <w:rPr>
                <w:rFonts w:ascii="Calibri" w:hAnsi="Calibri" w:cs="Calibri"/>
                <w:sz w:val="20"/>
                <w:szCs w:val="20"/>
              </w:rPr>
              <w:t>SOURCE: Bank of Israel.</w:t>
            </w:r>
          </w:p>
        </w:tc>
      </w:tr>
    </w:tbl>
    <w:p w14:paraId="034F3D29" w14:textId="77777777" w:rsidR="007323B3" w:rsidRPr="007323B3" w:rsidRDefault="007323B3" w:rsidP="007323B3">
      <w:pPr>
        <w:rPr>
          <w:rFonts w:ascii="Calibri" w:hAnsi="Calibri" w:cs="Calibri"/>
          <w:b/>
          <w:bCs/>
        </w:rPr>
      </w:pPr>
    </w:p>
    <w:p w14:paraId="11EA0D97" w14:textId="77777777" w:rsidR="007323B3" w:rsidRPr="007323B3" w:rsidRDefault="007323B3" w:rsidP="007323B3">
      <w:pPr>
        <w:rPr>
          <w:rFonts w:ascii="Calibri" w:hAnsi="Calibri" w:cs="Calibri"/>
        </w:rPr>
      </w:pPr>
    </w:p>
    <w:p w14:paraId="5B18019A" w14:textId="77777777" w:rsidR="007323B3" w:rsidRPr="007323B3" w:rsidRDefault="007323B3" w:rsidP="007323B3">
      <w:pPr>
        <w:rPr>
          <w:rFonts w:ascii="Calibri" w:hAnsi="Calibri" w:cs="Calibri"/>
        </w:rPr>
      </w:pPr>
      <w:r w:rsidRPr="007323B3">
        <w:rPr>
          <w:rFonts w:ascii="Calibri" w:hAnsi="Calibri" w:cs="Calibri"/>
        </w:rPr>
        <w:t xml:space="preserve">Table </w:t>
      </w:r>
      <w:proofErr w:type="gramStart"/>
      <w:r w:rsidRPr="007323B3">
        <w:rPr>
          <w:rFonts w:ascii="Calibri" w:hAnsi="Calibri" w:cs="Calibri"/>
        </w:rPr>
        <w:t>2</w:t>
      </w:r>
      <w:proofErr w:type="gramEnd"/>
      <w:r w:rsidRPr="007323B3">
        <w:rPr>
          <w:rFonts w:ascii="Calibri" w:hAnsi="Calibri" w:cs="Calibri"/>
        </w:rPr>
        <w:t xml:space="preserve"> shows that the Research Department’s inflation forecast is higher than the expectation derived from the capital market and slightly lower than the average projections of the private forecasters. The Research Department’s forecast of the interest rate in another four quarters is higher than the expectations derived from the capital market and even higher than the average projections of the private forecasters.</w:t>
      </w:r>
    </w:p>
    <w:p w14:paraId="430254CA" w14:textId="77777777" w:rsidR="007323B3" w:rsidRPr="007323B3" w:rsidRDefault="007323B3" w:rsidP="007323B3">
      <w:pPr>
        <w:rPr>
          <w:rFonts w:ascii="Calibri" w:hAnsi="Calibri" w:cs="Calibri"/>
        </w:rPr>
      </w:pPr>
    </w:p>
    <w:p w14:paraId="4B7B9177" w14:textId="77777777" w:rsidR="007323B3" w:rsidRPr="007323B3" w:rsidRDefault="007323B3" w:rsidP="007323B3">
      <w:pPr>
        <w:rPr>
          <w:rFonts w:ascii="Calibri" w:hAnsi="Calibri" w:cs="Calibri"/>
        </w:rPr>
      </w:pPr>
    </w:p>
    <w:p w14:paraId="5E885207"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Main risks to the forecast</w:t>
      </w:r>
    </w:p>
    <w:p w14:paraId="2EBFC18B" w14:textId="77777777" w:rsidR="007323B3" w:rsidRPr="007323B3" w:rsidRDefault="007323B3" w:rsidP="007323B3">
      <w:pPr>
        <w:rPr>
          <w:rFonts w:ascii="Calibri" w:hAnsi="Calibri" w:cs="Calibri"/>
        </w:rPr>
      </w:pPr>
    </w:p>
    <w:p w14:paraId="0D70B3A9" w14:textId="77777777" w:rsidR="007323B3" w:rsidRPr="007323B3" w:rsidRDefault="007323B3" w:rsidP="007323B3">
      <w:pPr>
        <w:rPr>
          <w:rFonts w:ascii="Calibri" w:hAnsi="Calibri" w:cs="Calibri"/>
        </w:rPr>
      </w:pPr>
      <w:r w:rsidRPr="007323B3">
        <w:rPr>
          <w:rFonts w:ascii="Calibri" w:hAnsi="Calibri" w:cs="Calibri"/>
        </w:rPr>
        <w:t xml:space="preserve">There is still higher-than-normal uncertainty in the current period.  As stated, the baseline forecast </w:t>
      </w:r>
      <w:proofErr w:type="gramStart"/>
      <w:r w:rsidRPr="007323B3">
        <w:rPr>
          <w:rFonts w:ascii="Calibri" w:hAnsi="Calibri" w:cs="Calibri"/>
        </w:rPr>
        <w:t>is based</w:t>
      </w:r>
      <w:proofErr w:type="gramEnd"/>
      <w:r w:rsidRPr="007323B3">
        <w:rPr>
          <w:rFonts w:ascii="Calibri" w:hAnsi="Calibri" w:cs="Calibri"/>
        </w:rPr>
        <w:t xml:space="preserve"> on the assumption that the direct economic impact of the war</w:t>
      </w:r>
      <w:r w:rsidRPr="007323B3" w:rsidDel="00D372F5">
        <w:rPr>
          <w:rFonts w:ascii="Calibri" w:hAnsi="Calibri" w:cs="Calibri"/>
        </w:rPr>
        <w:t xml:space="preserve"> </w:t>
      </w:r>
      <w:r w:rsidRPr="007323B3">
        <w:rPr>
          <w:rFonts w:ascii="Calibri" w:hAnsi="Calibri" w:cs="Calibri"/>
        </w:rPr>
        <w:t xml:space="preserve">will continue into early 2025. However, geopolitical developments since the publication of the October forecast have led to a significant moderation of the likelihood that more serious scenarios than those in the baseline scenario </w:t>
      </w:r>
      <w:proofErr w:type="gramStart"/>
      <w:r w:rsidRPr="007323B3">
        <w:rPr>
          <w:rFonts w:ascii="Calibri" w:hAnsi="Calibri" w:cs="Calibri"/>
        </w:rPr>
        <w:t>will be realized</w:t>
      </w:r>
      <w:proofErr w:type="gramEnd"/>
      <w:r w:rsidRPr="007323B3">
        <w:rPr>
          <w:rFonts w:ascii="Calibri" w:hAnsi="Calibri" w:cs="Calibri"/>
        </w:rPr>
        <w:t>.</w:t>
      </w:r>
    </w:p>
    <w:p w14:paraId="37A91CC8" w14:textId="77777777" w:rsidR="007323B3" w:rsidRPr="007323B3" w:rsidRDefault="007323B3" w:rsidP="007323B3">
      <w:pPr>
        <w:rPr>
          <w:rFonts w:ascii="Calibri" w:hAnsi="Calibri" w:cs="Calibri"/>
        </w:rPr>
      </w:pPr>
    </w:p>
    <w:p w14:paraId="6DC1FBF2" w14:textId="77777777" w:rsidR="007323B3" w:rsidRPr="007323B3" w:rsidRDefault="007323B3" w:rsidP="007323B3">
      <w:pPr>
        <w:rPr>
          <w:rFonts w:ascii="Calibri" w:hAnsi="Calibri" w:cs="Calibri"/>
        </w:rPr>
      </w:pPr>
      <w:r w:rsidRPr="007323B3">
        <w:rPr>
          <w:rFonts w:ascii="Calibri" w:hAnsi="Calibri" w:cs="Calibri"/>
        </w:rPr>
        <w:t xml:space="preserve">In the fiscal area, the government’s approval of the 2025 budget with necessary adjustments and legislation of taxation amendments, alongside a decline in geopolitical uncertainty, markedly lower the likelihood that the deficit and the debt to GDP ratio will grow out of control.  As a result, the concern of an additional increase in Israel’s risk premium in the medium term and of a significant depreciation in the shekel has declined, so the downward risks to the growth forecast and the upward risks to the inflation and interest rate forecasts have also declined. </w:t>
      </w:r>
    </w:p>
    <w:p w14:paraId="45EB6435" w14:textId="77777777" w:rsidR="007323B3" w:rsidRPr="007323B3" w:rsidRDefault="007323B3" w:rsidP="007323B3">
      <w:pPr>
        <w:rPr>
          <w:rFonts w:ascii="Calibri" w:hAnsi="Calibri" w:cs="Calibri"/>
        </w:rPr>
      </w:pPr>
    </w:p>
    <w:p w14:paraId="7270114E" w14:textId="77777777" w:rsidR="007323B3" w:rsidRPr="007323B3" w:rsidRDefault="007323B3" w:rsidP="007323B3">
      <w:pPr>
        <w:rPr>
          <w:rFonts w:ascii="Calibri" w:hAnsi="Calibri" w:cs="Calibri"/>
        </w:rPr>
      </w:pPr>
      <w:r w:rsidRPr="007323B3">
        <w:rPr>
          <w:rFonts w:ascii="Calibri" w:hAnsi="Calibri" w:cs="Calibri"/>
        </w:rPr>
        <w:t>Notwithstanding this, even after the moderation of risks and uncertainty relative to the October forecast, the range of potential developments remains broad, such that the risks to he forecasts are still relatively high. Thus, we assume that the supply limitations will cease during the forecast period.   However, a slower cessation of the supply limitations, or a rapid acceleration in demand with the end of the war during 2025, relative to our assumptions, pose an upward risk to the inflation and interest rate forecasts.  The high volatility of the exchange rate in the recent period also poses a risk to the inflation and interest rate forecasts, in both directions.</w:t>
      </w:r>
    </w:p>
    <w:p w14:paraId="5054C530" w14:textId="77777777" w:rsidR="007323B3" w:rsidRPr="007323B3" w:rsidRDefault="007323B3" w:rsidP="007323B3">
      <w:pPr>
        <w:rPr>
          <w:rFonts w:ascii="Calibri" w:hAnsi="Calibri" w:cs="Calibri"/>
        </w:rPr>
      </w:pPr>
    </w:p>
    <w:p w14:paraId="5F1D92FC" w14:textId="77777777" w:rsidR="007323B3" w:rsidRPr="007323B3" w:rsidRDefault="007323B3" w:rsidP="007323B3">
      <w:pPr>
        <w:rPr>
          <w:rFonts w:ascii="Calibri" w:hAnsi="Calibri" w:cs="Calibri"/>
        </w:rPr>
      </w:pPr>
      <w:r w:rsidRPr="007323B3">
        <w:rPr>
          <w:rFonts w:ascii="Calibri" w:hAnsi="Calibri" w:cs="Calibri"/>
        </w:rPr>
        <w:lastRenderedPageBreak/>
        <w:t xml:space="preserve">The housing market also poses an upward risk to the inflation forecast.  This risk may </w:t>
      </w:r>
      <w:proofErr w:type="gramStart"/>
      <w:r w:rsidRPr="007323B3">
        <w:rPr>
          <w:rFonts w:ascii="Calibri" w:hAnsi="Calibri" w:cs="Calibri"/>
        </w:rPr>
        <w:t>come to pass</w:t>
      </w:r>
      <w:proofErr w:type="gramEnd"/>
      <w:r w:rsidRPr="007323B3">
        <w:rPr>
          <w:rFonts w:ascii="Calibri" w:hAnsi="Calibri" w:cs="Calibri"/>
        </w:rPr>
        <w:t xml:space="preserve"> on the supply side, insofar as the shortage of workers in the construction industry is not solved.  However, there are also upward risks on the demand side in view of the release of young reserve soldiers who </w:t>
      </w:r>
      <w:proofErr w:type="gramStart"/>
      <w:r w:rsidRPr="007323B3">
        <w:rPr>
          <w:rFonts w:ascii="Calibri" w:hAnsi="Calibri" w:cs="Calibri"/>
        </w:rPr>
        <w:t>are expected</w:t>
      </w:r>
      <w:proofErr w:type="gramEnd"/>
      <w:r w:rsidRPr="007323B3">
        <w:rPr>
          <w:rFonts w:ascii="Calibri" w:hAnsi="Calibri" w:cs="Calibri"/>
        </w:rPr>
        <w:t xml:space="preserve"> to begin or return to their higher education studies or join the labor market, and in view of uncertainty regarding when the evacuees will return to their homes.</w:t>
      </w:r>
    </w:p>
    <w:p w14:paraId="0C9CB181" w14:textId="77777777" w:rsidR="007323B3" w:rsidRPr="007323B3" w:rsidRDefault="007323B3" w:rsidP="007323B3">
      <w:pPr>
        <w:rPr>
          <w:rFonts w:ascii="Calibri" w:hAnsi="Calibri" w:cs="Calibri"/>
        </w:rPr>
      </w:pPr>
    </w:p>
    <w:p w14:paraId="7252612D" w14:textId="77777777" w:rsidR="007323B3" w:rsidRPr="007323B3" w:rsidRDefault="007323B3" w:rsidP="007323B3">
      <w:pPr>
        <w:rPr>
          <w:rFonts w:ascii="Calibri" w:hAnsi="Calibri" w:cs="Calibri"/>
        </w:rPr>
      </w:pPr>
      <w:r w:rsidRPr="007323B3">
        <w:rPr>
          <w:rFonts w:ascii="Calibri" w:hAnsi="Calibri" w:cs="Calibri"/>
        </w:rPr>
        <w:t xml:space="preserve">Another risk, on the global level, is the policy measures indicated by the new US administration, which may hamper world trade and raise global price levels.  These increase the uncertainty with regard to the forecast. </w:t>
      </w:r>
    </w:p>
    <w:p w14:paraId="77702452" w14:textId="77777777" w:rsidR="00592585" w:rsidRPr="007323B3" w:rsidRDefault="00592585" w:rsidP="000B13FB">
      <w:pPr>
        <w:spacing w:line="240" w:lineRule="auto"/>
        <w:rPr>
          <w:rFonts w:ascii="Calibri" w:hAnsi="Calibri" w:cs="Calibri"/>
          <w:b/>
          <w:bCs/>
          <w:color w:val="000000" w:themeColor="text1"/>
        </w:rPr>
      </w:pPr>
    </w:p>
    <w:sectPr w:rsidR="00592585" w:rsidRPr="007323B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83B6" w14:textId="77777777" w:rsidR="00210BB2" w:rsidRDefault="00210BB2">
      <w:pPr>
        <w:spacing w:line="240" w:lineRule="auto"/>
      </w:pPr>
      <w:r>
        <w:separator/>
      </w:r>
    </w:p>
  </w:endnote>
  <w:endnote w:type="continuationSeparator" w:id="0">
    <w:p w14:paraId="11468CD0" w14:textId="77777777" w:rsidR="00210BB2" w:rsidRDefault="00210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4118" w14:textId="77777777" w:rsidR="00210BB2" w:rsidRDefault="00210BB2">
      <w:pPr>
        <w:spacing w:line="160" w:lineRule="exact"/>
      </w:pPr>
    </w:p>
  </w:footnote>
  <w:footnote w:type="continuationSeparator" w:id="0">
    <w:p w14:paraId="28C30590" w14:textId="77777777" w:rsidR="00210BB2" w:rsidRDefault="00210BB2">
      <w:pPr>
        <w:pStyle w:val="rule"/>
      </w:pPr>
      <w:r>
        <w:t>–––––––––––––––––––––––––––</w:t>
      </w:r>
    </w:p>
    <w:p w14:paraId="5CB91E1B" w14:textId="77777777" w:rsidR="00210BB2" w:rsidRDefault="00210BB2">
      <w:pPr>
        <w:pStyle w:val="noteseparator"/>
      </w:pPr>
    </w:p>
  </w:footnote>
  <w:footnote w:id="1">
    <w:p w14:paraId="5D66E7D8" w14:textId="77777777" w:rsidR="007323B3" w:rsidRPr="007323B3" w:rsidRDefault="007323B3" w:rsidP="007323B3">
      <w:pPr>
        <w:pStyle w:val="a7"/>
        <w:ind w:firstLine="0"/>
        <w:rPr>
          <w:rFonts w:ascii="Calibri" w:hAnsi="Calibri" w:cs="Calibri"/>
          <w:rtl/>
        </w:rPr>
      </w:pPr>
      <w:r w:rsidRPr="007323B3">
        <w:rPr>
          <w:rStyle w:val="a6"/>
          <w:rFonts w:ascii="Calibri" w:hAnsi="Calibri" w:cs="Calibri"/>
        </w:rPr>
        <w:footnoteRef/>
      </w:r>
      <w:r w:rsidRPr="007323B3">
        <w:rPr>
          <w:rFonts w:ascii="Calibri" w:hAnsi="Calibri" w:cs="Calibri"/>
          <w:rtl/>
        </w:rPr>
        <w:t xml:space="preserve"> </w:t>
      </w:r>
      <w:r w:rsidRPr="007323B3">
        <w:rPr>
          <w:rFonts w:ascii="Calibri" w:hAnsi="Calibri" w:cs="Calibri"/>
        </w:rPr>
        <w:t xml:space="preserve"> The forecast </w:t>
      </w:r>
      <w:proofErr w:type="gramStart"/>
      <w:r w:rsidRPr="007323B3">
        <w:rPr>
          <w:rFonts w:ascii="Calibri" w:hAnsi="Calibri" w:cs="Calibri"/>
        </w:rPr>
        <w:t>was presented</w:t>
      </w:r>
      <w:proofErr w:type="gramEnd"/>
      <w:r w:rsidRPr="007323B3">
        <w:rPr>
          <w:rFonts w:ascii="Calibri" w:hAnsi="Calibri" w:cs="Calibri"/>
        </w:rPr>
        <w:t xml:space="preserve"> to the Bank of Israel Monetary Committee on January 5, 2025, prior to the decision on the interest rate made on January 6, 2025.</w:t>
      </w:r>
    </w:p>
  </w:footnote>
  <w:footnote w:id="2">
    <w:p w14:paraId="4FD923E8" w14:textId="77777777" w:rsidR="007323B3" w:rsidRPr="007323B3" w:rsidRDefault="007323B3" w:rsidP="007323B3">
      <w:pPr>
        <w:rPr>
          <w:rFonts w:ascii="Calibri" w:hAnsi="Calibri" w:cs="Calibri"/>
        </w:rPr>
      </w:pPr>
      <w:r w:rsidRPr="007323B3">
        <w:rPr>
          <w:rStyle w:val="a6"/>
          <w:rFonts w:ascii="Calibri" w:hAnsi="Calibri" w:cs="Calibri"/>
          <w:sz w:val="20"/>
          <w:szCs w:val="20"/>
        </w:rPr>
        <w:footnoteRef/>
      </w:r>
      <w:r w:rsidRPr="007323B3">
        <w:rPr>
          <w:rFonts w:ascii="Calibri" w:hAnsi="Calibri" w:cs="Calibri"/>
          <w:sz w:val="20"/>
          <w:szCs w:val="20"/>
        </w:rPr>
        <w:t xml:space="preserve"> An explanation of the macroeconomic forecasts formulated by the bank of Israel Research Department, as well as a review of the models on which they are based, appear in the Bank of Israel’s Inflation Report 31 (second quarter of 2010), Section 3c. A Discussion Paper on the DSGE model is available on the Bank of Israel website, under the title: “MOISE: A DSGE Model for the Israeli Economy,” Discussion Paper No. 2012.06.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CA9D"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92CC1042">
      <w:start w:val="1"/>
      <w:numFmt w:val="bullet"/>
      <w:lvlText w:val=""/>
      <w:lvlJc w:val="left"/>
      <w:pPr>
        <w:ind w:left="720" w:hanging="360"/>
      </w:pPr>
      <w:rPr>
        <w:rFonts w:ascii="Symbol" w:hAnsi="Symbol" w:hint="default"/>
      </w:rPr>
    </w:lvl>
    <w:lvl w:ilvl="1" w:tplc="04E87A3C" w:tentative="1">
      <w:start w:val="1"/>
      <w:numFmt w:val="bullet"/>
      <w:lvlText w:val="o"/>
      <w:lvlJc w:val="left"/>
      <w:pPr>
        <w:ind w:left="1440" w:hanging="360"/>
      </w:pPr>
      <w:rPr>
        <w:rFonts w:ascii="Courier New" w:hAnsi="Courier New" w:cs="Courier New" w:hint="default"/>
      </w:rPr>
    </w:lvl>
    <w:lvl w:ilvl="2" w:tplc="CB309740" w:tentative="1">
      <w:start w:val="1"/>
      <w:numFmt w:val="bullet"/>
      <w:lvlText w:val=""/>
      <w:lvlJc w:val="left"/>
      <w:pPr>
        <w:ind w:left="2160" w:hanging="360"/>
      </w:pPr>
      <w:rPr>
        <w:rFonts w:ascii="Wingdings" w:hAnsi="Wingdings" w:hint="default"/>
      </w:rPr>
    </w:lvl>
    <w:lvl w:ilvl="3" w:tplc="DD42DED4" w:tentative="1">
      <w:start w:val="1"/>
      <w:numFmt w:val="bullet"/>
      <w:lvlText w:val=""/>
      <w:lvlJc w:val="left"/>
      <w:pPr>
        <w:ind w:left="2880" w:hanging="360"/>
      </w:pPr>
      <w:rPr>
        <w:rFonts w:ascii="Symbol" w:hAnsi="Symbol" w:hint="default"/>
      </w:rPr>
    </w:lvl>
    <w:lvl w:ilvl="4" w:tplc="1ED425B4" w:tentative="1">
      <w:start w:val="1"/>
      <w:numFmt w:val="bullet"/>
      <w:lvlText w:val="o"/>
      <w:lvlJc w:val="left"/>
      <w:pPr>
        <w:ind w:left="3600" w:hanging="360"/>
      </w:pPr>
      <w:rPr>
        <w:rFonts w:ascii="Courier New" w:hAnsi="Courier New" w:cs="Courier New" w:hint="default"/>
      </w:rPr>
    </w:lvl>
    <w:lvl w:ilvl="5" w:tplc="F34EB2B0" w:tentative="1">
      <w:start w:val="1"/>
      <w:numFmt w:val="bullet"/>
      <w:lvlText w:val=""/>
      <w:lvlJc w:val="left"/>
      <w:pPr>
        <w:ind w:left="4320" w:hanging="360"/>
      </w:pPr>
      <w:rPr>
        <w:rFonts w:ascii="Wingdings" w:hAnsi="Wingdings" w:hint="default"/>
      </w:rPr>
    </w:lvl>
    <w:lvl w:ilvl="6" w:tplc="9B522D86" w:tentative="1">
      <w:start w:val="1"/>
      <w:numFmt w:val="bullet"/>
      <w:lvlText w:val=""/>
      <w:lvlJc w:val="left"/>
      <w:pPr>
        <w:ind w:left="5040" w:hanging="360"/>
      </w:pPr>
      <w:rPr>
        <w:rFonts w:ascii="Symbol" w:hAnsi="Symbol" w:hint="default"/>
      </w:rPr>
    </w:lvl>
    <w:lvl w:ilvl="7" w:tplc="D9D6A634" w:tentative="1">
      <w:start w:val="1"/>
      <w:numFmt w:val="bullet"/>
      <w:lvlText w:val="o"/>
      <w:lvlJc w:val="left"/>
      <w:pPr>
        <w:ind w:left="5760" w:hanging="360"/>
      </w:pPr>
      <w:rPr>
        <w:rFonts w:ascii="Courier New" w:hAnsi="Courier New" w:cs="Courier New" w:hint="default"/>
      </w:rPr>
    </w:lvl>
    <w:lvl w:ilvl="8" w:tplc="91108678"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9F66B4BE">
      <w:start w:val="1"/>
      <w:numFmt w:val="bullet"/>
      <w:lvlText w:val=""/>
      <w:lvlJc w:val="left"/>
      <w:pPr>
        <w:ind w:left="720" w:hanging="360"/>
      </w:pPr>
      <w:rPr>
        <w:rFonts w:ascii="Symbol" w:hAnsi="Symbol" w:hint="default"/>
      </w:rPr>
    </w:lvl>
    <w:lvl w:ilvl="1" w:tplc="7BF4D248" w:tentative="1">
      <w:start w:val="1"/>
      <w:numFmt w:val="bullet"/>
      <w:lvlText w:val="o"/>
      <w:lvlJc w:val="left"/>
      <w:pPr>
        <w:ind w:left="1440" w:hanging="360"/>
      </w:pPr>
      <w:rPr>
        <w:rFonts w:ascii="Courier New" w:hAnsi="Courier New" w:cs="Courier New" w:hint="default"/>
      </w:rPr>
    </w:lvl>
    <w:lvl w:ilvl="2" w:tplc="B3CE9E44" w:tentative="1">
      <w:start w:val="1"/>
      <w:numFmt w:val="bullet"/>
      <w:lvlText w:val=""/>
      <w:lvlJc w:val="left"/>
      <w:pPr>
        <w:ind w:left="2160" w:hanging="360"/>
      </w:pPr>
      <w:rPr>
        <w:rFonts w:ascii="Wingdings" w:hAnsi="Wingdings" w:hint="default"/>
      </w:rPr>
    </w:lvl>
    <w:lvl w:ilvl="3" w:tplc="3EACB256" w:tentative="1">
      <w:start w:val="1"/>
      <w:numFmt w:val="bullet"/>
      <w:lvlText w:val=""/>
      <w:lvlJc w:val="left"/>
      <w:pPr>
        <w:ind w:left="2880" w:hanging="360"/>
      </w:pPr>
      <w:rPr>
        <w:rFonts w:ascii="Symbol" w:hAnsi="Symbol" w:hint="default"/>
      </w:rPr>
    </w:lvl>
    <w:lvl w:ilvl="4" w:tplc="08EC8684" w:tentative="1">
      <w:start w:val="1"/>
      <w:numFmt w:val="bullet"/>
      <w:lvlText w:val="o"/>
      <w:lvlJc w:val="left"/>
      <w:pPr>
        <w:ind w:left="3600" w:hanging="360"/>
      </w:pPr>
      <w:rPr>
        <w:rFonts w:ascii="Courier New" w:hAnsi="Courier New" w:cs="Courier New" w:hint="default"/>
      </w:rPr>
    </w:lvl>
    <w:lvl w:ilvl="5" w:tplc="04EAD260" w:tentative="1">
      <w:start w:val="1"/>
      <w:numFmt w:val="bullet"/>
      <w:lvlText w:val=""/>
      <w:lvlJc w:val="left"/>
      <w:pPr>
        <w:ind w:left="4320" w:hanging="360"/>
      </w:pPr>
      <w:rPr>
        <w:rFonts w:ascii="Wingdings" w:hAnsi="Wingdings" w:hint="default"/>
      </w:rPr>
    </w:lvl>
    <w:lvl w:ilvl="6" w:tplc="259E9F44" w:tentative="1">
      <w:start w:val="1"/>
      <w:numFmt w:val="bullet"/>
      <w:lvlText w:val=""/>
      <w:lvlJc w:val="left"/>
      <w:pPr>
        <w:ind w:left="5040" w:hanging="360"/>
      </w:pPr>
      <w:rPr>
        <w:rFonts w:ascii="Symbol" w:hAnsi="Symbol" w:hint="default"/>
      </w:rPr>
    </w:lvl>
    <w:lvl w:ilvl="7" w:tplc="8C0E6E80" w:tentative="1">
      <w:start w:val="1"/>
      <w:numFmt w:val="bullet"/>
      <w:lvlText w:val="o"/>
      <w:lvlJc w:val="left"/>
      <w:pPr>
        <w:ind w:left="5760" w:hanging="360"/>
      </w:pPr>
      <w:rPr>
        <w:rFonts w:ascii="Courier New" w:hAnsi="Courier New" w:cs="Courier New" w:hint="default"/>
      </w:rPr>
    </w:lvl>
    <w:lvl w:ilvl="8" w:tplc="9C4EDC04"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2D9C3D86">
      <w:start w:val="1"/>
      <w:numFmt w:val="bullet"/>
      <w:lvlText w:val=""/>
      <w:lvlJc w:val="left"/>
      <w:pPr>
        <w:ind w:left="720" w:hanging="360"/>
      </w:pPr>
      <w:rPr>
        <w:rFonts w:ascii="Symbol" w:hAnsi="Symbol" w:hint="default"/>
      </w:rPr>
    </w:lvl>
    <w:lvl w:ilvl="1" w:tplc="CD8E55A8" w:tentative="1">
      <w:start w:val="1"/>
      <w:numFmt w:val="bullet"/>
      <w:lvlText w:val="o"/>
      <w:lvlJc w:val="left"/>
      <w:pPr>
        <w:ind w:left="1440" w:hanging="360"/>
      </w:pPr>
      <w:rPr>
        <w:rFonts w:ascii="Courier New" w:hAnsi="Courier New" w:cs="Courier New" w:hint="default"/>
      </w:rPr>
    </w:lvl>
    <w:lvl w:ilvl="2" w:tplc="65D404C8" w:tentative="1">
      <w:start w:val="1"/>
      <w:numFmt w:val="bullet"/>
      <w:lvlText w:val=""/>
      <w:lvlJc w:val="left"/>
      <w:pPr>
        <w:ind w:left="2160" w:hanging="360"/>
      </w:pPr>
      <w:rPr>
        <w:rFonts w:ascii="Wingdings" w:hAnsi="Wingdings" w:hint="default"/>
      </w:rPr>
    </w:lvl>
    <w:lvl w:ilvl="3" w:tplc="CB10D85C" w:tentative="1">
      <w:start w:val="1"/>
      <w:numFmt w:val="bullet"/>
      <w:lvlText w:val=""/>
      <w:lvlJc w:val="left"/>
      <w:pPr>
        <w:ind w:left="2880" w:hanging="360"/>
      </w:pPr>
      <w:rPr>
        <w:rFonts w:ascii="Symbol" w:hAnsi="Symbol" w:hint="default"/>
      </w:rPr>
    </w:lvl>
    <w:lvl w:ilvl="4" w:tplc="D7E040B6" w:tentative="1">
      <w:start w:val="1"/>
      <w:numFmt w:val="bullet"/>
      <w:lvlText w:val="o"/>
      <w:lvlJc w:val="left"/>
      <w:pPr>
        <w:ind w:left="3600" w:hanging="360"/>
      </w:pPr>
      <w:rPr>
        <w:rFonts w:ascii="Courier New" w:hAnsi="Courier New" w:cs="Courier New" w:hint="default"/>
      </w:rPr>
    </w:lvl>
    <w:lvl w:ilvl="5" w:tplc="0C3CBE82" w:tentative="1">
      <w:start w:val="1"/>
      <w:numFmt w:val="bullet"/>
      <w:lvlText w:val=""/>
      <w:lvlJc w:val="left"/>
      <w:pPr>
        <w:ind w:left="4320" w:hanging="360"/>
      </w:pPr>
      <w:rPr>
        <w:rFonts w:ascii="Wingdings" w:hAnsi="Wingdings" w:hint="default"/>
      </w:rPr>
    </w:lvl>
    <w:lvl w:ilvl="6" w:tplc="111CA316" w:tentative="1">
      <w:start w:val="1"/>
      <w:numFmt w:val="bullet"/>
      <w:lvlText w:val=""/>
      <w:lvlJc w:val="left"/>
      <w:pPr>
        <w:ind w:left="5040" w:hanging="360"/>
      </w:pPr>
      <w:rPr>
        <w:rFonts w:ascii="Symbol" w:hAnsi="Symbol" w:hint="default"/>
      </w:rPr>
    </w:lvl>
    <w:lvl w:ilvl="7" w:tplc="1262A310" w:tentative="1">
      <w:start w:val="1"/>
      <w:numFmt w:val="bullet"/>
      <w:lvlText w:val="o"/>
      <w:lvlJc w:val="left"/>
      <w:pPr>
        <w:ind w:left="5760" w:hanging="360"/>
      </w:pPr>
      <w:rPr>
        <w:rFonts w:ascii="Courier New" w:hAnsi="Courier New" w:cs="Courier New" w:hint="default"/>
      </w:rPr>
    </w:lvl>
    <w:lvl w:ilvl="8" w:tplc="10D2C396"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AB66E3FA">
      <w:start w:val="1"/>
      <w:numFmt w:val="bullet"/>
      <w:lvlText w:val=""/>
      <w:lvlJc w:val="left"/>
      <w:pPr>
        <w:ind w:left="960" w:hanging="360"/>
      </w:pPr>
      <w:rPr>
        <w:rFonts w:ascii="Symbol" w:hAnsi="Symbol" w:hint="default"/>
      </w:rPr>
    </w:lvl>
    <w:lvl w:ilvl="1" w:tplc="8B966432" w:tentative="1">
      <w:start w:val="1"/>
      <w:numFmt w:val="bullet"/>
      <w:lvlText w:val="o"/>
      <w:lvlJc w:val="left"/>
      <w:pPr>
        <w:ind w:left="1680" w:hanging="360"/>
      </w:pPr>
      <w:rPr>
        <w:rFonts w:ascii="Courier New" w:hAnsi="Courier New" w:cs="Courier New" w:hint="default"/>
      </w:rPr>
    </w:lvl>
    <w:lvl w:ilvl="2" w:tplc="50FC5E12" w:tentative="1">
      <w:start w:val="1"/>
      <w:numFmt w:val="bullet"/>
      <w:lvlText w:val=""/>
      <w:lvlJc w:val="left"/>
      <w:pPr>
        <w:ind w:left="2400" w:hanging="360"/>
      </w:pPr>
      <w:rPr>
        <w:rFonts w:ascii="Wingdings" w:hAnsi="Wingdings" w:hint="default"/>
      </w:rPr>
    </w:lvl>
    <w:lvl w:ilvl="3" w:tplc="5D389C32" w:tentative="1">
      <w:start w:val="1"/>
      <w:numFmt w:val="bullet"/>
      <w:lvlText w:val=""/>
      <w:lvlJc w:val="left"/>
      <w:pPr>
        <w:ind w:left="3120" w:hanging="360"/>
      </w:pPr>
      <w:rPr>
        <w:rFonts w:ascii="Symbol" w:hAnsi="Symbol" w:hint="default"/>
      </w:rPr>
    </w:lvl>
    <w:lvl w:ilvl="4" w:tplc="A5541816" w:tentative="1">
      <w:start w:val="1"/>
      <w:numFmt w:val="bullet"/>
      <w:lvlText w:val="o"/>
      <w:lvlJc w:val="left"/>
      <w:pPr>
        <w:ind w:left="3840" w:hanging="360"/>
      </w:pPr>
      <w:rPr>
        <w:rFonts w:ascii="Courier New" w:hAnsi="Courier New" w:cs="Courier New" w:hint="default"/>
      </w:rPr>
    </w:lvl>
    <w:lvl w:ilvl="5" w:tplc="45EA971A" w:tentative="1">
      <w:start w:val="1"/>
      <w:numFmt w:val="bullet"/>
      <w:lvlText w:val=""/>
      <w:lvlJc w:val="left"/>
      <w:pPr>
        <w:ind w:left="4560" w:hanging="360"/>
      </w:pPr>
      <w:rPr>
        <w:rFonts w:ascii="Wingdings" w:hAnsi="Wingdings" w:hint="default"/>
      </w:rPr>
    </w:lvl>
    <w:lvl w:ilvl="6" w:tplc="3AD0A3C2" w:tentative="1">
      <w:start w:val="1"/>
      <w:numFmt w:val="bullet"/>
      <w:lvlText w:val=""/>
      <w:lvlJc w:val="left"/>
      <w:pPr>
        <w:ind w:left="5280" w:hanging="360"/>
      </w:pPr>
      <w:rPr>
        <w:rFonts w:ascii="Symbol" w:hAnsi="Symbol" w:hint="default"/>
      </w:rPr>
    </w:lvl>
    <w:lvl w:ilvl="7" w:tplc="B21EBECA" w:tentative="1">
      <w:start w:val="1"/>
      <w:numFmt w:val="bullet"/>
      <w:lvlText w:val="o"/>
      <w:lvlJc w:val="left"/>
      <w:pPr>
        <w:ind w:left="6000" w:hanging="360"/>
      </w:pPr>
      <w:rPr>
        <w:rFonts w:ascii="Courier New" w:hAnsi="Courier New" w:cs="Courier New" w:hint="default"/>
      </w:rPr>
    </w:lvl>
    <w:lvl w:ilvl="8" w:tplc="FDB46FF0"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88BE4F00">
      <w:start w:val="1"/>
      <w:numFmt w:val="lowerLetter"/>
      <w:lvlText w:val="%1."/>
      <w:lvlJc w:val="left"/>
      <w:pPr>
        <w:ind w:left="720" w:hanging="360"/>
      </w:pPr>
    </w:lvl>
    <w:lvl w:ilvl="1" w:tplc="4A2E1878">
      <w:start w:val="1"/>
      <w:numFmt w:val="lowerLetter"/>
      <w:lvlText w:val="%2."/>
      <w:lvlJc w:val="left"/>
      <w:pPr>
        <w:ind w:left="1440" w:hanging="360"/>
      </w:pPr>
    </w:lvl>
    <w:lvl w:ilvl="2" w:tplc="1B667250">
      <w:start w:val="1"/>
      <w:numFmt w:val="lowerRoman"/>
      <w:lvlText w:val="%3."/>
      <w:lvlJc w:val="right"/>
      <w:pPr>
        <w:ind w:left="2160" w:hanging="180"/>
      </w:pPr>
    </w:lvl>
    <w:lvl w:ilvl="3" w:tplc="CE6EEF7C">
      <w:start w:val="1"/>
      <w:numFmt w:val="decimal"/>
      <w:lvlText w:val="%4."/>
      <w:lvlJc w:val="left"/>
      <w:pPr>
        <w:ind w:left="2880" w:hanging="360"/>
      </w:pPr>
    </w:lvl>
    <w:lvl w:ilvl="4" w:tplc="13E4808E">
      <w:start w:val="1"/>
      <w:numFmt w:val="lowerLetter"/>
      <w:lvlText w:val="%5."/>
      <w:lvlJc w:val="left"/>
      <w:pPr>
        <w:ind w:left="3600" w:hanging="360"/>
      </w:pPr>
    </w:lvl>
    <w:lvl w:ilvl="5" w:tplc="4992E08C">
      <w:start w:val="1"/>
      <w:numFmt w:val="lowerRoman"/>
      <w:lvlText w:val="%6."/>
      <w:lvlJc w:val="right"/>
      <w:pPr>
        <w:ind w:left="4320" w:hanging="180"/>
      </w:pPr>
    </w:lvl>
    <w:lvl w:ilvl="6" w:tplc="E5D6F688">
      <w:start w:val="1"/>
      <w:numFmt w:val="decimal"/>
      <w:lvlText w:val="%7."/>
      <w:lvlJc w:val="left"/>
      <w:pPr>
        <w:ind w:left="5040" w:hanging="360"/>
      </w:pPr>
    </w:lvl>
    <w:lvl w:ilvl="7" w:tplc="8AE4CB0A">
      <w:start w:val="1"/>
      <w:numFmt w:val="lowerLetter"/>
      <w:lvlText w:val="%8."/>
      <w:lvlJc w:val="left"/>
      <w:pPr>
        <w:ind w:left="5760" w:hanging="360"/>
      </w:pPr>
    </w:lvl>
    <w:lvl w:ilvl="8" w:tplc="D370F600">
      <w:start w:val="1"/>
      <w:numFmt w:val="lowerRoman"/>
      <w:lvlText w:val="%9."/>
      <w:lvlJc w:val="right"/>
      <w:pPr>
        <w:ind w:left="6480" w:hanging="180"/>
      </w:pPr>
    </w:lvl>
  </w:abstractNum>
  <w:abstractNum w:abstractNumId="6" w15:restartNumberingAfterBreak="0">
    <w:nsid w:val="40CE5350"/>
    <w:multiLevelType w:val="hybridMultilevel"/>
    <w:tmpl w:val="9AE26C58"/>
    <w:lvl w:ilvl="0" w:tplc="7208FA2A">
      <w:start w:val="1"/>
      <w:numFmt w:val="decimal"/>
      <w:lvlText w:val="%1."/>
      <w:lvlJc w:val="left"/>
      <w:pPr>
        <w:ind w:left="720" w:hanging="360"/>
      </w:pPr>
      <w:rPr>
        <w:rFonts w:hint="default"/>
      </w:rPr>
    </w:lvl>
    <w:lvl w:ilvl="1" w:tplc="CE5C54AA" w:tentative="1">
      <w:start w:val="1"/>
      <w:numFmt w:val="lowerLetter"/>
      <w:lvlText w:val="%2."/>
      <w:lvlJc w:val="left"/>
      <w:pPr>
        <w:ind w:left="1440" w:hanging="360"/>
      </w:pPr>
    </w:lvl>
    <w:lvl w:ilvl="2" w:tplc="71D80AB8" w:tentative="1">
      <w:start w:val="1"/>
      <w:numFmt w:val="lowerRoman"/>
      <w:lvlText w:val="%3."/>
      <w:lvlJc w:val="right"/>
      <w:pPr>
        <w:ind w:left="2160" w:hanging="180"/>
      </w:pPr>
    </w:lvl>
    <w:lvl w:ilvl="3" w:tplc="AA48FD1A" w:tentative="1">
      <w:start w:val="1"/>
      <w:numFmt w:val="decimal"/>
      <w:lvlText w:val="%4."/>
      <w:lvlJc w:val="left"/>
      <w:pPr>
        <w:ind w:left="2880" w:hanging="360"/>
      </w:pPr>
    </w:lvl>
    <w:lvl w:ilvl="4" w:tplc="52CCEAE0" w:tentative="1">
      <w:start w:val="1"/>
      <w:numFmt w:val="lowerLetter"/>
      <w:lvlText w:val="%5."/>
      <w:lvlJc w:val="left"/>
      <w:pPr>
        <w:ind w:left="3600" w:hanging="360"/>
      </w:pPr>
    </w:lvl>
    <w:lvl w:ilvl="5" w:tplc="239A1558" w:tentative="1">
      <w:start w:val="1"/>
      <w:numFmt w:val="lowerRoman"/>
      <w:lvlText w:val="%6."/>
      <w:lvlJc w:val="right"/>
      <w:pPr>
        <w:ind w:left="4320" w:hanging="180"/>
      </w:pPr>
    </w:lvl>
    <w:lvl w:ilvl="6" w:tplc="3CC24F98" w:tentative="1">
      <w:start w:val="1"/>
      <w:numFmt w:val="decimal"/>
      <w:lvlText w:val="%7."/>
      <w:lvlJc w:val="left"/>
      <w:pPr>
        <w:ind w:left="5040" w:hanging="360"/>
      </w:pPr>
    </w:lvl>
    <w:lvl w:ilvl="7" w:tplc="CCBCCF54" w:tentative="1">
      <w:start w:val="1"/>
      <w:numFmt w:val="lowerLetter"/>
      <w:lvlText w:val="%8."/>
      <w:lvlJc w:val="left"/>
      <w:pPr>
        <w:ind w:left="5760" w:hanging="360"/>
      </w:pPr>
    </w:lvl>
    <w:lvl w:ilvl="8" w:tplc="5D62F520"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5DFCEB8E">
      <w:start w:val="1"/>
      <w:numFmt w:val="bullet"/>
      <w:lvlText w:val=""/>
      <w:lvlJc w:val="left"/>
      <w:pPr>
        <w:ind w:left="720" w:hanging="360"/>
      </w:pPr>
      <w:rPr>
        <w:rFonts w:ascii="Symbol" w:hAnsi="Symbol" w:hint="default"/>
      </w:rPr>
    </w:lvl>
    <w:lvl w:ilvl="1" w:tplc="6ADC04A6" w:tentative="1">
      <w:start w:val="1"/>
      <w:numFmt w:val="bullet"/>
      <w:lvlText w:val="o"/>
      <w:lvlJc w:val="left"/>
      <w:pPr>
        <w:ind w:left="1440" w:hanging="360"/>
      </w:pPr>
      <w:rPr>
        <w:rFonts w:ascii="Courier New" w:hAnsi="Courier New" w:cs="Courier New" w:hint="default"/>
      </w:rPr>
    </w:lvl>
    <w:lvl w:ilvl="2" w:tplc="BDF4BA4E" w:tentative="1">
      <w:start w:val="1"/>
      <w:numFmt w:val="bullet"/>
      <w:lvlText w:val=""/>
      <w:lvlJc w:val="left"/>
      <w:pPr>
        <w:ind w:left="2160" w:hanging="360"/>
      </w:pPr>
      <w:rPr>
        <w:rFonts w:ascii="Wingdings" w:hAnsi="Wingdings" w:hint="default"/>
      </w:rPr>
    </w:lvl>
    <w:lvl w:ilvl="3" w:tplc="C0CE424A" w:tentative="1">
      <w:start w:val="1"/>
      <w:numFmt w:val="bullet"/>
      <w:lvlText w:val=""/>
      <w:lvlJc w:val="left"/>
      <w:pPr>
        <w:ind w:left="2880" w:hanging="360"/>
      </w:pPr>
      <w:rPr>
        <w:rFonts w:ascii="Symbol" w:hAnsi="Symbol" w:hint="default"/>
      </w:rPr>
    </w:lvl>
    <w:lvl w:ilvl="4" w:tplc="8128453E" w:tentative="1">
      <w:start w:val="1"/>
      <w:numFmt w:val="bullet"/>
      <w:lvlText w:val="o"/>
      <w:lvlJc w:val="left"/>
      <w:pPr>
        <w:ind w:left="3600" w:hanging="360"/>
      </w:pPr>
      <w:rPr>
        <w:rFonts w:ascii="Courier New" w:hAnsi="Courier New" w:cs="Courier New" w:hint="default"/>
      </w:rPr>
    </w:lvl>
    <w:lvl w:ilvl="5" w:tplc="D9CA988C" w:tentative="1">
      <w:start w:val="1"/>
      <w:numFmt w:val="bullet"/>
      <w:lvlText w:val=""/>
      <w:lvlJc w:val="left"/>
      <w:pPr>
        <w:ind w:left="4320" w:hanging="360"/>
      </w:pPr>
      <w:rPr>
        <w:rFonts w:ascii="Wingdings" w:hAnsi="Wingdings" w:hint="default"/>
      </w:rPr>
    </w:lvl>
    <w:lvl w:ilvl="6" w:tplc="B39A9C1C" w:tentative="1">
      <w:start w:val="1"/>
      <w:numFmt w:val="bullet"/>
      <w:lvlText w:val=""/>
      <w:lvlJc w:val="left"/>
      <w:pPr>
        <w:ind w:left="5040" w:hanging="360"/>
      </w:pPr>
      <w:rPr>
        <w:rFonts w:ascii="Symbol" w:hAnsi="Symbol" w:hint="default"/>
      </w:rPr>
    </w:lvl>
    <w:lvl w:ilvl="7" w:tplc="75500F9A" w:tentative="1">
      <w:start w:val="1"/>
      <w:numFmt w:val="bullet"/>
      <w:lvlText w:val="o"/>
      <w:lvlJc w:val="left"/>
      <w:pPr>
        <w:ind w:left="5760" w:hanging="360"/>
      </w:pPr>
      <w:rPr>
        <w:rFonts w:ascii="Courier New" w:hAnsi="Courier New" w:cs="Courier New" w:hint="default"/>
      </w:rPr>
    </w:lvl>
    <w:lvl w:ilvl="8" w:tplc="CDC6AC86"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64324CE6">
      <w:start w:val="1"/>
      <w:numFmt w:val="decimal"/>
      <w:lvlText w:val="%1."/>
      <w:lvlJc w:val="left"/>
      <w:pPr>
        <w:ind w:left="359" w:hanging="360"/>
      </w:pPr>
      <w:rPr>
        <w:rFonts w:hint="default"/>
      </w:rPr>
    </w:lvl>
    <w:lvl w:ilvl="1" w:tplc="9F28402C" w:tentative="1">
      <w:start w:val="1"/>
      <w:numFmt w:val="lowerLetter"/>
      <w:lvlText w:val="%2."/>
      <w:lvlJc w:val="left"/>
      <w:pPr>
        <w:ind w:left="1079" w:hanging="360"/>
      </w:pPr>
    </w:lvl>
    <w:lvl w:ilvl="2" w:tplc="561026CC" w:tentative="1">
      <w:start w:val="1"/>
      <w:numFmt w:val="lowerRoman"/>
      <w:lvlText w:val="%3."/>
      <w:lvlJc w:val="right"/>
      <w:pPr>
        <w:ind w:left="1799" w:hanging="180"/>
      </w:pPr>
    </w:lvl>
    <w:lvl w:ilvl="3" w:tplc="AC56F2F2" w:tentative="1">
      <w:start w:val="1"/>
      <w:numFmt w:val="decimal"/>
      <w:lvlText w:val="%4."/>
      <w:lvlJc w:val="left"/>
      <w:pPr>
        <w:ind w:left="2519" w:hanging="360"/>
      </w:pPr>
    </w:lvl>
    <w:lvl w:ilvl="4" w:tplc="C3042908" w:tentative="1">
      <w:start w:val="1"/>
      <w:numFmt w:val="lowerLetter"/>
      <w:lvlText w:val="%5."/>
      <w:lvlJc w:val="left"/>
      <w:pPr>
        <w:ind w:left="3239" w:hanging="360"/>
      </w:pPr>
    </w:lvl>
    <w:lvl w:ilvl="5" w:tplc="A0789782" w:tentative="1">
      <w:start w:val="1"/>
      <w:numFmt w:val="lowerRoman"/>
      <w:lvlText w:val="%6."/>
      <w:lvlJc w:val="right"/>
      <w:pPr>
        <w:ind w:left="3959" w:hanging="180"/>
      </w:pPr>
    </w:lvl>
    <w:lvl w:ilvl="6" w:tplc="C8AE653A" w:tentative="1">
      <w:start w:val="1"/>
      <w:numFmt w:val="decimal"/>
      <w:lvlText w:val="%7."/>
      <w:lvlJc w:val="left"/>
      <w:pPr>
        <w:ind w:left="4679" w:hanging="360"/>
      </w:pPr>
    </w:lvl>
    <w:lvl w:ilvl="7" w:tplc="E9FAD2CE" w:tentative="1">
      <w:start w:val="1"/>
      <w:numFmt w:val="lowerLetter"/>
      <w:lvlText w:val="%8."/>
      <w:lvlJc w:val="left"/>
      <w:pPr>
        <w:ind w:left="5399" w:hanging="360"/>
      </w:pPr>
    </w:lvl>
    <w:lvl w:ilvl="8" w:tplc="A72A9EF0"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F71CAAA6">
      <w:start w:val="1"/>
      <w:numFmt w:val="decimal"/>
      <w:lvlText w:val="%1)"/>
      <w:lvlJc w:val="left"/>
      <w:pPr>
        <w:ind w:left="720" w:hanging="360"/>
      </w:pPr>
      <w:rPr>
        <w:rFonts w:hint="default"/>
      </w:rPr>
    </w:lvl>
    <w:lvl w:ilvl="1" w:tplc="5720B6E2" w:tentative="1">
      <w:start w:val="1"/>
      <w:numFmt w:val="lowerLetter"/>
      <w:lvlText w:val="%2."/>
      <w:lvlJc w:val="left"/>
      <w:pPr>
        <w:ind w:left="1440" w:hanging="360"/>
      </w:pPr>
    </w:lvl>
    <w:lvl w:ilvl="2" w:tplc="75BE5D18" w:tentative="1">
      <w:start w:val="1"/>
      <w:numFmt w:val="lowerRoman"/>
      <w:lvlText w:val="%3."/>
      <w:lvlJc w:val="right"/>
      <w:pPr>
        <w:ind w:left="2160" w:hanging="180"/>
      </w:pPr>
    </w:lvl>
    <w:lvl w:ilvl="3" w:tplc="C78275FE" w:tentative="1">
      <w:start w:val="1"/>
      <w:numFmt w:val="decimal"/>
      <w:lvlText w:val="%4."/>
      <w:lvlJc w:val="left"/>
      <w:pPr>
        <w:ind w:left="2880" w:hanging="360"/>
      </w:pPr>
    </w:lvl>
    <w:lvl w:ilvl="4" w:tplc="32D0D064" w:tentative="1">
      <w:start w:val="1"/>
      <w:numFmt w:val="lowerLetter"/>
      <w:lvlText w:val="%5."/>
      <w:lvlJc w:val="left"/>
      <w:pPr>
        <w:ind w:left="3600" w:hanging="360"/>
      </w:pPr>
    </w:lvl>
    <w:lvl w:ilvl="5" w:tplc="09B6FEDA" w:tentative="1">
      <w:start w:val="1"/>
      <w:numFmt w:val="lowerRoman"/>
      <w:lvlText w:val="%6."/>
      <w:lvlJc w:val="right"/>
      <w:pPr>
        <w:ind w:left="4320" w:hanging="180"/>
      </w:pPr>
    </w:lvl>
    <w:lvl w:ilvl="6" w:tplc="AD2AC1DE" w:tentative="1">
      <w:start w:val="1"/>
      <w:numFmt w:val="decimal"/>
      <w:lvlText w:val="%7."/>
      <w:lvlJc w:val="left"/>
      <w:pPr>
        <w:ind w:left="5040" w:hanging="360"/>
      </w:pPr>
    </w:lvl>
    <w:lvl w:ilvl="7" w:tplc="12DE485C" w:tentative="1">
      <w:start w:val="1"/>
      <w:numFmt w:val="lowerLetter"/>
      <w:lvlText w:val="%8."/>
      <w:lvlJc w:val="left"/>
      <w:pPr>
        <w:ind w:left="5760" w:hanging="360"/>
      </w:pPr>
    </w:lvl>
    <w:lvl w:ilvl="8" w:tplc="4E66F994" w:tentative="1">
      <w:start w:val="1"/>
      <w:numFmt w:val="lowerRoman"/>
      <w:lvlText w:val="%9."/>
      <w:lvlJc w:val="right"/>
      <w:pPr>
        <w:ind w:left="6480" w:hanging="180"/>
      </w:pPr>
    </w:lvl>
  </w:abstractNum>
  <w:abstractNum w:abstractNumId="10"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89621A4C">
      <w:start w:val="1"/>
      <w:numFmt w:val="bullet"/>
      <w:lvlText w:val=""/>
      <w:lvlJc w:val="left"/>
      <w:pPr>
        <w:ind w:left="720" w:hanging="360"/>
      </w:pPr>
      <w:rPr>
        <w:rFonts w:ascii="Symbol" w:hAnsi="Symbol" w:hint="default"/>
      </w:rPr>
    </w:lvl>
    <w:lvl w:ilvl="1" w:tplc="40D23F04" w:tentative="1">
      <w:start w:val="1"/>
      <w:numFmt w:val="bullet"/>
      <w:lvlText w:val="o"/>
      <w:lvlJc w:val="left"/>
      <w:pPr>
        <w:ind w:left="1440" w:hanging="360"/>
      </w:pPr>
      <w:rPr>
        <w:rFonts w:ascii="Courier New" w:hAnsi="Courier New" w:cs="Courier New" w:hint="default"/>
      </w:rPr>
    </w:lvl>
    <w:lvl w:ilvl="2" w:tplc="F45E58A2" w:tentative="1">
      <w:start w:val="1"/>
      <w:numFmt w:val="bullet"/>
      <w:lvlText w:val=""/>
      <w:lvlJc w:val="left"/>
      <w:pPr>
        <w:ind w:left="2160" w:hanging="360"/>
      </w:pPr>
      <w:rPr>
        <w:rFonts w:ascii="Wingdings" w:hAnsi="Wingdings" w:hint="default"/>
      </w:rPr>
    </w:lvl>
    <w:lvl w:ilvl="3" w:tplc="A3600D00" w:tentative="1">
      <w:start w:val="1"/>
      <w:numFmt w:val="bullet"/>
      <w:lvlText w:val=""/>
      <w:lvlJc w:val="left"/>
      <w:pPr>
        <w:ind w:left="2880" w:hanging="360"/>
      </w:pPr>
      <w:rPr>
        <w:rFonts w:ascii="Symbol" w:hAnsi="Symbol" w:hint="default"/>
      </w:rPr>
    </w:lvl>
    <w:lvl w:ilvl="4" w:tplc="F8C2AEEA" w:tentative="1">
      <w:start w:val="1"/>
      <w:numFmt w:val="bullet"/>
      <w:lvlText w:val="o"/>
      <w:lvlJc w:val="left"/>
      <w:pPr>
        <w:ind w:left="3600" w:hanging="360"/>
      </w:pPr>
      <w:rPr>
        <w:rFonts w:ascii="Courier New" w:hAnsi="Courier New" w:cs="Courier New" w:hint="default"/>
      </w:rPr>
    </w:lvl>
    <w:lvl w:ilvl="5" w:tplc="CB6211D6" w:tentative="1">
      <w:start w:val="1"/>
      <w:numFmt w:val="bullet"/>
      <w:lvlText w:val=""/>
      <w:lvlJc w:val="left"/>
      <w:pPr>
        <w:ind w:left="4320" w:hanging="360"/>
      </w:pPr>
      <w:rPr>
        <w:rFonts w:ascii="Wingdings" w:hAnsi="Wingdings" w:hint="default"/>
      </w:rPr>
    </w:lvl>
    <w:lvl w:ilvl="6" w:tplc="945ACB36" w:tentative="1">
      <w:start w:val="1"/>
      <w:numFmt w:val="bullet"/>
      <w:lvlText w:val=""/>
      <w:lvlJc w:val="left"/>
      <w:pPr>
        <w:ind w:left="5040" w:hanging="360"/>
      </w:pPr>
      <w:rPr>
        <w:rFonts w:ascii="Symbol" w:hAnsi="Symbol" w:hint="default"/>
      </w:rPr>
    </w:lvl>
    <w:lvl w:ilvl="7" w:tplc="81B0BE00" w:tentative="1">
      <w:start w:val="1"/>
      <w:numFmt w:val="bullet"/>
      <w:lvlText w:val="o"/>
      <w:lvlJc w:val="left"/>
      <w:pPr>
        <w:ind w:left="5760" w:hanging="360"/>
      </w:pPr>
      <w:rPr>
        <w:rFonts w:ascii="Courier New" w:hAnsi="Courier New" w:cs="Courier New" w:hint="default"/>
      </w:rPr>
    </w:lvl>
    <w:lvl w:ilvl="8" w:tplc="7B5C1922"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E5E071C6">
      <w:start w:val="1"/>
      <w:numFmt w:val="decimal"/>
      <w:lvlText w:val="%1."/>
      <w:lvlJc w:val="left"/>
      <w:pPr>
        <w:ind w:left="720" w:hanging="360"/>
      </w:pPr>
      <w:rPr>
        <w:rFonts w:hint="default"/>
      </w:rPr>
    </w:lvl>
    <w:lvl w:ilvl="1" w:tplc="5874CE9C" w:tentative="1">
      <w:start w:val="1"/>
      <w:numFmt w:val="lowerLetter"/>
      <w:lvlText w:val="%2."/>
      <w:lvlJc w:val="left"/>
      <w:pPr>
        <w:ind w:left="1440" w:hanging="360"/>
      </w:pPr>
    </w:lvl>
    <w:lvl w:ilvl="2" w:tplc="C3621660" w:tentative="1">
      <w:start w:val="1"/>
      <w:numFmt w:val="lowerRoman"/>
      <w:lvlText w:val="%3."/>
      <w:lvlJc w:val="right"/>
      <w:pPr>
        <w:ind w:left="2160" w:hanging="180"/>
      </w:pPr>
    </w:lvl>
    <w:lvl w:ilvl="3" w:tplc="BA60AEB6" w:tentative="1">
      <w:start w:val="1"/>
      <w:numFmt w:val="decimal"/>
      <w:lvlText w:val="%4."/>
      <w:lvlJc w:val="left"/>
      <w:pPr>
        <w:ind w:left="2880" w:hanging="360"/>
      </w:pPr>
    </w:lvl>
    <w:lvl w:ilvl="4" w:tplc="0B90EF62" w:tentative="1">
      <w:start w:val="1"/>
      <w:numFmt w:val="lowerLetter"/>
      <w:lvlText w:val="%5."/>
      <w:lvlJc w:val="left"/>
      <w:pPr>
        <w:ind w:left="3600" w:hanging="360"/>
      </w:pPr>
    </w:lvl>
    <w:lvl w:ilvl="5" w:tplc="076E808A" w:tentative="1">
      <w:start w:val="1"/>
      <w:numFmt w:val="lowerRoman"/>
      <w:lvlText w:val="%6."/>
      <w:lvlJc w:val="right"/>
      <w:pPr>
        <w:ind w:left="4320" w:hanging="180"/>
      </w:pPr>
    </w:lvl>
    <w:lvl w:ilvl="6" w:tplc="9D08B816" w:tentative="1">
      <w:start w:val="1"/>
      <w:numFmt w:val="decimal"/>
      <w:lvlText w:val="%7."/>
      <w:lvlJc w:val="left"/>
      <w:pPr>
        <w:ind w:left="5040" w:hanging="360"/>
      </w:pPr>
    </w:lvl>
    <w:lvl w:ilvl="7" w:tplc="DA9E78BC" w:tentative="1">
      <w:start w:val="1"/>
      <w:numFmt w:val="lowerLetter"/>
      <w:lvlText w:val="%8."/>
      <w:lvlJc w:val="left"/>
      <w:pPr>
        <w:ind w:left="5760" w:hanging="360"/>
      </w:pPr>
    </w:lvl>
    <w:lvl w:ilvl="8" w:tplc="664CFB96"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29EA531A">
      <w:start w:val="7"/>
      <w:numFmt w:val="decimal"/>
      <w:lvlText w:val="%1."/>
      <w:lvlJc w:val="left"/>
      <w:pPr>
        <w:ind w:left="359" w:hanging="360"/>
      </w:pPr>
      <w:rPr>
        <w:rFonts w:hint="default"/>
      </w:rPr>
    </w:lvl>
    <w:lvl w:ilvl="1" w:tplc="7D407788" w:tentative="1">
      <w:start w:val="1"/>
      <w:numFmt w:val="lowerLetter"/>
      <w:lvlText w:val="%2."/>
      <w:lvlJc w:val="left"/>
      <w:pPr>
        <w:ind w:left="1079" w:hanging="360"/>
      </w:pPr>
    </w:lvl>
    <w:lvl w:ilvl="2" w:tplc="03D2DA74" w:tentative="1">
      <w:start w:val="1"/>
      <w:numFmt w:val="lowerRoman"/>
      <w:lvlText w:val="%3."/>
      <w:lvlJc w:val="right"/>
      <w:pPr>
        <w:ind w:left="1799" w:hanging="180"/>
      </w:pPr>
    </w:lvl>
    <w:lvl w:ilvl="3" w:tplc="1960FE78" w:tentative="1">
      <w:start w:val="1"/>
      <w:numFmt w:val="decimal"/>
      <w:lvlText w:val="%4."/>
      <w:lvlJc w:val="left"/>
      <w:pPr>
        <w:ind w:left="2519" w:hanging="360"/>
      </w:pPr>
    </w:lvl>
    <w:lvl w:ilvl="4" w:tplc="E3EA0AB8" w:tentative="1">
      <w:start w:val="1"/>
      <w:numFmt w:val="lowerLetter"/>
      <w:lvlText w:val="%5."/>
      <w:lvlJc w:val="left"/>
      <w:pPr>
        <w:ind w:left="3239" w:hanging="360"/>
      </w:pPr>
    </w:lvl>
    <w:lvl w:ilvl="5" w:tplc="A694E49E" w:tentative="1">
      <w:start w:val="1"/>
      <w:numFmt w:val="lowerRoman"/>
      <w:lvlText w:val="%6."/>
      <w:lvlJc w:val="right"/>
      <w:pPr>
        <w:ind w:left="3959" w:hanging="180"/>
      </w:pPr>
    </w:lvl>
    <w:lvl w:ilvl="6" w:tplc="004CC2B8" w:tentative="1">
      <w:start w:val="1"/>
      <w:numFmt w:val="decimal"/>
      <w:lvlText w:val="%7."/>
      <w:lvlJc w:val="left"/>
      <w:pPr>
        <w:ind w:left="4679" w:hanging="360"/>
      </w:pPr>
    </w:lvl>
    <w:lvl w:ilvl="7" w:tplc="BEEE4C28" w:tentative="1">
      <w:start w:val="1"/>
      <w:numFmt w:val="lowerLetter"/>
      <w:lvlText w:val="%8."/>
      <w:lvlJc w:val="left"/>
      <w:pPr>
        <w:ind w:left="5399" w:hanging="360"/>
      </w:pPr>
    </w:lvl>
    <w:lvl w:ilvl="8" w:tplc="075480FE" w:tentative="1">
      <w:start w:val="1"/>
      <w:numFmt w:val="lowerRoman"/>
      <w:lvlText w:val="%9."/>
      <w:lvlJc w:val="right"/>
      <w:pPr>
        <w:ind w:left="6119" w:hanging="180"/>
      </w:pPr>
    </w:lvl>
  </w:abstractNum>
  <w:abstractNum w:abstractNumId="14"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15" w15:restartNumberingAfterBreak="0">
    <w:nsid w:val="6FAD1977"/>
    <w:multiLevelType w:val="hybridMultilevel"/>
    <w:tmpl w:val="E848BE62"/>
    <w:lvl w:ilvl="0" w:tplc="50948FB6">
      <w:start w:val="1"/>
      <w:numFmt w:val="bullet"/>
      <w:lvlText w:val=""/>
      <w:lvlJc w:val="left"/>
      <w:pPr>
        <w:ind w:left="360" w:hanging="360"/>
      </w:pPr>
      <w:rPr>
        <w:rFonts w:ascii="Symbol" w:hAnsi="Symbol" w:hint="default"/>
      </w:rPr>
    </w:lvl>
    <w:lvl w:ilvl="1" w:tplc="C1E6120C" w:tentative="1">
      <w:start w:val="1"/>
      <w:numFmt w:val="bullet"/>
      <w:lvlText w:val="o"/>
      <w:lvlJc w:val="left"/>
      <w:pPr>
        <w:ind w:left="1080" w:hanging="360"/>
      </w:pPr>
      <w:rPr>
        <w:rFonts w:ascii="Courier New" w:hAnsi="Courier New" w:cs="Courier New" w:hint="default"/>
      </w:rPr>
    </w:lvl>
    <w:lvl w:ilvl="2" w:tplc="B688FA42" w:tentative="1">
      <w:start w:val="1"/>
      <w:numFmt w:val="bullet"/>
      <w:lvlText w:val=""/>
      <w:lvlJc w:val="left"/>
      <w:pPr>
        <w:ind w:left="1800" w:hanging="360"/>
      </w:pPr>
      <w:rPr>
        <w:rFonts w:ascii="Wingdings" w:hAnsi="Wingdings" w:hint="default"/>
      </w:rPr>
    </w:lvl>
    <w:lvl w:ilvl="3" w:tplc="3F0AEE18" w:tentative="1">
      <w:start w:val="1"/>
      <w:numFmt w:val="bullet"/>
      <w:lvlText w:val=""/>
      <w:lvlJc w:val="left"/>
      <w:pPr>
        <w:ind w:left="2520" w:hanging="360"/>
      </w:pPr>
      <w:rPr>
        <w:rFonts w:ascii="Symbol" w:hAnsi="Symbol" w:hint="default"/>
      </w:rPr>
    </w:lvl>
    <w:lvl w:ilvl="4" w:tplc="BF74650E" w:tentative="1">
      <w:start w:val="1"/>
      <w:numFmt w:val="bullet"/>
      <w:lvlText w:val="o"/>
      <w:lvlJc w:val="left"/>
      <w:pPr>
        <w:ind w:left="3240" w:hanging="360"/>
      </w:pPr>
      <w:rPr>
        <w:rFonts w:ascii="Courier New" w:hAnsi="Courier New" w:cs="Courier New" w:hint="default"/>
      </w:rPr>
    </w:lvl>
    <w:lvl w:ilvl="5" w:tplc="32BE2D20" w:tentative="1">
      <w:start w:val="1"/>
      <w:numFmt w:val="bullet"/>
      <w:lvlText w:val=""/>
      <w:lvlJc w:val="left"/>
      <w:pPr>
        <w:ind w:left="3960" w:hanging="360"/>
      </w:pPr>
      <w:rPr>
        <w:rFonts w:ascii="Wingdings" w:hAnsi="Wingdings" w:hint="default"/>
      </w:rPr>
    </w:lvl>
    <w:lvl w:ilvl="6" w:tplc="A2425BCC" w:tentative="1">
      <w:start w:val="1"/>
      <w:numFmt w:val="bullet"/>
      <w:lvlText w:val=""/>
      <w:lvlJc w:val="left"/>
      <w:pPr>
        <w:ind w:left="4680" w:hanging="360"/>
      </w:pPr>
      <w:rPr>
        <w:rFonts w:ascii="Symbol" w:hAnsi="Symbol" w:hint="default"/>
      </w:rPr>
    </w:lvl>
    <w:lvl w:ilvl="7" w:tplc="1F707582" w:tentative="1">
      <w:start w:val="1"/>
      <w:numFmt w:val="bullet"/>
      <w:lvlText w:val="o"/>
      <w:lvlJc w:val="left"/>
      <w:pPr>
        <w:ind w:left="5400" w:hanging="360"/>
      </w:pPr>
      <w:rPr>
        <w:rFonts w:ascii="Courier New" w:hAnsi="Courier New" w:cs="Courier New" w:hint="default"/>
      </w:rPr>
    </w:lvl>
    <w:lvl w:ilvl="8" w:tplc="920A15B6" w:tentative="1">
      <w:start w:val="1"/>
      <w:numFmt w:val="bullet"/>
      <w:lvlText w:val=""/>
      <w:lvlJc w:val="left"/>
      <w:pPr>
        <w:ind w:left="6120" w:hanging="360"/>
      </w:pPr>
      <w:rPr>
        <w:rFonts w:ascii="Wingdings" w:hAnsi="Wingdings" w:hint="default"/>
      </w:rPr>
    </w:lvl>
  </w:abstractNum>
  <w:abstractNum w:abstractNumId="16" w15:restartNumberingAfterBreak="0">
    <w:nsid w:val="718D7B23"/>
    <w:multiLevelType w:val="hybridMultilevel"/>
    <w:tmpl w:val="A568196E"/>
    <w:lvl w:ilvl="0" w:tplc="CD18C09C">
      <w:start w:val="1"/>
      <w:numFmt w:val="bullet"/>
      <w:lvlText w:val=""/>
      <w:lvlJc w:val="left"/>
      <w:pPr>
        <w:ind w:left="720" w:hanging="360"/>
      </w:pPr>
      <w:rPr>
        <w:rFonts w:ascii="Symbol" w:hAnsi="Symbol" w:hint="default"/>
      </w:rPr>
    </w:lvl>
    <w:lvl w:ilvl="1" w:tplc="96BC581A" w:tentative="1">
      <w:start w:val="1"/>
      <w:numFmt w:val="bullet"/>
      <w:lvlText w:val="o"/>
      <w:lvlJc w:val="left"/>
      <w:pPr>
        <w:ind w:left="1440" w:hanging="360"/>
      </w:pPr>
      <w:rPr>
        <w:rFonts w:ascii="Courier New" w:hAnsi="Courier New" w:cs="Courier New" w:hint="default"/>
      </w:rPr>
    </w:lvl>
    <w:lvl w:ilvl="2" w:tplc="528EA736" w:tentative="1">
      <w:start w:val="1"/>
      <w:numFmt w:val="bullet"/>
      <w:lvlText w:val=""/>
      <w:lvlJc w:val="left"/>
      <w:pPr>
        <w:ind w:left="2160" w:hanging="360"/>
      </w:pPr>
      <w:rPr>
        <w:rFonts w:ascii="Wingdings" w:hAnsi="Wingdings" w:hint="default"/>
      </w:rPr>
    </w:lvl>
    <w:lvl w:ilvl="3" w:tplc="2D6832EA" w:tentative="1">
      <w:start w:val="1"/>
      <w:numFmt w:val="bullet"/>
      <w:lvlText w:val=""/>
      <w:lvlJc w:val="left"/>
      <w:pPr>
        <w:ind w:left="2880" w:hanging="360"/>
      </w:pPr>
      <w:rPr>
        <w:rFonts w:ascii="Symbol" w:hAnsi="Symbol" w:hint="default"/>
      </w:rPr>
    </w:lvl>
    <w:lvl w:ilvl="4" w:tplc="88DE5146" w:tentative="1">
      <w:start w:val="1"/>
      <w:numFmt w:val="bullet"/>
      <w:lvlText w:val="o"/>
      <w:lvlJc w:val="left"/>
      <w:pPr>
        <w:ind w:left="3600" w:hanging="360"/>
      </w:pPr>
      <w:rPr>
        <w:rFonts w:ascii="Courier New" w:hAnsi="Courier New" w:cs="Courier New" w:hint="default"/>
      </w:rPr>
    </w:lvl>
    <w:lvl w:ilvl="5" w:tplc="80688946" w:tentative="1">
      <w:start w:val="1"/>
      <w:numFmt w:val="bullet"/>
      <w:lvlText w:val=""/>
      <w:lvlJc w:val="left"/>
      <w:pPr>
        <w:ind w:left="4320" w:hanging="360"/>
      </w:pPr>
      <w:rPr>
        <w:rFonts w:ascii="Wingdings" w:hAnsi="Wingdings" w:hint="default"/>
      </w:rPr>
    </w:lvl>
    <w:lvl w:ilvl="6" w:tplc="E72C0602" w:tentative="1">
      <w:start w:val="1"/>
      <w:numFmt w:val="bullet"/>
      <w:lvlText w:val=""/>
      <w:lvlJc w:val="left"/>
      <w:pPr>
        <w:ind w:left="5040" w:hanging="360"/>
      </w:pPr>
      <w:rPr>
        <w:rFonts w:ascii="Symbol" w:hAnsi="Symbol" w:hint="default"/>
      </w:rPr>
    </w:lvl>
    <w:lvl w:ilvl="7" w:tplc="E76CD570" w:tentative="1">
      <w:start w:val="1"/>
      <w:numFmt w:val="bullet"/>
      <w:lvlText w:val="o"/>
      <w:lvlJc w:val="left"/>
      <w:pPr>
        <w:ind w:left="5760" w:hanging="360"/>
      </w:pPr>
      <w:rPr>
        <w:rFonts w:ascii="Courier New" w:hAnsi="Courier New" w:cs="Courier New" w:hint="default"/>
      </w:rPr>
    </w:lvl>
    <w:lvl w:ilvl="8" w:tplc="C8609C80" w:tentative="1">
      <w:start w:val="1"/>
      <w:numFmt w:val="bullet"/>
      <w:lvlText w:val=""/>
      <w:lvlJc w:val="left"/>
      <w:pPr>
        <w:ind w:left="6480" w:hanging="360"/>
      </w:pPr>
      <w:rPr>
        <w:rFonts w:ascii="Wingdings" w:hAnsi="Wingdings" w:hint="default"/>
      </w:rPr>
    </w:lvl>
  </w:abstractNum>
  <w:abstractNum w:abstractNumId="17" w15:restartNumberingAfterBreak="0">
    <w:nsid w:val="7C2616CB"/>
    <w:multiLevelType w:val="hybridMultilevel"/>
    <w:tmpl w:val="11728488"/>
    <w:lvl w:ilvl="0" w:tplc="4108567E">
      <w:start w:val="1"/>
      <w:numFmt w:val="decimal"/>
      <w:lvlText w:val="%1."/>
      <w:lvlJc w:val="left"/>
      <w:pPr>
        <w:ind w:left="786" w:hanging="360"/>
      </w:pPr>
      <w:rPr>
        <w:rFonts w:hint="default"/>
      </w:rPr>
    </w:lvl>
    <w:lvl w:ilvl="1" w:tplc="9BE8A61A" w:tentative="1">
      <w:start w:val="1"/>
      <w:numFmt w:val="lowerLetter"/>
      <w:lvlText w:val="%2."/>
      <w:lvlJc w:val="left"/>
      <w:pPr>
        <w:ind w:left="1506" w:hanging="360"/>
      </w:pPr>
    </w:lvl>
    <w:lvl w:ilvl="2" w:tplc="C5FC0140" w:tentative="1">
      <w:start w:val="1"/>
      <w:numFmt w:val="lowerRoman"/>
      <w:lvlText w:val="%3."/>
      <w:lvlJc w:val="right"/>
      <w:pPr>
        <w:ind w:left="2226" w:hanging="180"/>
      </w:pPr>
    </w:lvl>
    <w:lvl w:ilvl="3" w:tplc="3B18795E" w:tentative="1">
      <w:start w:val="1"/>
      <w:numFmt w:val="decimal"/>
      <w:lvlText w:val="%4."/>
      <w:lvlJc w:val="left"/>
      <w:pPr>
        <w:ind w:left="2946" w:hanging="360"/>
      </w:pPr>
    </w:lvl>
    <w:lvl w:ilvl="4" w:tplc="B1A80D8E" w:tentative="1">
      <w:start w:val="1"/>
      <w:numFmt w:val="lowerLetter"/>
      <w:lvlText w:val="%5."/>
      <w:lvlJc w:val="left"/>
      <w:pPr>
        <w:ind w:left="3666" w:hanging="360"/>
      </w:pPr>
    </w:lvl>
    <w:lvl w:ilvl="5" w:tplc="7FD0EF5A" w:tentative="1">
      <w:start w:val="1"/>
      <w:numFmt w:val="lowerRoman"/>
      <w:lvlText w:val="%6."/>
      <w:lvlJc w:val="right"/>
      <w:pPr>
        <w:ind w:left="4386" w:hanging="180"/>
      </w:pPr>
    </w:lvl>
    <w:lvl w:ilvl="6" w:tplc="174C2FFC" w:tentative="1">
      <w:start w:val="1"/>
      <w:numFmt w:val="decimal"/>
      <w:lvlText w:val="%7."/>
      <w:lvlJc w:val="left"/>
      <w:pPr>
        <w:ind w:left="5106" w:hanging="360"/>
      </w:pPr>
    </w:lvl>
    <w:lvl w:ilvl="7" w:tplc="607E391A" w:tentative="1">
      <w:start w:val="1"/>
      <w:numFmt w:val="lowerLetter"/>
      <w:lvlText w:val="%8."/>
      <w:lvlJc w:val="left"/>
      <w:pPr>
        <w:ind w:left="5826" w:hanging="360"/>
      </w:pPr>
    </w:lvl>
    <w:lvl w:ilvl="8" w:tplc="018EE824" w:tentative="1">
      <w:start w:val="1"/>
      <w:numFmt w:val="lowerRoman"/>
      <w:lvlText w:val="%9."/>
      <w:lvlJc w:val="right"/>
      <w:pPr>
        <w:ind w:left="6546" w:hanging="180"/>
      </w:pPr>
    </w:lvl>
  </w:abstractNum>
  <w:abstractNum w:abstractNumId="18" w15:restartNumberingAfterBreak="0">
    <w:nsid w:val="7DA0365C"/>
    <w:multiLevelType w:val="hybridMultilevel"/>
    <w:tmpl w:val="03D09186"/>
    <w:lvl w:ilvl="0" w:tplc="C01EE128">
      <w:numFmt w:val="bullet"/>
      <w:lvlText w:val="-"/>
      <w:lvlJc w:val="left"/>
      <w:pPr>
        <w:ind w:left="720" w:hanging="360"/>
      </w:pPr>
      <w:rPr>
        <w:rFonts w:ascii="Times" w:eastAsia="Times New Roman" w:hAnsi="Times" w:cs="Times" w:hint="default"/>
      </w:rPr>
    </w:lvl>
    <w:lvl w:ilvl="1" w:tplc="3992E454" w:tentative="1">
      <w:start w:val="1"/>
      <w:numFmt w:val="bullet"/>
      <w:lvlText w:val="o"/>
      <w:lvlJc w:val="left"/>
      <w:pPr>
        <w:ind w:left="1440" w:hanging="360"/>
      </w:pPr>
      <w:rPr>
        <w:rFonts w:ascii="Courier New" w:hAnsi="Courier New" w:cs="Courier New" w:hint="default"/>
      </w:rPr>
    </w:lvl>
    <w:lvl w:ilvl="2" w:tplc="254AE042" w:tentative="1">
      <w:start w:val="1"/>
      <w:numFmt w:val="bullet"/>
      <w:lvlText w:val=""/>
      <w:lvlJc w:val="left"/>
      <w:pPr>
        <w:ind w:left="2160" w:hanging="360"/>
      </w:pPr>
      <w:rPr>
        <w:rFonts w:ascii="Wingdings" w:hAnsi="Wingdings" w:hint="default"/>
      </w:rPr>
    </w:lvl>
    <w:lvl w:ilvl="3" w:tplc="CF9A031A" w:tentative="1">
      <w:start w:val="1"/>
      <w:numFmt w:val="bullet"/>
      <w:lvlText w:val=""/>
      <w:lvlJc w:val="left"/>
      <w:pPr>
        <w:ind w:left="2880" w:hanging="360"/>
      </w:pPr>
      <w:rPr>
        <w:rFonts w:ascii="Symbol" w:hAnsi="Symbol" w:hint="default"/>
      </w:rPr>
    </w:lvl>
    <w:lvl w:ilvl="4" w:tplc="6C3EE002" w:tentative="1">
      <w:start w:val="1"/>
      <w:numFmt w:val="bullet"/>
      <w:lvlText w:val="o"/>
      <w:lvlJc w:val="left"/>
      <w:pPr>
        <w:ind w:left="3600" w:hanging="360"/>
      </w:pPr>
      <w:rPr>
        <w:rFonts w:ascii="Courier New" w:hAnsi="Courier New" w:cs="Courier New" w:hint="default"/>
      </w:rPr>
    </w:lvl>
    <w:lvl w:ilvl="5" w:tplc="53540E04" w:tentative="1">
      <w:start w:val="1"/>
      <w:numFmt w:val="bullet"/>
      <w:lvlText w:val=""/>
      <w:lvlJc w:val="left"/>
      <w:pPr>
        <w:ind w:left="4320" w:hanging="360"/>
      </w:pPr>
      <w:rPr>
        <w:rFonts w:ascii="Wingdings" w:hAnsi="Wingdings" w:hint="default"/>
      </w:rPr>
    </w:lvl>
    <w:lvl w:ilvl="6" w:tplc="070E24AE" w:tentative="1">
      <w:start w:val="1"/>
      <w:numFmt w:val="bullet"/>
      <w:lvlText w:val=""/>
      <w:lvlJc w:val="left"/>
      <w:pPr>
        <w:ind w:left="5040" w:hanging="360"/>
      </w:pPr>
      <w:rPr>
        <w:rFonts w:ascii="Symbol" w:hAnsi="Symbol" w:hint="default"/>
      </w:rPr>
    </w:lvl>
    <w:lvl w:ilvl="7" w:tplc="9666470E" w:tentative="1">
      <w:start w:val="1"/>
      <w:numFmt w:val="bullet"/>
      <w:lvlText w:val="o"/>
      <w:lvlJc w:val="left"/>
      <w:pPr>
        <w:ind w:left="5760" w:hanging="360"/>
      </w:pPr>
      <w:rPr>
        <w:rFonts w:ascii="Courier New" w:hAnsi="Courier New" w:cs="Courier New" w:hint="default"/>
      </w:rPr>
    </w:lvl>
    <w:lvl w:ilvl="8" w:tplc="52029334" w:tentative="1">
      <w:start w:val="1"/>
      <w:numFmt w:val="bullet"/>
      <w:lvlText w:val=""/>
      <w:lvlJc w:val="left"/>
      <w:pPr>
        <w:ind w:left="6480" w:hanging="360"/>
      </w:pPr>
      <w:rPr>
        <w:rFonts w:ascii="Wingdings" w:hAnsi="Wingdings" w:hint="default"/>
      </w:rPr>
    </w:lvl>
  </w:abstractNum>
  <w:abstractNum w:abstractNumId="19" w15:restartNumberingAfterBreak="0">
    <w:nsid w:val="7E5602F8"/>
    <w:multiLevelType w:val="hybridMultilevel"/>
    <w:tmpl w:val="3C26F5A4"/>
    <w:lvl w:ilvl="0" w:tplc="5C1E7B70">
      <w:start w:val="1"/>
      <w:numFmt w:val="lowerLetter"/>
      <w:lvlText w:val="%1."/>
      <w:lvlJc w:val="left"/>
      <w:pPr>
        <w:ind w:left="720" w:hanging="360"/>
      </w:pPr>
      <w:rPr>
        <w:rFonts w:hint="default"/>
      </w:rPr>
    </w:lvl>
    <w:lvl w:ilvl="1" w:tplc="002E4BBA" w:tentative="1">
      <w:start w:val="1"/>
      <w:numFmt w:val="lowerLetter"/>
      <w:lvlText w:val="%2."/>
      <w:lvlJc w:val="left"/>
      <w:pPr>
        <w:ind w:left="1440" w:hanging="360"/>
      </w:pPr>
    </w:lvl>
    <w:lvl w:ilvl="2" w:tplc="91563C98" w:tentative="1">
      <w:start w:val="1"/>
      <w:numFmt w:val="lowerRoman"/>
      <w:lvlText w:val="%3."/>
      <w:lvlJc w:val="right"/>
      <w:pPr>
        <w:ind w:left="2160" w:hanging="180"/>
      </w:pPr>
    </w:lvl>
    <w:lvl w:ilvl="3" w:tplc="18224D66" w:tentative="1">
      <w:start w:val="1"/>
      <w:numFmt w:val="decimal"/>
      <w:lvlText w:val="%4."/>
      <w:lvlJc w:val="left"/>
      <w:pPr>
        <w:ind w:left="2880" w:hanging="360"/>
      </w:pPr>
    </w:lvl>
    <w:lvl w:ilvl="4" w:tplc="A26EF754" w:tentative="1">
      <w:start w:val="1"/>
      <w:numFmt w:val="lowerLetter"/>
      <w:lvlText w:val="%5."/>
      <w:lvlJc w:val="left"/>
      <w:pPr>
        <w:ind w:left="3600" w:hanging="360"/>
      </w:pPr>
    </w:lvl>
    <w:lvl w:ilvl="5" w:tplc="1E4CAA7A" w:tentative="1">
      <w:start w:val="1"/>
      <w:numFmt w:val="lowerRoman"/>
      <w:lvlText w:val="%6."/>
      <w:lvlJc w:val="right"/>
      <w:pPr>
        <w:ind w:left="4320" w:hanging="180"/>
      </w:pPr>
    </w:lvl>
    <w:lvl w:ilvl="6" w:tplc="A0A0B7D0" w:tentative="1">
      <w:start w:val="1"/>
      <w:numFmt w:val="decimal"/>
      <w:lvlText w:val="%7."/>
      <w:lvlJc w:val="left"/>
      <w:pPr>
        <w:ind w:left="5040" w:hanging="360"/>
      </w:pPr>
    </w:lvl>
    <w:lvl w:ilvl="7" w:tplc="297A9648" w:tentative="1">
      <w:start w:val="1"/>
      <w:numFmt w:val="lowerLetter"/>
      <w:lvlText w:val="%8."/>
      <w:lvlJc w:val="left"/>
      <w:pPr>
        <w:ind w:left="5760" w:hanging="360"/>
      </w:pPr>
    </w:lvl>
    <w:lvl w:ilvl="8" w:tplc="C00E7AD4"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6"/>
  </w:num>
  <w:num w:numId="5">
    <w:abstractNumId w:val="1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8"/>
  </w:num>
  <w:num w:numId="11">
    <w:abstractNumId w:val="12"/>
  </w:num>
  <w:num w:numId="12">
    <w:abstractNumId w:val="9"/>
  </w:num>
  <w:num w:numId="13">
    <w:abstractNumId w:val="3"/>
  </w:num>
  <w:num w:numId="14">
    <w:abstractNumId w:val="2"/>
  </w:num>
  <w:num w:numId="15">
    <w:abstractNumId w:val="11"/>
  </w:num>
  <w:num w:numId="16">
    <w:abstractNumId w:val="1"/>
  </w:num>
  <w:num w:numId="17">
    <w:abstractNumId w:val="19"/>
  </w:num>
  <w:num w:numId="18">
    <w:abstractNumId w:val="6"/>
  </w:num>
  <w:num w:numId="19">
    <w:abstractNumId w:val="15"/>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97D8A"/>
    <w:rsid w:val="000A0AE8"/>
    <w:rsid w:val="000A72A2"/>
    <w:rsid w:val="000B13FB"/>
    <w:rsid w:val="000B2451"/>
    <w:rsid w:val="000B5143"/>
    <w:rsid w:val="000B6617"/>
    <w:rsid w:val="000C1242"/>
    <w:rsid w:val="000C4140"/>
    <w:rsid w:val="000C46E3"/>
    <w:rsid w:val="000D3201"/>
    <w:rsid w:val="000D3F79"/>
    <w:rsid w:val="000E08B9"/>
    <w:rsid w:val="000E17EF"/>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76B0F"/>
    <w:rsid w:val="00181A09"/>
    <w:rsid w:val="0018444C"/>
    <w:rsid w:val="00187D68"/>
    <w:rsid w:val="00190909"/>
    <w:rsid w:val="00194F7F"/>
    <w:rsid w:val="001A2237"/>
    <w:rsid w:val="001A6127"/>
    <w:rsid w:val="001B0294"/>
    <w:rsid w:val="001B19A5"/>
    <w:rsid w:val="001C1743"/>
    <w:rsid w:val="001C209A"/>
    <w:rsid w:val="001C502E"/>
    <w:rsid w:val="001C5614"/>
    <w:rsid w:val="001D57CD"/>
    <w:rsid w:val="001D5EBA"/>
    <w:rsid w:val="001E2931"/>
    <w:rsid w:val="001E6D0C"/>
    <w:rsid w:val="001E7521"/>
    <w:rsid w:val="001F28E6"/>
    <w:rsid w:val="001F51F4"/>
    <w:rsid w:val="00201B1E"/>
    <w:rsid w:val="00203B3D"/>
    <w:rsid w:val="00210BB2"/>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83246"/>
    <w:rsid w:val="003938F8"/>
    <w:rsid w:val="00395D70"/>
    <w:rsid w:val="003A1107"/>
    <w:rsid w:val="003A3B39"/>
    <w:rsid w:val="003A6723"/>
    <w:rsid w:val="003B0942"/>
    <w:rsid w:val="003B2C70"/>
    <w:rsid w:val="003B4074"/>
    <w:rsid w:val="003B4DF1"/>
    <w:rsid w:val="003C3B6F"/>
    <w:rsid w:val="003C6E15"/>
    <w:rsid w:val="003D0E36"/>
    <w:rsid w:val="003D206E"/>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24D"/>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68D8"/>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6F3B0C"/>
    <w:rsid w:val="007012E2"/>
    <w:rsid w:val="00701620"/>
    <w:rsid w:val="00706A01"/>
    <w:rsid w:val="0071317E"/>
    <w:rsid w:val="00730C23"/>
    <w:rsid w:val="00730F15"/>
    <w:rsid w:val="007323B3"/>
    <w:rsid w:val="007342CE"/>
    <w:rsid w:val="007369BA"/>
    <w:rsid w:val="00740582"/>
    <w:rsid w:val="007414E1"/>
    <w:rsid w:val="00741B11"/>
    <w:rsid w:val="0074580C"/>
    <w:rsid w:val="00760F71"/>
    <w:rsid w:val="007617BD"/>
    <w:rsid w:val="00770D80"/>
    <w:rsid w:val="00772339"/>
    <w:rsid w:val="0078710E"/>
    <w:rsid w:val="00787F4C"/>
    <w:rsid w:val="007917B0"/>
    <w:rsid w:val="00796D4E"/>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439C"/>
    <w:rsid w:val="00826845"/>
    <w:rsid w:val="00836D7A"/>
    <w:rsid w:val="00841E41"/>
    <w:rsid w:val="0084331E"/>
    <w:rsid w:val="00843E13"/>
    <w:rsid w:val="00843F4B"/>
    <w:rsid w:val="0084597D"/>
    <w:rsid w:val="008469A8"/>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09D8"/>
    <w:rsid w:val="00970925"/>
    <w:rsid w:val="00987141"/>
    <w:rsid w:val="00991A2A"/>
    <w:rsid w:val="009937AE"/>
    <w:rsid w:val="009A2328"/>
    <w:rsid w:val="009A374A"/>
    <w:rsid w:val="009B0072"/>
    <w:rsid w:val="009B01E1"/>
    <w:rsid w:val="009B5ABC"/>
    <w:rsid w:val="009C2CE3"/>
    <w:rsid w:val="009C76C9"/>
    <w:rsid w:val="009D5B6B"/>
    <w:rsid w:val="009D6B3B"/>
    <w:rsid w:val="009D71A3"/>
    <w:rsid w:val="009E5610"/>
    <w:rsid w:val="009F3027"/>
    <w:rsid w:val="009F4C02"/>
    <w:rsid w:val="009F5C01"/>
    <w:rsid w:val="00A06CAC"/>
    <w:rsid w:val="00A10C60"/>
    <w:rsid w:val="00A176D5"/>
    <w:rsid w:val="00A22A7A"/>
    <w:rsid w:val="00A2357F"/>
    <w:rsid w:val="00A2557F"/>
    <w:rsid w:val="00A27711"/>
    <w:rsid w:val="00A30E4A"/>
    <w:rsid w:val="00A326F3"/>
    <w:rsid w:val="00A339CF"/>
    <w:rsid w:val="00A362B4"/>
    <w:rsid w:val="00A41ECF"/>
    <w:rsid w:val="00A43D36"/>
    <w:rsid w:val="00A60D93"/>
    <w:rsid w:val="00A60E0E"/>
    <w:rsid w:val="00A61B62"/>
    <w:rsid w:val="00A64555"/>
    <w:rsid w:val="00A72CBB"/>
    <w:rsid w:val="00A85159"/>
    <w:rsid w:val="00A87E8E"/>
    <w:rsid w:val="00A91D66"/>
    <w:rsid w:val="00AA4754"/>
    <w:rsid w:val="00AA4992"/>
    <w:rsid w:val="00AA4ED8"/>
    <w:rsid w:val="00AA71D5"/>
    <w:rsid w:val="00AB0EB8"/>
    <w:rsid w:val="00AB478D"/>
    <w:rsid w:val="00AC5B03"/>
    <w:rsid w:val="00AC5D5C"/>
    <w:rsid w:val="00AD5E05"/>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978A3"/>
    <w:rsid w:val="00BA3A63"/>
    <w:rsid w:val="00BA589A"/>
    <w:rsid w:val="00BA78B9"/>
    <w:rsid w:val="00BC05E1"/>
    <w:rsid w:val="00BC46DE"/>
    <w:rsid w:val="00BC6BBA"/>
    <w:rsid w:val="00BD570C"/>
    <w:rsid w:val="00BE50DA"/>
    <w:rsid w:val="00BE6F58"/>
    <w:rsid w:val="00BF0276"/>
    <w:rsid w:val="00BF78A3"/>
    <w:rsid w:val="00C00CE9"/>
    <w:rsid w:val="00C042B1"/>
    <w:rsid w:val="00C11D9F"/>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CF7724"/>
    <w:rsid w:val="00D00CF7"/>
    <w:rsid w:val="00D038A8"/>
    <w:rsid w:val="00D0407A"/>
    <w:rsid w:val="00D043CC"/>
    <w:rsid w:val="00D14E29"/>
    <w:rsid w:val="00D25B51"/>
    <w:rsid w:val="00D33F84"/>
    <w:rsid w:val="00D35961"/>
    <w:rsid w:val="00D3751C"/>
    <w:rsid w:val="00D424D1"/>
    <w:rsid w:val="00D44CFE"/>
    <w:rsid w:val="00D463F8"/>
    <w:rsid w:val="00D54F0D"/>
    <w:rsid w:val="00D56394"/>
    <w:rsid w:val="00D56CA9"/>
    <w:rsid w:val="00D56FEA"/>
    <w:rsid w:val="00D61443"/>
    <w:rsid w:val="00D621C1"/>
    <w:rsid w:val="00D62D00"/>
    <w:rsid w:val="00D6747A"/>
    <w:rsid w:val="00D776C6"/>
    <w:rsid w:val="00D77FC6"/>
    <w:rsid w:val="00D85592"/>
    <w:rsid w:val="00D866ED"/>
    <w:rsid w:val="00D907F6"/>
    <w:rsid w:val="00D93E87"/>
    <w:rsid w:val="00D94C50"/>
    <w:rsid w:val="00DA4139"/>
    <w:rsid w:val="00DA5C83"/>
    <w:rsid w:val="00DA6F1C"/>
    <w:rsid w:val="00DC192C"/>
    <w:rsid w:val="00DC5E18"/>
    <w:rsid w:val="00DD0AB5"/>
    <w:rsid w:val="00DD1273"/>
    <w:rsid w:val="00DD20B4"/>
    <w:rsid w:val="00DE121E"/>
    <w:rsid w:val="00DE76BB"/>
    <w:rsid w:val="00E03DAD"/>
    <w:rsid w:val="00E042D4"/>
    <w:rsid w:val="00E1087D"/>
    <w:rsid w:val="00E305A3"/>
    <w:rsid w:val="00E3258A"/>
    <w:rsid w:val="00E32D3C"/>
    <w:rsid w:val="00E33F37"/>
    <w:rsid w:val="00E37EA3"/>
    <w:rsid w:val="00E40792"/>
    <w:rsid w:val="00E448BF"/>
    <w:rsid w:val="00E50A6B"/>
    <w:rsid w:val="00E52DD0"/>
    <w:rsid w:val="00E645EE"/>
    <w:rsid w:val="00E6497E"/>
    <w:rsid w:val="00E65CA7"/>
    <w:rsid w:val="00E67A70"/>
    <w:rsid w:val="00E701BC"/>
    <w:rsid w:val="00E7238E"/>
    <w:rsid w:val="00E74B20"/>
    <w:rsid w:val="00E848DE"/>
    <w:rsid w:val="00E878FC"/>
    <w:rsid w:val="00E9221F"/>
    <w:rsid w:val="00E927A6"/>
    <w:rsid w:val="00EA1D70"/>
    <w:rsid w:val="00EA2EEA"/>
    <w:rsid w:val="00EA2FB0"/>
    <w:rsid w:val="00EA3CE9"/>
    <w:rsid w:val="00EB1022"/>
    <w:rsid w:val="00EB2AB7"/>
    <w:rsid w:val="00EB65B8"/>
    <w:rsid w:val="00EC6A3B"/>
    <w:rsid w:val="00ED1987"/>
    <w:rsid w:val="00ED1A90"/>
    <w:rsid w:val="00ED576F"/>
    <w:rsid w:val="00ED616D"/>
    <w:rsid w:val="00ED6F4E"/>
    <w:rsid w:val="00EE4F43"/>
    <w:rsid w:val="00EF5815"/>
    <w:rsid w:val="00F02DA2"/>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 w:val="00FF6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rPr>
      <w:position w:val="6"/>
      <w:sz w:val="14"/>
      <w:szCs w:val="14"/>
    </w:rPr>
  </w:style>
  <w:style w:type="paragraph" w:styleId="a7">
    <w:name w:val="footnote text"/>
    <w:basedOn w:val="regpar"/>
    <w:link w:val="a8"/>
    <w:uiPriority w:val="99"/>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uiPriority w:val="59"/>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45ABEE9-3124-4E06-BD9C-8CF4F08E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12767</Characters>
  <Application>Microsoft Office Word</Application>
  <DocSecurity>4</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2025-01-06T11:52:00Z</dcterms:created>
  <dcterms:modified xsi:type="dcterms:W3CDTF">2025-01-06T11:52:00Z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