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515549">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41690A">
              <w:rPr>
                <w:rFonts w:cs="David" w:hint="cs"/>
                <w:sz w:val="24"/>
                <w:szCs w:val="24"/>
                <w:rtl/>
              </w:rPr>
              <w:t>כ</w:t>
            </w:r>
            <w:r w:rsidR="00515549">
              <w:rPr>
                <w:rFonts w:cs="David" w:hint="cs"/>
                <w:sz w:val="24"/>
                <w:szCs w:val="24"/>
                <w:rtl/>
              </w:rPr>
              <w:t>"ז</w:t>
            </w:r>
            <w:r w:rsidR="00081BCE">
              <w:rPr>
                <w:rFonts w:cs="David" w:hint="cs"/>
                <w:sz w:val="24"/>
                <w:szCs w:val="24"/>
                <w:rtl/>
              </w:rPr>
              <w:t xml:space="preserve"> בניסן</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41690A">
            <w:pPr>
              <w:bidi/>
              <w:spacing w:line="480" w:lineRule="auto"/>
              <w:jc w:val="right"/>
              <w:rPr>
                <w:rFonts w:cs="David"/>
                <w:sz w:val="24"/>
                <w:szCs w:val="24"/>
              </w:rPr>
            </w:pPr>
            <w:r>
              <w:rPr>
                <w:rFonts w:cs="David" w:hint="eastAsia"/>
                <w:sz w:val="24"/>
                <w:szCs w:val="24"/>
                <w:rtl/>
              </w:rPr>
              <w:t>‏‏</w:t>
            </w:r>
            <w:r w:rsidR="0041690A">
              <w:rPr>
                <w:rFonts w:cs="David" w:hint="cs"/>
                <w:sz w:val="24"/>
                <w:szCs w:val="24"/>
                <w:rtl/>
              </w:rPr>
              <w:t>27</w:t>
            </w:r>
            <w:r w:rsidR="00081BCE">
              <w:rPr>
                <w:rFonts w:cs="David" w:hint="cs"/>
                <w:sz w:val="24"/>
                <w:szCs w:val="24"/>
                <w:rtl/>
              </w:rPr>
              <w:t xml:space="preserve"> באפריל</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520BB4" w:rsidRDefault="00520BB4" w:rsidP="00520BB4">
      <w:pPr>
        <w:pStyle w:val="4"/>
        <w:bidi/>
        <w:spacing w:line="360" w:lineRule="auto"/>
        <w:rPr>
          <w:rFonts w:hint="cs"/>
          <w:color w:val="auto"/>
          <w:rtl/>
        </w:rPr>
      </w:pPr>
      <w:r>
        <w:rPr>
          <w:rFonts w:hint="cs"/>
          <w:color w:val="auto"/>
          <w:rtl/>
        </w:rPr>
        <w:t xml:space="preserve">המדד המשולב </w:t>
      </w:r>
      <w:r w:rsidRPr="001E6CA3">
        <w:rPr>
          <w:color w:val="auto"/>
          <w:rtl/>
        </w:rPr>
        <w:t>לחודש</w:t>
      </w:r>
      <w:r w:rsidRPr="001E6CA3">
        <w:rPr>
          <w:rFonts w:hint="cs"/>
          <w:color w:val="auto"/>
          <w:rtl/>
        </w:rPr>
        <w:t xml:space="preserve"> </w:t>
      </w:r>
      <w:r>
        <w:rPr>
          <w:rFonts w:hint="cs"/>
          <w:color w:val="auto"/>
          <w:rtl/>
        </w:rPr>
        <w:t xml:space="preserve">מרץ </w:t>
      </w:r>
      <w:r w:rsidRPr="001E6CA3">
        <w:rPr>
          <w:rFonts w:hint="cs"/>
          <w:color w:val="auto"/>
          <w:rtl/>
        </w:rPr>
        <w:t>201</w:t>
      </w:r>
      <w:r>
        <w:rPr>
          <w:rFonts w:hint="cs"/>
          <w:color w:val="auto"/>
          <w:rtl/>
        </w:rPr>
        <w:t>4</w:t>
      </w:r>
      <w:r w:rsidRPr="001E6CA3">
        <w:rPr>
          <w:rFonts w:hint="cs"/>
          <w:color w:val="auto"/>
          <w:rtl/>
        </w:rPr>
        <w:t xml:space="preserve"> </w:t>
      </w:r>
      <w:r>
        <w:rPr>
          <w:rFonts w:hint="cs"/>
          <w:color w:val="auto"/>
          <w:rtl/>
        </w:rPr>
        <w:t>עלה ב-0.1 אחוז</w:t>
      </w:r>
    </w:p>
    <w:p w:rsidR="00520BB4" w:rsidRPr="00520BB4" w:rsidRDefault="00520BB4" w:rsidP="00520BB4">
      <w:pPr>
        <w:bidi/>
        <w:spacing w:after="240" w:line="276" w:lineRule="auto"/>
        <w:ind w:right="-57"/>
        <w:jc w:val="both"/>
        <w:rPr>
          <w:rFonts w:cs="David"/>
          <w:i/>
          <w:sz w:val="24"/>
          <w:szCs w:val="24"/>
          <w:rtl/>
        </w:rPr>
      </w:pPr>
      <w:r w:rsidRPr="00520BB4">
        <w:rPr>
          <w:rFonts w:cs="David"/>
          <w:sz w:val="24"/>
          <w:szCs w:val="24"/>
          <w:rtl/>
        </w:rPr>
        <w:t>המדד המשולב למצב המשק בחודש מרץ עלה ב-0.1 אחוז, קצב נמוך במקצת בהשוואה לחצי השנה האחרונה. על אף התמתנות זו, המדד מצביע על המשך צמיחתו של המשק בקצב המתון שמאפיין אותו בשלוש השנים האחרונות. לעליית המדד החודש תרמו במיוחד העלייה במדד הייצור התעשייתי, העלייה במדד יבוא התשומות לייצור, העלייה ביצוא השירותים והעלייה בשיעור המשרות הפנויות. מנגד, הירידה החדה במדד יצוא הסחורות, הירידה במדד יבוא מוצרי הצריכה והירידה שחלה בחודשים הקודמים בהתחלות הבנייה מיתנו את קצב עליית המדד. החודש לא היו עדכונים של ממש בנתוני המדד לחודשים הקודמים (לוח 1). לוח 2 מציג את התפתחות רכיבי המדד בחודשים האחרונים.</w:t>
      </w:r>
    </w:p>
    <w:p w:rsidR="00520BB4" w:rsidRPr="00520BB4" w:rsidRDefault="00520BB4" w:rsidP="00520BB4">
      <w:pPr>
        <w:bidi/>
        <w:spacing w:after="240" w:line="276" w:lineRule="auto"/>
        <w:jc w:val="both"/>
        <w:rPr>
          <w:rFonts w:cs="David"/>
          <w:sz w:val="24"/>
          <w:szCs w:val="24"/>
          <w:rtl/>
        </w:rPr>
      </w:pPr>
      <w:r w:rsidRPr="00520BB4">
        <w:rPr>
          <w:rFonts w:cs="David"/>
          <w:sz w:val="24"/>
          <w:szCs w:val="24"/>
          <w:rtl/>
        </w:rPr>
        <w:t xml:space="preserve">החל מהחודש הבא יפורסם המדד המשולב למצב המשק ביום העבודה שלאחר פרסום מדדי הייצור התעשייתי, הפדיון, וייצוא השירותים על ידי הלשכה המרכזית לסטטיסטיקה. אי לכך, בחודש </w:t>
      </w:r>
      <w:bookmarkStart w:id="0" w:name="_GoBack"/>
      <w:bookmarkEnd w:id="0"/>
      <w:r w:rsidRPr="00520BB4">
        <w:rPr>
          <w:rFonts w:cs="David"/>
          <w:sz w:val="24"/>
          <w:szCs w:val="24"/>
          <w:rtl/>
        </w:rPr>
        <w:t>הבא יפורסם המדד המשולב ביום א, 25.5.14, ולא ביום ה, 22.5.14, בחודש שלאחר מכן יפורסם ביום א, 22.6.14 ולא ביום ה, 19.6.15, וכן הלאה.</w:t>
      </w:r>
    </w:p>
    <w:p w:rsidR="00520BB4" w:rsidRPr="00520BB4" w:rsidRDefault="00520BB4" w:rsidP="00520BB4">
      <w:pPr>
        <w:bidi/>
        <w:spacing w:line="276" w:lineRule="auto"/>
        <w:ind w:right="-57" w:firstLine="720"/>
        <w:jc w:val="center"/>
        <w:rPr>
          <w:rFonts w:cs="David"/>
          <w:b/>
          <w:bCs/>
          <w:i/>
          <w:sz w:val="26"/>
          <w:szCs w:val="26"/>
          <w:rtl/>
        </w:rPr>
      </w:pPr>
      <w:r w:rsidRPr="00520BB4">
        <w:rPr>
          <w:rFonts w:cs="David"/>
          <w:b/>
          <w:bCs/>
          <w:i/>
          <w:sz w:val="26"/>
          <w:szCs w:val="26"/>
          <w:rtl/>
        </w:rPr>
        <w:t>לוח 1: עדכונים לאחור במדד המשולב</w:t>
      </w:r>
    </w:p>
    <w:tbl>
      <w:tblPr>
        <w:bidiVisual/>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1547"/>
        <w:gridCol w:w="1989"/>
      </w:tblGrid>
      <w:tr w:rsidR="00520BB4" w:rsidRPr="008E14DD" w:rsidTr="00AB141B">
        <w:tblPrEx>
          <w:tblCellMar>
            <w:top w:w="0" w:type="dxa"/>
            <w:bottom w:w="0" w:type="dxa"/>
          </w:tblCellMar>
        </w:tblPrEx>
        <w:trPr>
          <w:trHeight w:hRule="exact" w:val="479"/>
          <w:jc w:val="center"/>
        </w:trPr>
        <w:tc>
          <w:tcPr>
            <w:tcW w:w="1326" w:type="dxa"/>
            <w:vAlign w:val="center"/>
          </w:tcPr>
          <w:p w:rsidR="00520BB4" w:rsidRPr="008E14DD" w:rsidRDefault="00520BB4" w:rsidP="00AB141B">
            <w:pPr>
              <w:pStyle w:val="a9"/>
              <w:spacing w:line="276" w:lineRule="auto"/>
              <w:ind w:left="0" w:firstLine="0"/>
              <w:jc w:val="center"/>
              <w:rPr>
                <w:rFonts w:hint="cs"/>
              </w:rPr>
            </w:pPr>
            <w:r w:rsidRPr="008E14DD">
              <w:rPr>
                <w:rFonts w:hint="cs"/>
                <w:b/>
                <w:bCs/>
                <w:rtl/>
              </w:rPr>
              <w:t xml:space="preserve">עדכון </w:t>
            </w:r>
            <w:r w:rsidRPr="008E14DD">
              <w:rPr>
                <w:b/>
                <w:bCs/>
                <w:rtl/>
              </w:rPr>
              <w:t>משולב (באחוזים)</w:t>
            </w:r>
          </w:p>
        </w:tc>
        <w:tc>
          <w:tcPr>
            <w:tcW w:w="1547" w:type="dxa"/>
            <w:vAlign w:val="center"/>
          </w:tcPr>
          <w:p w:rsidR="00520BB4" w:rsidRPr="008E14DD" w:rsidRDefault="00520BB4" w:rsidP="00AB141B">
            <w:pPr>
              <w:pStyle w:val="a9"/>
              <w:spacing w:line="276" w:lineRule="auto"/>
              <w:ind w:left="0" w:firstLine="0"/>
              <w:jc w:val="center"/>
              <w:rPr>
                <w:rFonts w:hint="cs"/>
                <w:u w:val="single"/>
              </w:rPr>
            </w:pPr>
            <w:r w:rsidRPr="008E14DD">
              <w:rPr>
                <w:rFonts w:hint="cs"/>
                <w:u w:val="single"/>
                <w:rtl/>
              </w:rPr>
              <w:t>נתון קודם</w:t>
            </w:r>
          </w:p>
        </w:tc>
        <w:tc>
          <w:tcPr>
            <w:tcW w:w="1989" w:type="dxa"/>
            <w:vAlign w:val="center"/>
          </w:tcPr>
          <w:p w:rsidR="00520BB4" w:rsidRPr="008E14DD" w:rsidRDefault="00520BB4" w:rsidP="00AB141B">
            <w:pPr>
              <w:pStyle w:val="a9"/>
              <w:tabs>
                <w:tab w:val="center" w:pos="886"/>
              </w:tabs>
              <w:spacing w:line="276" w:lineRule="auto"/>
              <w:ind w:left="0" w:firstLine="0"/>
              <w:jc w:val="center"/>
              <w:rPr>
                <w:rFonts w:hint="cs"/>
                <w:u w:val="single"/>
                <w:rtl/>
              </w:rPr>
            </w:pPr>
            <w:r w:rsidRPr="008E14DD">
              <w:rPr>
                <w:rFonts w:hint="cs"/>
                <w:u w:val="single"/>
                <w:rtl/>
              </w:rPr>
              <w:t>נתון חדש</w:t>
            </w:r>
          </w:p>
        </w:tc>
      </w:tr>
      <w:tr w:rsidR="00520BB4" w:rsidRPr="008E14DD" w:rsidTr="00AB141B">
        <w:tblPrEx>
          <w:tblCellMar>
            <w:top w:w="0" w:type="dxa"/>
            <w:bottom w:w="0" w:type="dxa"/>
          </w:tblCellMar>
        </w:tblPrEx>
        <w:trPr>
          <w:trHeight w:hRule="exact" w:val="397"/>
          <w:jc w:val="center"/>
        </w:trPr>
        <w:tc>
          <w:tcPr>
            <w:tcW w:w="1326" w:type="dxa"/>
            <w:vAlign w:val="bottom"/>
          </w:tcPr>
          <w:p w:rsidR="00520BB4" w:rsidRPr="00520BB4" w:rsidRDefault="00520BB4" w:rsidP="00AB141B">
            <w:pPr>
              <w:bidi/>
              <w:spacing w:line="276" w:lineRule="auto"/>
              <w:rPr>
                <w:rFonts w:cs="David"/>
                <w:sz w:val="24"/>
                <w:szCs w:val="24"/>
                <w:rtl/>
              </w:rPr>
            </w:pPr>
            <w:r w:rsidRPr="00520BB4">
              <w:rPr>
                <w:rFonts w:cs="David"/>
                <w:sz w:val="24"/>
                <w:szCs w:val="24"/>
                <w:rtl/>
              </w:rPr>
              <w:t>מרץ</w:t>
            </w:r>
          </w:p>
        </w:tc>
        <w:tc>
          <w:tcPr>
            <w:tcW w:w="1547" w:type="dxa"/>
            <w:vAlign w:val="bottom"/>
          </w:tcPr>
          <w:p w:rsidR="00520BB4" w:rsidRDefault="00520BB4" w:rsidP="00AB141B">
            <w:pPr>
              <w:pStyle w:val="a9"/>
              <w:spacing w:after="0" w:line="276" w:lineRule="auto"/>
              <w:ind w:left="0" w:firstLine="0"/>
              <w:jc w:val="center"/>
              <w:rPr>
                <w:rFonts w:cs="Times New Roman" w:hint="cs"/>
                <w:rtl/>
              </w:rPr>
            </w:pPr>
          </w:p>
        </w:tc>
        <w:tc>
          <w:tcPr>
            <w:tcW w:w="1989"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0.13</w:t>
            </w:r>
          </w:p>
        </w:tc>
      </w:tr>
      <w:tr w:rsidR="00520BB4" w:rsidRPr="008E14DD" w:rsidTr="00AB141B">
        <w:tblPrEx>
          <w:tblCellMar>
            <w:top w:w="0" w:type="dxa"/>
            <w:bottom w:w="0" w:type="dxa"/>
          </w:tblCellMar>
        </w:tblPrEx>
        <w:trPr>
          <w:trHeight w:hRule="exact" w:val="397"/>
          <w:jc w:val="center"/>
        </w:trPr>
        <w:tc>
          <w:tcPr>
            <w:tcW w:w="1326" w:type="dxa"/>
            <w:vAlign w:val="bottom"/>
          </w:tcPr>
          <w:p w:rsidR="00520BB4" w:rsidRPr="00520BB4" w:rsidRDefault="00520BB4" w:rsidP="00AB141B">
            <w:pPr>
              <w:bidi/>
              <w:spacing w:line="276" w:lineRule="auto"/>
              <w:rPr>
                <w:rFonts w:cs="David"/>
                <w:sz w:val="24"/>
                <w:szCs w:val="24"/>
                <w:rtl/>
              </w:rPr>
            </w:pPr>
            <w:r w:rsidRPr="00520BB4">
              <w:rPr>
                <w:rFonts w:cs="David"/>
                <w:sz w:val="24"/>
                <w:szCs w:val="24"/>
                <w:rtl/>
              </w:rPr>
              <w:t>פברואר</w:t>
            </w:r>
          </w:p>
        </w:tc>
        <w:tc>
          <w:tcPr>
            <w:tcW w:w="1547"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0.22</w:t>
            </w:r>
          </w:p>
        </w:tc>
        <w:tc>
          <w:tcPr>
            <w:tcW w:w="1989"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0.23</w:t>
            </w:r>
          </w:p>
        </w:tc>
      </w:tr>
      <w:tr w:rsidR="00520BB4" w:rsidRPr="008E14DD" w:rsidTr="00AB141B">
        <w:tblPrEx>
          <w:tblCellMar>
            <w:top w:w="0" w:type="dxa"/>
            <w:bottom w:w="0" w:type="dxa"/>
          </w:tblCellMar>
        </w:tblPrEx>
        <w:trPr>
          <w:trHeight w:hRule="exact" w:val="397"/>
          <w:jc w:val="center"/>
        </w:trPr>
        <w:tc>
          <w:tcPr>
            <w:tcW w:w="1326" w:type="dxa"/>
            <w:vAlign w:val="bottom"/>
          </w:tcPr>
          <w:p w:rsidR="00520BB4" w:rsidRPr="00520BB4" w:rsidRDefault="00520BB4" w:rsidP="00AB141B">
            <w:pPr>
              <w:bidi/>
              <w:spacing w:line="276" w:lineRule="auto"/>
              <w:rPr>
                <w:rFonts w:cs="David"/>
                <w:sz w:val="24"/>
                <w:szCs w:val="24"/>
                <w:rtl/>
              </w:rPr>
            </w:pPr>
            <w:r w:rsidRPr="00520BB4">
              <w:rPr>
                <w:rFonts w:cs="David"/>
                <w:sz w:val="24"/>
                <w:szCs w:val="24"/>
                <w:rtl/>
              </w:rPr>
              <w:t>ינואר</w:t>
            </w:r>
          </w:p>
        </w:tc>
        <w:tc>
          <w:tcPr>
            <w:tcW w:w="1547"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0.31</w:t>
            </w:r>
          </w:p>
        </w:tc>
        <w:tc>
          <w:tcPr>
            <w:tcW w:w="1989"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0.28</w:t>
            </w:r>
          </w:p>
        </w:tc>
      </w:tr>
      <w:tr w:rsidR="00520BB4" w:rsidRPr="008E14DD" w:rsidTr="00AB141B">
        <w:tblPrEx>
          <w:tblCellMar>
            <w:top w:w="0" w:type="dxa"/>
            <w:bottom w:w="0" w:type="dxa"/>
          </w:tblCellMar>
        </w:tblPrEx>
        <w:trPr>
          <w:trHeight w:val="57"/>
          <w:jc w:val="center"/>
        </w:trPr>
        <w:tc>
          <w:tcPr>
            <w:tcW w:w="1326" w:type="dxa"/>
            <w:vAlign w:val="bottom"/>
          </w:tcPr>
          <w:p w:rsidR="00520BB4" w:rsidRPr="00520BB4" w:rsidRDefault="00520BB4" w:rsidP="00AB141B">
            <w:pPr>
              <w:bidi/>
              <w:spacing w:line="276" w:lineRule="auto"/>
              <w:rPr>
                <w:rFonts w:cs="David"/>
                <w:sz w:val="24"/>
                <w:szCs w:val="24"/>
                <w:rtl/>
              </w:rPr>
            </w:pPr>
            <w:r w:rsidRPr="00520BB4">
              <w:rPr>
                <w:rFonts w:cs="David"/>
                <w:sz w:val="24"/>
                <w:szCs w:val="24"/>
                <w:rtl/>
              </w:rPr>
              <w:t>דצמבר</w:t>
            </w:r>
          </w:p>
        </w:tc>
        <w:tc>
          <w:tcPr>
            <w:tcW w:w="1547"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0.22</w:t>
            </w:r>
          </w:p>
        </w:tc>
        <w:tc>
          <w:tcPr>
            <w:tcW w:w="1989" w:type="dxa"/>
            <w:vAlign w:val="bottom"/>
          </w:tcPr>
          <w:p w:rsidR="00520BB4" w:rsidRDefault="00520BB4" w:rsidP="00AB141B">
            <w:pPr>
              <w:pStyle w:val="a9"/>
              <w:spacing w:after="0" w:line="276" w:lineRule="auto"/>
              <w:ind w:left="0" w:firstLine="0"/>
              <w:jc w:val="center"/>
              <w:rPr>
                <w:rFonts w:cs="Times New Roman" w:hint="cs"/>
                <w:rtl/>
              </w:rPr>
            </w:pPr>
            <w:r>
              <w:rPr>
                <w:rFonts w:cs="Times New Roman" w:hint="cs"/>
                <w:rtl/>
              </w:rPr>
              <w:t>0.21</w:t>
            </w:r>
          </w:p>
        </w:tc>
      </w:tr>
    </w:tbl>
    <w:p w:rsidR="00520BB4" w:rsidRDefault="00520BB4" w:rsidP="00520BB4">
      <w:pPr>
        <w:autoSpaceDE w:val="0"/>
        <w:autoSpaceDN w:val="0"/>
        <w:bidi/>
        <w:adjustRightInd w:val="0"/>
        <w:spacing w:line="480" w:lineRule="auto"/>
        <w:rPr>
          <w:rFonts w:cs="David"/>
          <w:b/>
          <w:bCs/>
          <w:i/>
          <w:rtl/>
        </w:rPr>
      </w:pPr>
    </w:p>
    <w:p w:rsidR="00520BB4" w:rsidRPr="00520BB4" w:rsidRDefault="00520BB4" w:rsidP="00520BB4">
      <w:pPr>
        <w:autoSpaceDE w:val="0"/>
        <w:autoSpaceDN w:val="0"/>
        <w:bidi/>
        <w:adjustRightInd w:val="0"/>
        <w:jc w:val="center"/>
        <w:rPr>
          <w:rFonts w:cs="David"/>
          <w:b/>
          <w:bCs/>
          <w:i/>
          <w:sz w:val="26"/>
          <w:szCs w:val="26"/>
          <w:rtl/>
        </w:rPr>
      </w:pPr>
      <w:r w:rsidRPr="00520BB4">
        <w:rPr>
          <w:rFonts w:cs="David"/>
          <w:b/>
          <w:bCs/>
          <w:i/>
          <w:sz w:val="26"/>
          <w:szCs w:val="26"/>
          <w:rtl/>
        </w:rPr>
        <w:t>לוח 2: השינויים ברכיבי המדד בחודשים האחרונים</w:t>
      </w:r>
    </w:p>
    <w:p w:rsidR="00520BB4" w:rsidRPr="00520BB4" w:rsidRDefault="00520BB4" w:rsidP="00520BB4">
      <w:pPr>
        <w:autoSpaceDE w:val="0"/>
        <w:autoSpaceDN w:val="0"/>
        <w:bidi/>
        <w:adjustRightInd w:val="0"/>
        <w:jc w:val="center"/>
        <w:rPr>
          <w:rFonts w:cs="David"/>
          <w:i/>
          <w:rtl/>
        </w:rPr>
      </w:pPr>
      <w:r w:rsidRPr="00520BB4">
        <w:rPr>
          <w:rFonts w:cs="David"/>
          <w:i/>
          <w:rtl/>
        </w:rPr>
        <w:t>(שיעורי שינוי חודשיים  באחוזים, אלא אם כן צוין אחרת)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2"/>
        <w:gridCol w:w="992"/>
        <w:gridCol w:w="934"/>
        <w:gridCol w:w="727"/>
        <w:gridCol w:w="857"/>
      </w:tblGrid>
      <w:tr w:rsidR="00520BB4" w:rsidRPr="00A32AFE" w:rsidTr="00520BB4">
        <w:tc>
          <w:tcPr>
            <w:tcW w:w="5012" w:type="dxa"/>
            <w:shd w:val="clear" w:color="auto" w:fill="auto"/>
          </w:tcPr>
          <w:p w:rsidR="00520BB4" w:rsidRPr="00A32AFE" w:rsidRDefault="00520BB4" w:rsidP="00AB141B">
            <w:pPr>
              <w:autoSpaceDE w:val="0"/>
              <w:autoSpaceDN w:val="0"/>
              <w:bidi/>
              <w:adjustRightInd w:val="0"/>
              <w:jc w:val="center"/>
              <w:rPr>
                <w:rFonts w:cs="David"/>
                <w:i/>
                <w:rtl/>
              </w:rPr>
            </w:pPr>
          </w:p>
        </w:tc>
        <w:tc>
          <w:tcPr>
            <w:tcW w:w="992" w:type="dxa"/>
            <w:shd w:val="clear" w:color="auto" w:fill="auto"/>
          </w:tcPr>
          <w:p w:rsidR="00520BB4" w:rsidRPr="00520BB4" w:rsidRDefault="00520BB4" w:rsidP="00AB141B">
            <w:pPr>
              <w:autoSpaceDE w:val="0"/>
              <w:autoSpaceDN w:val="0"/>
              <w:bidi/>
              <w:adjustRightInd w:val="0"/>
              <w:jc w:val="center"/>
              <w:rPr>
                <w:rFonts w:cs="David"/>
                <w:b/>
                <w:bCs/>
                <w:i/>
                <w:sz w:val="26"/>
                <w:szCs w:val="26"/>
                <w:rtl/>
              </w:rPr>
            </w:pPr>
            <w:r w:rsidRPr="00520BB4">
              <w:rPr>
                <w:rFonts w:cs="David"/>
                <w:b/>
                <w:bCs/>
                <w:i/>
                <w:sz w:val="26"/>
                <w:szCs w:val="26"/>
                <w:rtl/>
              </w:rPr>
              <w:t>מרץ</w:t>
            </w:r>
          </w:p>
        </w:tc>
        <w:tc>
          <w:tcPr>
            <w:tcW w:w="934" w:type="dxa"/>
            <w:shd w:val="clear" w:color="auto" w:fill="auto"/>
          </w:tcPr>
          <w:p w:rsidR="00520BB4" w:rsidRPr="00520BB4" w:rsidRDefault="00520BB4" w:rsidP="00AB141B">
            <w:pPr>
              <w:autoSpaceDE w:val="0"/>
              <w:autoSpaceDN w:val="0"/>
              <w:bidi/>
              <w:adjustRightInd w:val="0"/>
              <w:jc w:val="center"/>
              <w:rPr>
                <w:rFonts w:cs="David"/>
                <w:b/>
                <w:bCs/>
                <w:i/>
                <w:sz w:val="24"/>
                <w:szCs w:val="24"/>
                <w:rtl/>
              </w:rPr>
            </w:pPr>
            <w:r w:rsidRPr="00520BB4">
              <w:rPr>
                <w:rFonts w:cs="David"/>
                <w:b/>
                <w:bCs/>
                <w:i/>
                <w:sz w:val="24"/>
                <w:szCs w:val="24"/>
                <w:rtl/>
              </w:rPr>
              <w:t>פברואר</w:t>
            </w:r>
          </w:p>
        </w:tc>
        <w:tc>
          <w:tcPr>
            <w:tcW w:w="727" w:type="dxa"/>
            <w:shd w:val="clear" w:color="auto" w:fill="auto"/>
          </w:tcPr>
          <w:p w:rsidR="00520BB4" w:rsidRPr="00520BB4" w:rsidRDefault="00520BB4" w:rsidP="00AB141B">
            <w:pPr>
              <w:autoSpaceDE w:val="0"/>
              <w:autoSpaceDN w:val="0"/>
              <w:bidi/>
              <w:adjustRightInd w:val="0"/>
              <w:jc w:val="center"/>
              <w:rPr>
                <w:rFonts w:cs="David"/>
                <w:b/>
                <w:bCs/>
                <w:i/>
                <w:sz w:val="26"/>
                <w:szCs w:val="26"/>
                <w:rtl/>
              </w:rPr>
            </w:pPr>
            <w:r w:rsidRPr="00520BB4">
              <w:rPr>
                <w:rFonts w:cs="David"/>
                <w:b/>
                <w:bCs/>
                <w:i/>
                <w:sz w:val="26"/>
                <w:szCs w:val="26"/>
                <w:rtl/>
              </w:rPr>
              <w:t>ינואר</w:t>
            </w:r>
          </w:p>
        </w:tc>
        <w:tc>
          <w:tcPr>
            <w:tcW w:w="857" w:type="dxa"/>
            <w:shd w:val="clear" w:color="auto" w:fill="auto"/>
          </w:tcPr>
          <w:p w:rsidR="00520BB4" w:rsidRPr="00520BB4" w:rsidRDefault="00520BB4" w:rsidP="00AB141B">
            <w:pPr>
              <w:autoSpaceDE w:val="0"/>
              <w:autoSpaceDN w:val="0"/>
              <w:bidi/>
              <w:adjustRightInd w:val="0"/>
              <w:jc w:val="center"/>
              <w:rPr>
                <w:rFonts w:cs="David"/>
                <w:b/>
                <w:bCs/>
                <w:i/>
                <w:sz w:val="26"/>
                <w:szCs w:val="26"/>
                <w:rtl/>
              </w:rPr>
            </w:pPr>
            <w:r w:rsidRPr="00520BB4">
              <w:rPr>
                <w:rFonts w:cs="David"/>
                <w:b/>
                <w:bCs/>
                <w:i/>
                <w:sz w:val="26"/>
                <w:szCs w:val="26"/>
                <w:rtl/>
              </w:rPr>
              <w:t>דצמבר</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מדד הייצור התעשייתי</w:t>
            </w:r>
            <w:r w:rsidRPr="00520BB4">
              <w:rPr>
                <w:rFonts w:cs="David"/>
                <w:i/>
                <w:sz w:val="24"/>
                <w:szCs w:val="24"/>
                <w:rtl/>
              </w:rPr>
              <w:t xml:space="preserve"> (ללא כריה וחציבה)</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3.37</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-1.43</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2.01</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מדד הפדיון בשירותים</w:t>
            </w:r>
            <w:r w:rsidRPr="00520BB4">
              <w:rPr>
                <w:rFonts w:cs="David"/>
                <w:i/>
                <w:sz w:val="24"/>
                <w:szCs w:val="24"/>
                <w:rtl/>
              </w:rPr>
              <w:t xml:space="preserve"> (ללא פיננסים, חינוך, </w:t>
            </w:r>
            <w:proofErr w:type="spellStart"/>
            <w:r w:rsidRPr="00520BB4">
              <w:rPr>
                <w:rFonts w:cs="David"/>
                <w:i/>
                <w:sz w:val="24"/>
                <w:szCs w:val="24"/>
                <w:rtl/>
              </w:rPr>
              <w:t>ומינהל</w:t>
            </w:r>
            <w:proofErr w:type="spellEnd"/>
            <w:r w:rsidRPr="00520BB4">
              <w:rPr>
                <w:rFonts w:cs="David"/>
                <w:i/>
                <w:sz w:val="24"/>
                <w:szCs w:val="24"/>
                <w:rtl/>
              </w:rPr>
              <w:t xml:space="preserve"> ציבורי)</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-0.98</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3.26</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-0.91</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מדד הפדיון במסחר</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0.08</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1.24</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-0.05</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יבוא מוצרי הצריכה</w:t>
            </w:r>
            <w:r w:rsidRPr="00520BB4">
              <w:rPr>
                <w:rFonts w:cs="David"/>
                <w:sz w:val="24"/>
                <w:szCs w:val="24"/>
                <w:vertAlign w:val="superscript"/>
                <w:rtl/>
              </w:rPr>
              <w:t>3</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-1.35</w:t>
            </w: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0.39</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2.13</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0.58</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 xml:space="preserve">יבוא התשומות לייצור (ללא </w:t>
            </w:r>
            <w:proofErr w:type="spellStart"/>
            <w:r w:rsidRPr="00520BB4">
              <w:rPr>
                <w:rFonts w:cs="David"/>
                <w:sz w:val="24"/>
                <w:szCs w:val="24"/>
                <w:rtl/>
              </w:rPr>
              <w:t>דלקים</w:t>
            </w:r>
            <w:proofErr w:type="spellEnd"/>
            <w:r w:rsidRPr="00520BB4">
              <w:rPr>
                <w:rFonts w:cs="David"/>
                <w:sz w:val="24"/>
                <w:szCs w:val="24"/>
                <w:rtl/>
              </w:rPr>
              <w:t>)</w:t>
            </w:r>
            <w:r w:rsidRPr="00520BB4">
              <w:rPr>
                <w:rFonts w:cs="David"/>
                <w:sz w:val="24"/>
                <w:szCs w:val="24"/>
                <w:vertAlign w:val="superscript"/>
                <w:rtl/>
              </w:rPr>
              <w:t xml:space="preserve"> 3</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2.04</w:t>
            </w: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-2.43</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3.77</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-1.48</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יצוא הסחורות</w:t>
            </w:r>
            <w:r w:rsidRPr="00520BB4">
              <w:rPr>
                <w:rFonts w:cs="David"/>
                <w:i/>
                <w:sz w:val="24"/>
                <w:szCs w:val="24"/>
                <w:rtl/>
              </w:rPr>
              <w:t xml:space="preserve"> (ללא חקלאות)</w:t>
            </w:r>
            <w:r w:rsidRPr="00520BB4">
              <w:rPr>
                <w:rFonts w:cs="David"/>
                <w:sz w:val="24"/>
                <w:szCs w:val="24"/>
                <w:vertAlign w:val="superscript"/>
                <w:rtl/>
              </w:rPr>
              <w:t xml:space="preserve"> 3</w:t>
            </w:r>
          </w:p>
        </w:tc>
        <w:tc>
          <w:tcPr>
            <w:tcW w:w="992" w:type="dxa"/>
            <w:shd w:val="clear" w:color="auto" w:fill="auto"/>
            <w:vAlign w:val="bottom"/>
          </w:tcPr>
          <w:p w:rsidR="00520BB4" w:rsidRPr="00520BB4" w:rsidRDefault="00520BB4" w:rsidP="00520BB4">
            <w:pPr>
              <w:bidi/>
              <w:rPr>
                <w:rFonts w:ascii="Arial" w:hAnsi="Arial" w:cs="David" w:hint="cs"/>
                <w:color w:val="000000"/>
                <w:sz w:val="22"/>
                <w:szCs w:val="22"/>
                <w:rtl/>
              </w:rPr>
            </w:pPr>
            <w:r w:rsidRPr="00520BB4">
              <w:rPr>
                <w:rFonts w:ascii="Arial" w:hAnsi="Arial" w:cs="David"/>
                <w:color w:val="000000"/>
                <w:sz w:val="22"/>
                <w:szCs w:val="22"/>
              </w:rPr>
              <w:t>-16.69</w:t>
            </w: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4.71</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7.60</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-5.57</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יצוא השירותים</w:t>
            </w:r>
            <w:r w:rsidRPr="00520BB4">
              <w:rPr>
                <w:rFonts w:cs="David"/>
                <w:i/>
                <w:sz w:val="24"/>
                <w:szCs w:val="24"/>
                <w:rtl/>
              </w:rPr>
              <w:t xml:space="preserve"> (ללא תחבורה)</w:t>
            </w:r>
            <w:r w:rsidRPr="00520BB4">
              <w:rPr>
                <w:rFonts w:cs="David"/>
                <w:sz w:val="24"/>
                <w:szCs w:val="24"/>
                <w:vertAlign w:val="superscript"/>
                <w:rtl/>
              </w:rPr>
              <w:t xml:space="preserve"> 3</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2.04</w:t>
            </w: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-4.69</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7.37</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3.99</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משרות השכיר – במגזר הפרטי</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-0.27</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0.34</w:t>
            </w:r>
          </w:p>
        </w:tc>
      </w:tr>
      <w:tr w:rsidR="00520BB4" w:rsidRPr="00A32AFE" w:rsidTr="00520BB4">
        <w:tc>
          <w:tcPr>
            <w:tcW w:w="5012" w:type="dxa"/>
            <w:shd w:val="clear" w:color="auto" w:fill="auto"/>
          </w:tcPr>
          <w:p w:rsidR="00520BB4" w:rsidRPr="00520BB4" w:rsidRDefault="00520BB4" w:rsidP="00AB141B">
            <w:pPr>
              <w:autoSpaceDE w:val="0"/>
              <w:autoSpaceDN w:val="0"/>
              <w:bidi/>
              <w:adjustRightInd w:val="0"/>
              <w:rPr>
                <w:rFonts w:cs="David"/>
                <w:i/>
                <w:sz w:val="24"/>
                <w:szCs w:val="24"/>
                <w:rtl/>
              </w:rPr>
            </w:pPr>
            <w:r w:rsidRPr="00520BB4">
              <w:rPr>
                <w:rFonts w:cs="David"/>
                <w:sz w:val="24"/>
                <w:szCs w:val="24"/>
                <w:rtl/>
              </w:rPr>
              <w:t>שיעור המשרות הפנויות מסך המועסקים במגזר העסקי</w:t>
            </w:r>
            <w:r w:rsidRPr="00520BB4">
              <w:rPr>
                <w:rFonts w:cs="David"/>
                <w:sz w:val="24"/>
                <w:szCs w:val="24"/>
                <w:vertAlign w:val="superscript"/>
                <w:rtl/>
              </w:rPr>
              <w:t>1</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2.70</w:t>
            </w: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2.61</w:t>
            </w: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2.60</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2.61</w:t>
            </w:r>
          </w:p>
        </w:tc>
      </w:tr>
      <w:tr w:rsidR="00520BB4" w:rsidRPr="00A32AFE" w:rsidTr="00520BB4">
        <w:tc>
          <w:tcPr>
            <w:tcW w:w="5012" w:type="dxa"/>
            <w:shd w:val="clear" w:color="auto" w:fill="auto"/>
            <w:vAlign w:val="bottom"/>
          </w:tcPr>
          <w:p w:rsidR="00520BB4" w:rsidRPr="00520BB4" w:rsidRDefault="00520BB4" w:rsidP="00520BB4">
            <w:pPr>
              <w:autoSpaceDE w:val="0"/>
              <w:autoSpaceDN w:val="0"/>
              <w:bidi/>
              <w:adjustRightInd w:val="0"/>
              <w:rPr>
                <w:rFonts w:cs="David" w:hint="cs"/>
                <w:sz w:val="24"/>
                <w:szCs w:val="24"/>
                <w:rtl/>
              </w:rPr>
            </w:pPr>
            <w:r w:rsidRPr="00520BB4">
              <w:rPr>
                <w:rFonts w:cs="David"/>
                <w:sz w:val="24"/>
                <w:szCs w:val="24"/>
                <w:rtl/>
              </w:rPr>
              <w:t>התחלות הבנייה</w:t>
            </w:r>
            <w:r w:rsidRPr="00520BB4">
              <w:rPr>
                <w:rFonts w:cs="David"/>
                <w:sz w:val="24"/>
                <w:szCs w:val="24"/>
                <w:vertAlign w:val="superscript"/>
                <w:rtl/>
              </w:rPr>
              <w:t>2</w:t>
            </w:r>
          </w:p>
        </w:tc>
        <w:tc>
          <w:tcPr>
            <w:tcW w:w="992" w:type="dxa"/>
            <w:shd w:val="clear" w:color="auto" w:fill="auto"/>
            <w:vAlign w:val="bottom"/>
          </w:tcPr>
          <w:p w:rsidR="00520BB4" w:rsidRPr="00520BB4" w:rsidRDefault="00520BB4" w:rsidP="00520BB4">
            <w:pPr>
              <w:bidi/>
              <w:rPr>
                <w:rFonts w:ascii="Arial" w:hAnsi="Arial" w:cs="David"/>
                <w:color w:val="000000"/>
                <w:sz w:val="22"/>
                <w:szCs w:val="22"/>
              </w:rPr>
            </w:pPr>
          </w:p>
        </w:tc>
        <w:tc>
          <w:tcPr>
            <w:tcW w:w="934" w:type="dxa"/>
            <w:shd w:val="clear" w:color="auto" w:fill="auto"/>
            <w:vAlign w:val="bottom"/>
          </w:tcPr>
          <w:p w:rsidR="00520BB4" w:rsidRPr="00520BB4" w:rsidRDefault="00520BB4" w:rsidP="00520BB4">
            <w:pPr>
              <w:bidi/>
              <w:rPr>
                <w:rFonts w:ascii="Arial" w:hAnsi="Arial" w:cs="David"/>
                <w:color w:val="000000"/>
                <w:sz w:val="22"/>
                <w:szCs w:val="22"/>
              </w:rPr>
            </w:pPr>
          </w:p>
        </w:tc>
        <w:tc>
          <w:tcPr>
            <w:tcW w:w="72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-3.13</w:t>
            </w:r>
          </w:p>
        </w:tc>
        <w:tc>
          <w:tcPr>
            <w:tcW w:w="857" w:type="dxa"/>
            <w:shd w:val="clear" w:color="auto" w:fill="auto"/>
            <w:vAlign w:val="bottom"/>
          </w:tcPr>
          <w:p w:rsidR="00520BB4" w:rsidRPr="00520BB4" w:rsidRDefault="00520BB4" w:rsidP="00520BB4">
            <w:pPr>
              <w:bidi/>
              <w:rPr>
                <w:rFonts w:ascii="Arial" w:hAnsi="Arial" w:cs="David"/>
                <w:color w:val="000000"/>
                <w:sz w:val="22"/>
                <w:szCs w:val="22"/>
              </w:rPr>
            </w:pPr>
            <w:r w:rsidRPr="00520BB4">
              <w:rPr>
                <w:rFonts w:ascii="Arial" w:hAnsi="Arial" w:cs="David"/>
                <w:color w:val="000000"/>
                <w:sz w:val="22"/>
                <w:szCs w:val="22"/>
              </w:rPr>
              <w:t>-2.08</w:t>
            </w:r>
          </w:p>
        </w:tc>
      </w:tr>
    </w:tbl>
    <w:p w:rsidR="00520BB4" w:rsidRDefault="00520BB4" w:rsidP="00520BB4">
      <w:pPr>
        <w:numPr>
          <w:ilvl w:val="0"/>
          <w:numId w:val="1"/>
        </w:numPr>
        <w:autoSpaceDE w:val="0"/>
        <w:autoSpaceDN w:val="0"/>
        <w:bidi/>
        <w:adjustRightInd w:val="0"/>
        <w:rPr>
          <w:rFonts w:cs="David"/>
          <w:i/>
          <w:rtl/>
        </w:rPr>
      </w:pPr>
      <w:r>
        <w:rPr>
          <w:rFonts w:cs="David"/>
          <w:i/>
          <w:rtl/>
        </w:rPr>
        <w:t>שיעור המשרות הפנויות נכלל במדד ברמתו, מנוכה עונתיות ומוחלק.</w:t>
      </w:r>
    </w:p>
    <w:p w:rsidR="00520BB4" w:rsidRDefault="00520BB4" w:rsidP="00520BB4">
      <w:pPr>
        <w:numPr>
          <w:ilvl w:val="0"/>
          <w:numId w:val="1"/>
        </w:numPr>
        <w:autoSpaceDE w:val="0"/>
        <w:autoSpaceDN w:val="0"/>
        <w:bidi/>
        <w:adjustRightInd w:val="0"/>
        <w:rPr>
          <w:rFonts w:cs="David"/>
          <w:i/>
        </w:rPr>
      </w:pPr>
      <w:r>
        <w:rPr>
          <w:rFonts w:cs="David"/>
          <w:i/>
          <w:rtl/>
        </w:rPr>
        <w:t>ממוצע נע לשישה חודשים.</w:t>
      </w:r>
    </w:p>
    <w:p w:rsidR="00520BB4" w:rsidRPr="00B62779" w:rsidRDefault="00520BB4" w:rsidP="00520BB4">
      <w:pPr>
        <w:numPr>
          <w:ilvl w:val="0"/>
          <w:numId w:val="1"/>
        </w:numPr>
        <w:autoSpaceDE w:val="0"/>
        <w:autoSpaceDN w:val="0"/>
        <w:bidi/>
        <w:adjustRightInd w:val="0"/>
        <w:rPr>
          <w:rFonts w:cs="David"/>
          <w:i/>
          <w:rtl/>
        </w:rPr>
      </w:pPr>
      <w:r w:rsidRPr="00B62779">
        <w:rPr>
          <w:rFonts w:cs="David"/>
          <w:i/>
          <w:rtl/>
        </w:rPr>
        <w:t>מדדי סחר החוץ הם כמותיים</w:t>
      </w:r>
      <w:r>
        <w:rPr>
          <w:rFonts w:cs="David"/>
          <w:i/>
          <w:rtl/>
        </w:rPr>
        <w:t xml:space="preserve"> (בשונה ממדדי סחר החוץ החודשיים של הלמ"ס)</w:t>
      </w:r>
      <w:r w:rsidRPr="00B62779">
        <w:rPr>
          <w:rFonts w:cs="David"/>
          <w:i/>
          <w:rtl/>
        </w:rPr>
        <w:t>.</w:t>
      </w:r>
    </w:p>
    <w:p w:rsidR="00C04A6B" w:rsidRPr="007E18EE" w:rsidRDefault="00520BB4" w:rsidP="00520BB4">
      <w:pPr>
        <w:pStyle w:val="a9"/>
        <w:spacing w:before="240" w:after="0" w:line="240" w:lineRule="auto"/>
        <w:ind w:left="0" w:right="-180" w:firstLine="0"/>
        <w:rPr>
          <w:sz w:val="24"/>
        </w:rPr>
      </w:pPr>
      <w:r w:rsidRPr="001E6CA3">
        <w:rPr>
          <w:rFonts w:hint="cs"/>
          <w:rtl/>
        </w:rPr>
        <w:t xml:space="preserve">כתובתנו באתר: </w:t>
      </w:r>
      <w:hyperlink r:id="rId10" w:history="1">
        <w:r>
          <w:rPr>
            <w:rStyle w:val="Hyperlink"/>
          </w:rPr>
          <w:t>http://www.boi.org.il/he/Rese</w:t>
        </w:r>
        <w:r>
          <w:rPr>
            <w:rStyle w:val="Hyperlink"/>
          </w:rPr>
          <w:t>a</w:t>
        </w:r>
        <w:r>
          <w:rPr>
            <w:rStyle w:val="Hyperlink"/>
          </w:rPr>
          <w:t>rch/Pages/ind.aspx</w:t>
        </w:r>
      </w:hyperlink>
    </w:p>
    <w:sectPr w:rsidR="00C04A6B" w:rsidRPr="007E18EE" w:rsidSect="00AE591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115A82"/>
    <w:rsid w:val="00177686"/>
    <w:rsid w:val="00180E8A"/>
    <w:rsid w:val="001B5E0C"/>
    <w:rsid w:val="001D7646"/>
    <w:rsid w:val="001E5A00"/>
    <w:rsid w:val="002438E2"/>
    <w:rsid w:val="002630B7"/>
    <w:rsid w:val="002B3FB0"/>
    <w:rsid w:val="002D510A"/>
    <w:rsid w:val="0031161D"/>
    <w:rsid w:val="003537B9"/>
    <w:rsid w:val="003810D6"/>
    <w:rsid w:val="003901E0"/>
    <w:rsid w:val="003A4EDC"/>
    <w:rsid w:val="0041690A"/>
    <w:rsid w:val="00420F93"/>
    <w:rsid w:val="00421F80"/>
    <w:rsid w:val="0044713E"/>
    <w:rsid w:val="004625EB"/>
    <w:rsid w:val="004A5826"/>
    <w:rsid w:val="004B11CB"/>
    <w:rsid w:val="004B5D8D"/>
    <w:rsid w:val="004E23AC"/>
    <w:rsid w:val="004F06E0"/>
    <w:rsid w:val="00502068"/>
    <w:rsid w:val="00515549"/>
    <w:rsid w:val="00520BB4"/>
    <w:rsid w:val="00614095"/>
    <w:rsid w:val="00651CB7"/>
    <w:rsid w:val="00661ADC"/>
    <w:rsid w:val="006C01FB"/>
    <w:rsid w:val="006C2B75"/>
    <w:rsid w:val="00762D5A"/>
    <w:rsid w:val="007E18EE"/>
    <w:rsid w:val="007F013B"/>
    <w:rsid w:val="00826810"/>
    <w:rsid w:val="00837763"/>
    <w:rsid w:val="00852D44"/>
    <w:rsid w:val="0086330B"/>
    <w:rsid w:val="00881EF7"/>
    <w:rsid w:val="008B55E9"/>
    <w:rsid w:val="008B5665"/>
    <w:rsid w:val="008D1016"/>
    <w:rsid w:val="009110F8"/>
    <w:rsid w:val="00923E37"/>
    <w:rsid w:val="00961EFC"/>
    <w:rsid w:val="00972F89"/>
    <w:rsid w:val="009818C2"/>
    <w:rsid w:val="009B71E4"/>
    <w:rsid w:val="009C16BD"/>
    <w:rsid w:val="00A13688"/>
    <w:rsid w:val="00A15F57"/>
    <w:rsid w:val="00A57161"/>
    <w:rsid w:val="00AA51B0"/>
    <w:rsid w:val="00AA7ED7"/>
    <w:rsid w:val="00AB409F"/>
    <w:rsid w:val="00AD759C"/>
    <w:rsid w:val="00AE591E"/>
    <w:rsid w:val="00B058F3"/>
    <w:rsid w:val="00B2503D"/>
    <w:rsid w:val="00B77C1D"/>
    <w:rsid w:val="00B84BD7"/>
    <w:rsid w:val="00BC41DB"/>
    <w:rsid w:val="00BD5207"/>
    <w:rsid w:val="00BE235C"/>
    <w:rsid w:val="00BE49A2"/>
    <w:rsid w:val="00C04A6B"/>
    <w:rsid w:val="00C22C24"/>
    <w:rsid w:val="00C25C1C"/>
    <w:rsid w:val="00C45C9C"/>
    <w:rsid w:val="00C656C3"/>
    <w:rsid w:val="00C84B20"/>
    <w:rsid w:val="00CB1B2B"/>
    <w:rsid w:val="00D15A8B"/>
    <w:rsid w:val="00D3721C"/>
    <w:rsid w:val="00D81EC3"/>
    <w:rsid w:val="00D87DC1"/>
    <w:rsid w:val="00D969AD"/>
    <w:rsid w:val="00DD5923"/>
    <w:rsid w:val="00E72A42"/>
    <w:rsid w:val="00E85E11"/>
    <w:rsid w:val="00EA052D"/>
    <w:rsid w:val="00ED153D"/>
    <w:rsid w:val="00ED5B1D"/>
    <w:rsid w:val="00F75061"/>
    <w:rsid w:val="00F96916"/>
    <w:rsid w:val="00FD4DC2"/>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boi.org.il/he/Research/Pages/ind.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AC139F4-D705-4DCC-B8C2-67F060214AF2}"/>
</file>

<file path=customXml/itemProps2.xml><?xml version="1.0" encoding="utf-8"?>
<ds:datastoreItem xmlns:ds="http://schemas.openxmlformats.org/officeDocument/2006/customXml" ds:itemID="{173D97B5-9DBB-4D96-801C-5C00284BBC1A}"/>
</file>

<file path=customXml/itemProps3.xml><?xml version="1.0" encoding="utf-8"?>
<ds:datastoreItem xmlns:ds="http://schemas.openxmlformats.org/officeDocument/2006/customXml" ds:itemID="{15C0ABC1-7649-4391-A110-F3AD17ADBE5F}"/>
</file>

<file path=customXml/itemProps4.xml><?xml version="1.0" encoding="utf-8"?>
<ds:datastoreItem xmlns:ds="http://schemas.openxmlformats.org/officeDocument/2006/customXml" ds:itemID="{22A481A5-687C-4620-A6F0-09710B87B639}"/>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1716</Characters>
  <Application>Microsoft Office Word</Application>
  <DocSecurity>0</DocSecurity>
  <Lines>14</Lines>
  <Paragraphs>4</Paragraphs>
  <ScaleCrop>false</ScaleCrop>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2014-04-27T13:09:00Z</dcterms:created>
  <dcterms:modified xsi:type="dcterms:W3CDTF">2014-04-27T13:09:00Z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