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8384C" w14:textId="77777777" w:rsidR="00CB5D78" w:rsidRPr="003B4DD7" w:rsidRDefault="002235F5" w:rsidP="00B510A8">
      <w:pPr>
        <w:bidi w:val="0"/>
        <w:jc w:val="center"/>
        <w:rPr>
          <w:rFonts w:asciiTheme="majorBidi" w:hAnsiTheme="majorBidi" w:cstheme="majorBidi"/>
          <w:rtl/>
        </w:rPr>
      </w:pPr>
      <w:r w:rsidRPr="003B4DD7">
        <w:rPr>
          <w:rFonts w:asciiTheme="majorBidi" w:hAnsiTheme="majorBidi" w:cstheme="majorBidi"/>
          <w:noProof/>
        </w:rPr>
        <w:drawing>
          <wp:inline distT="0" distB="0" distL="0" distR="0" wp14:anchorId="5CA3903C" wp14:editId="09E131AE">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2F04B871" w14:textId="77777777" w:rsidR="00892A46" w:rsidRPr="003B4DD7" w:rsidRDefault="00892A46" w:rsidP="00B510A8">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14:paraId="63249234" w14:textId="77777777" w:rsidR="00892A46" w:rsidRPr="003B4DD7" w:rsidRDefault="00892A46" w:rsidP="00B510A8">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14:paraId="0D09B5DA" w14:textId="77777777" w:rsidR="00B533D5" w:rsidRPr="003B4DD7" w:rsidRDefault="007926C7" w:rsidP="00B510A8">
      <w:pPr>
        <w:bidi w:val="0"/>
        <w:jc w:val="both"/>
        <w:rPr>
          <w:rFonts w:asciiTheme="majorBidi" w:hAnsiTheme="majorBidi" w:cstheme="majorBidi"/>
          <w:rtl/>
        </w:rPr>
      </w:pPr>
      <w:r w:rsidRPr="003B4DD7">
        <w:rPr>
          <w:rFonts w:asciiTheme="majorBidi" w:hAnsiTheme="majorBidi" w:cstheme="majorBidi"/>
        </w:rPr>
        <w:br/>
      </w:r>
    </w:p>
    <w:p w14:paraId="48922152" w14:textId="77777777" w:rsidR="007926C7" w:rsidRPr="003B4DD7" w:rsidRDefault="00B23C8B" w:rsidP="00C32988">
      <w:pPr>
        <w:bidi w:val="0"/>
        <w:jc w:val="right"/>
        <w:rPr>
          <w:rFonts w:asciiTheme="majorBidi" w:hAnsiTheme="majorBidi" w:cstheme="majorBidi"/>
        </w:rPr>
      </w:pPr>
      <w:bookmarkStart w:id="0" w:name="_GoBack"/>
      <w:r>
        <w:rPr>
          <w:rFonts w:asciiTheme="majorBidi" w:hAnsiTheme="majorBidi" w:cstheme="majorBidi"/>
        </w:rPr>
        <w:t>November 9, 2023</w:t>
      </w:r>
      <w:bookmarkEnd w:id="0"/>
    </w:p>
    <w:p w14:paraId="29151850" w14:textId="77777777" w:rsidR="007926C7" w:rsidRPr="003B4DD7" w:rsidRDefault="007926C7" w:rsidP="00B510A8">
      <w:pPr>
        <w:bidi w:val="0"/>
        <w:jc w:val="both"/>
        <w:rPr>
          <w:rFonts w:asciiTheme="majorBidi" w:hAnsiTheme="majorBidi" w:cstheme="majorBidi"/>
        </w:rPr>
      </w:pPr>
    </w:p>
    <w:p w14:paraId="29528084" w14:textId="77777777" w:rsidR="00892A46" w:rsidRPr="003B4DD7" w:rsidRDefault="00892A46" w:rsidP="00B510A8">
      <w:pPr>
        <w:bidi w:val="0"/>
        <w:jc w:val="both"/>
        <w:rPr>
          <w:rFonts w:asciiTheme="majorBidi" w:hAnsiTheme="majorBidi" w:cstheme="majorBidi"/>
        </w:rPr>
      </w:pPr>
      <w:r w:rsidRPr="003B4DD7">
        <w:rPr>
          <w:rFonts w:asciiTheme="majorBidi" w:hAnsiTheme="majorBidi" w:cstheme="majorBidi"/>
        </w:rPr>
        <w:t>Press Release:</w:t>
      </w:r>
    </w:p>
    <w:p w14:paraId="5D191E6B" w14:textId="77777777" w:rsidR="00892A46" w:rsidRPr="003B4DD7" w:rsidRDefault="00892A46" w:rsidP="00B510A8">
      <w:pPr>
        <w:tabs>
          <w:tab w:val="center" w:pos="4156"/>
          <w:tab w:val="right" w:pos="8312"/>
        </w:tabs>
        <w:bidi w:val="0"/>
        <w:jc w:val="both"/>
        <w:rPr>
          <w:rFonts w:asciiTheme="majorBidi" w:hAnsiTheme="majorBidi" w:cstheme="majorBidi"/>
        </w:rPr>
      </w:pPr>
    </w:p>
    <w:p w14:paraId="27B0E03D" w14:textId="77777777" w:rsidR="000D4E65" w:rsidRPr="00C32988" w:rsidRDefault="00B23C8B" w:rsidP="00B510A8">
      <w:pPr>
        <w:bidi w:val="0"/>
        <w:jc w:val="center"/>
        <w:rPr>
          <w:b/>
          <w:bCs/>
          <w:sz w:val="28"/>
          <w:szCs w:val="28"/>
        </w:rPr>
      </w:pPr>
      <w:r w:rsidRPr="00C32988">
        <w:rPr>
          <w:b/>
          <w:bCs/>
          <w:sz w:val="28"/>
          <w:szCs w:val="28"/>
        </w:rPr>
        <w:t>Special analysis by the Bank of Israel’s Research Department: The economic cost of absence from work during the Swords of Iron War</w:t>
      </w:r>
      <w:r w:rsidRPr="00C32988">
        <w:rPr>
          <w:rStyle w:val="ad"/>
          <w:b/>
          <w:bCs/>
          <w:sz w:val="28"/>
          <w:szCs w:val="28"/>
        </w:rPr>
        <w:footnoteReference w:id="1"/>
      </w:r>
    </w:p>
    <w:p w14:paraId="4797572E" w14:textId="77777777" w:rsidR="00DE4660" w:rsidRPr="00B510A8" w:rsidRDefault="00DE4660" w:rsidP="00B510A8">
      <w:pPr>
        <w:bidi w:val="0"/>
        <w:jc w:val="both"/>
        <w:rPr>
          <w:rFonts w:asciiTheme="majorBidi" w:hAnsiTheme="majorBidi" w:cstheme="majorBidi"/>
        </w:rPr>
      </w:pPr>
    </w:p>
    <w:p w14:paraId="13F86372" w14:textId="121B9969" w:rsidR="00DE4660" w:rsidRPr="00B510A8" w:rsidRDefault="00DE4660" w:rsidP="00B510A8">
      <w:pPr>
        <w:pStyle w:val="aa"/>
        <w:numPr>
          <w:ilvl w:val="0"/>
          <w:numId w:val="7"/>
        </w:numPr>
        <w:ind w:left="360"/>
        <w:jc w:val="both"/>
        <w:rPr>
          <w:rFonts w:asciiTheme="majorBidi" w:hAnsiTheme="majorBidi" w:cstheme="majorBidi"/>
          <w:b/>
          <w:bCs/>
        </w:rPr>
      </w:pPr>
      <w:r w:rsidRPr="00B510A8">
        <w:rPr>
          <w:rFonts w:asciiTheme="majorBidi" w:hAnsiTheme="majorBidi" w:cstheme="majorBidi"/>
          <w:b/>
          <w:bCs/>
        </w:rPr>
        <w:t xml:space="preserve">During the first </w:t>
      </w:r>
      <w:r w:rsidR="00D33928">
        <w:rPr>
          <w:rFonts w:asciiTheme="majorBidi" w:hAnsiTheme="majorBidi" w:cstheme="majorBidi"/>
          <w:b/>
          <w:bCs/>
        </w:rPr>
        <w:t>5</w:t>
      </w:r>
      <w:r w:rsidRPr="00B510A8">
        <w:rPr>
          <w:rFonts w:asciiTheme="majorBidi" w:hAnsiTheme="majorBidi" w:cstheme="majorBidi"/>
          <w:b/>
          <w:bCs/>
        </w:rPr>
        <w:t xml:space="preserve"> weeks of the Swords of Iron War, the weekly cost of the decrease in labor supply in respect of employee absences was approximately NIS 2.3 billion.</w:t>
      </w:r>
    </w:p>
    <w:p w14:paraId="3B0BB6D3" w14:textId="276B16BA" w:rsidR="00DE4660" w:rsidRPr="00B510A8" w:rsidRDefault="00DE4660" w:rsidP="00D93AE5">
      <w:pPr>
        <w:pStyle w:val="aa"/>
        <w:numPr>
          <w:ilvl w:val="0"/>
          <w:numId w:val="7"/>
        </w:numPr>
        <w:ind w:left="360"/>
        <w:jc w:val="both"/>
        <w:rPr>
          <w:rFonts w:asciiTheme="majorBidi" w:hAnsiTheme="majorBidi" w:cstheme="majorBidi"/>
          <w:b/>
          <w:bCs/>
        </w:rPr>
      </w:pPr>
      <w:r w:rsidRPr="00B510A8">
        <w:rPr>
          <w:rFonts w:asciiTheme="majorBidi" w:hAnsiTheme="majorBidi" w:cstheme="majorBidi"/>
          <w:b/>
          <w:bCs/>
        </w:rPr>
        <w:t xml:space="preserve">Employee absence derived from the complete closure of educational institutions (NIS 1.25 billion), the displacement of residents </w:t>
      </w:r>
      <w:r w:rsidR="00D93AE5">
        <w:rPr>
          <w:rFonts w:asciiTheme="majorBidi" w:hAnsiTheme="majorBidi" w:cstheme="majorBidi"/>
          <w:b/>
          <w:bCs/>
        </w:rPr>
        <w:t xml:space="preserve">who were evacuated or who left their homes </w:t>
      </w:r>
      <w:r w:rsidRPr="00B510A8">
        <w:rPr>
          <w:rFonts w:asciiTheme="majorBidi" w:hAnsiTheme="majorBidi" w:cstheme="majorBidi"/>
          <w:b/>
          <w:bCs/>
        </w:rPr>
        <w:t>(NIS 0.6 billion), and by the broad call up of the reserves (NIS 0.5 billion).</w:t>
      </w:r>
    </w:p>
    <w:p w14:paraId="4B718F26" w14:textId="77777777" w:rsidR="00382DDC" w:rsidRPr="00B510A8" w:rsidRDefault="00382DDC" w:rsidP="00B510A8">
      <w:pPr>
        <w:pStyle w:val="aa"/>
        <w:numPr>
          <w:ilvl w:val="0"/>
          <w:numId w:val="7"/>
        </w:numPr>
        <w:ind w:left="360"/>
        <w:jc w:val="both"/>
        <w:rPr>
          <w:rFonts w:asciiTheme="majorBidi" w:hAnsiTheme="majorBidi" w:cstheme="majorBidi"/>
          <w:b/>
          <w:bCs/>
        </w:rPr>
      </w:pPr>
      <w:r w:rsidRPr="00B510A8">
        <w:rPr>
          <w:rFonts w:asciiTheme="majorBidi" w:hAnsiTheme="majorBidi" w:cstheme="majorBidi"/>
          <w:b/>
          <w:bCs/>
        </w:rPr>
        <w:t>The costs analyzed below do not reflect the total adverse impact on the labor market and the economy. In addition to these, there were costs derived from a decline in demand, the absence of Palestinian and foreign workers, and more.</w:t>
      </w:r>
    </w:p>
    <w:p w14:paraId="5E8D7E1E" w14:textId="3845C1FC" w:rsidR="00382DDC" w:rsidRPr="00B510A8" w:rsidRDefault="00382DDC" w:rsidP="00C547FE">
      <w:pPr>
        <w:pStyle w:val="aa"/>
        <w:numPr>
          <w:ilvl w:val="0"/>
          <w:numId w:val="7"/>
        </w:numPr>
        <w:ind w:left="360"/>
        <w:jc w:val="both"/>
        <w:rPr>
          <w:rFonts w:asciiTheme="majorBidi" w:hAnsiTheme="majorBidi" w:cstheme="majorBidi"/>
          <w:b/>
          <w:bCs/>
        </w:rPr>
      </w:pPr>
      <w:r w:rsidRPr="00B510A8">
        <w:rPr>
          <w:rFonts w:asciiTheme="majorBidi" w:hAnsiTheme="majorBidi" w:cstheme="majorBidi"/>
          <w:b/>
          <w:bCs/>
        </w:rPr>
        <w:t xml:space="preserve">At the end of the first </w:t>
      </w:r>
      <w:r w:rsidR="00C547FE">
        <w:rPr>
          <w:rFonts w:asciiTheme="majorBidi" w:hAnsiTheme="majorBidi" w:cstheme="majorBidi"/>
          <w:b/>
          <w:bCs/>
        </w:rPr>
        <w:t>5</w:t>
      </w:r>
      <w:r w:rsidR="00C547FE" w:rsidRPr="00B510A8">
        <w:rPr>
          <w:rFonts w:asciiTheme="majorBidi" w:hAnsiTheme="majorBidi" w:cstheme="majorBidi"/>
          <w:b/>
          <w:bCs/>
        </w:rPr>
        <w:t xml:space="preserve"> </w:t>
      </w:r>
      <w:r w:rsidRPr="00B510A8">
        <w:rPr>
          <w:rFonts w:asciiTheme="majorBidi" w:hAnsiTheme="majorBidi" w:cstheme="majorBidi"/>
          <w:b/>
          <w:bCs/>
        </w:rPr>
        <w:t xml:space="preserve">weeks, the cost of the absences </w:t>
      </w:r>
      <w:r w:rsidR="000A14FC">
        <w:rPr>
          <w:rFonts w:asciiTheme="majorBidi" w:hAnsiTheme="majorBidi" w:cstheme="majorBidi"/>
          <w:b/>
          <w:bCs/>
        </w:rPr>
        <w:t xml:space="preserve">had </w:t>
      </w:r>
      <w:r w:rsidRPr="00B510A8">
        <w:rPr>
          <w:rFonts w:asciiTheme="majorBidi" w:hAnsiTheme="majorBidi" w:cstheme="majorBidi"/>
          <w:b/>
          <w:bCs/>
        </w:rPr>
        <w:t xml:space="preserve">already declined due to the partial opening of the education system, but at this </w:t>
      </w:r>
      <w:r w:rsidR="00007057" w:rsidRPr="00B510A8">
        <w:rPr>
          <w:rFonts w:asciiTheme="majorBidi" w:hAnsiTheme="majorBidi" w:cstheme="majorBidi"/>
          <w:b/>
          <w:bCs/>
        </w:rPr>
        <w:t>point,</w:t>
      </w:r>
      <w:r w:rsidRPr="00B510A8">
        <w:rPr>
          <w:rFonts w:asciiTheme="majorBidi" w:hAnsiTheme="majorBidi" w:cstheme="majorBidi"/>
          <w:b/>
          <w:bCs/>
        </w:rPr>
        <w:t xml:space="preserve"> it is difficult to estimate the scope of its effective opening. The cost is expected to continue declining as the education system returns to more orderly activity, the economy adjusts to the situation with solutions for </w:t>
      </w:r>
      <w:r w:rsidR="00FB5D49" w:rsidRPr="00B510A8">
        <w:rPr>
          <w:rFonts w:asciiTheme="majorBidi" w:hAnsiTheme="majorBidi" w:cstheme="majorBidi"/>
          <w:b/>
          <w:bCs/>
        </w:rPr>
        <w:t xml:space="preserve">employees from evacuated areas, the threat of </w:t>
      </w:r>
      <w:r w:rsidR="000A14FC">
        <w:rPr>
          <w:rFonts w:asciiTheme="majorBidi" w:hAnsiTheme="majorBidi" w:cstheme="majorBidi"/>
          <w:b/>
          <w:bCs/>
        </w:rPr>
        <w:t xml:space="preserve">rockets </w:t>
      </w:r>
      <w:r w:rsidR="00FB5D49" w:rsidRPr="00B510A8">
        <w:rPr>
          <w:rFonts w:asciiTheme="majorBidi" w:hAnsiTheme="majorBidi" w:cstheme="majorBidi"/>
          <w:b/>
          <w:bCs/>
        </w:rPr>
        <w:t xml:space="preserve">to the </w:t>
      </w:r>
      <w:r w:rsidR="00D93AE5">
        <w:rPr>
          <w:rFonts w:asciiTheme="majorBidi" w:hAnsiTheme="majorBidi" w:cstheme="majorBidi"/>
          <w:b/>
          <w:bCs/>
        </w:rPr>
        <w:t xml:space="preserve">home </w:t>
      </w:r>
      <w:r w:rsidR="00FB5D49" w:rsidRPr="00D93AE5">
        <w:rPr>
          <w:rFonts w:asciiTheme="majorBidi" w:hAnsiTheme="majorBidi" w:cstheme="majorBidi"/>
          <w:b/>
          <w:bCs/>
        </w:rPr>
        <w:t>front</w:t>
      </w:r>
      <w:r w:rsidR="00FB5D49" w:rsidRPr="00B510A8">
        <w:rPr>
          <w:rFonts w:asciiTheme="majorBidi" w:hAnsiTheme="majorBidi" w:cstheme="majorBidi"/>
          <w:b/>
          <w:bCs/>
        </w:rPr>
        <w:t xml:space="preserve"> declines, and </w:t>
      </w:r>
      <w:r w:rsidR="00FB5D49" w:rsidRPr="009E2EAB">
        <w:rPr>
          <w:rFonts w:asciiTheme="majorBidi" w:hAnsiTheme="majorBidi" w:cstheme="majorBidi"/>
          <w:b/>
          <w:bCs/>
        </w:rPr>
        <w:t>the scope</w:t>
      </w:r>
      <w:r w:rsidR="00FB5D49" w:rsidRPr="00B510A8">
        <w:rPr>
          <w:rFonts w:asciiTheme="majorBidi" w:hAnsiTheme="majorBidi" w:cstheme="majorBidi"/>
          <w:b/>
          <w:bCs/>
        </w:rPr>
        <w:t xml:space="preserve"> of reserve soldiers is reduced. The calculation method described in this paper will serve the Bank of Israel going forward as well, in assessing the updated cost of the attack.</w:t>
      </w:r>
    </w:p>
    <w:p w14:paraId="752C3284" w14:textId="77777777" w:rsidR="005904AE" w:rsidRPr="00B510A8" w:rsidRDefault="005904AE" w:rsidP="00B510A8">
      <w:pPr>
        <w:bidi w:val="0"/>
        <w:jc w:val="both"/>
        <w:rPr>
          <w:rFonts w:asciiTheme="majorBidi" w:hAnsiTheme="majorBidi" w:cstheme="majorBidi"/>
        </w:rPr>
      </w:pPr>
    </w:p>
    <w:p w14:paraId="3B9AE831" w14:textId="48C8683D" w:rsidR="004664C3" w:rsidRPr="00B510A8" w:rsidRDefault="005904AE" w:rsidP="00C547FE">
      <w:pPr>
        <w:bidi w:val="0"/>
        <w:jc w:val="both"/>
        <w:rPr>
          <w:rFonts w:asciiTheme="majorBidi" w:hAnsiTheme="majorBidi" w:cstheme="majorBidi"/>
        </w:rPr>
      </w:pPr>
      <w:r w:rsidRPr="00B510A8">
        <w:rPr>
          <w:rFonts w:asciiTheme="majorBidi" w:hAnsiTheme="majorBidi" w:cstheme="majorBidi"/>
        </w:rPr>
        <w:t xml:space="preserve">The State of Israel is at war. It began approximately </w:t>
      </w:r>
      <w:r w:rsidR="00C547FE">
        <w:rPr>
          <w:rFonts w:asciiTheme="majorBidi" w:hAnsiTheme="majorBidi" w:cstheme="majorBidi" w:hint="cs"/>
          <w:rtl/>
        </w:rPr>
        <w:t>5</w:t>
      </w:r>
      <w:r w:rsidR="00C547FE" w:rsidRPr="00B510A8">
        <w:rPr>
          <w:rFonts w:asciiTheme="majorBidi" w:hAnsiTheme="majorBidi" w:cstheme="majorBidi"/>
        </w:rPr>
        <w:t xml:space="preserve"> </w:t>
      </w:r>
      <w:r w:rsidRPr="00B510A8">
        <w:rPr>
          <w:rFonts w:asciiTheme="majorBidi" w:hAnsiTheme="majorBidi" w:cstheme="majorBidi"/>
        </w:rPr>
        <w:t xml:space="preserve">weeks ago, after terror </w:t>
      </w:r>
      <w:proofErr w:type="gramStart"/>
      <w:r w:rsidRPr="00B510A8">
        <w:rPr>
          <w:rFonts w:asciiTheme="majorBidi" w:hAnsiTheme="majorBidi" w:cstheme="majorBidi"/>
        </w:rPr>
        <w:t>organizations</w:t>
      </w:r>
      <w:proofErr w:type="gramEnd"/>
      <w:r w:rsidRPr="00B510A8">
        <w:rPr>
          <w:rFonts w:asciiTheme="majorBidi" w:hAnsiTheme="majorBidi" w:cstheme="majorBidi"/>
        </w:rPr>
        <w:t xml:space="preserve"> in the Gaza strip carried out a horribl</w:t>
      </w:r>
      <w:r w:rsidR="000A14FC">
        <w:rPr>
          <w:rFonts w:asciiTheme="majorBidi" w:hAnsiTheme="majorBidi" w:cstheme="majorBidi"/>
        </w:rPr>
        <w:t xml:space="preserve">e </w:t>
      </w:r>
      <w:r w:rsidRPr="00B510A8">
        <w:rPr>
          <w:rFonts w:asciiTheme="majorBidi" w:hAnsiTheme="majorBidi" w:cstheme="majorBidi"/>
        </w:rPr>
        <w:t>deadly slaughter in Israel.</w:t>
      </w:r>
      <w:r w:rsidR="00B22447" w:rsidRPr="00B510A8">
        <w:rPr>
          <w:rFonts w:asciiTheme="majorBidi" w:hAnsiTheme="majorBidi" w:cstheme="majorBidi"/>
        </w:rPr>
        <w:t xml:space="preserve"> Beyond the </w:t>
      </w:r>
      <w:r w:rsidR="00C547FE">
        <w:rPr>
          <w:rFonts w:asciiTheme="majorBidi" w:hAnsiTheme="majorBidi" w:cstheme="majorBidi"/>
        </w:rPr>
        <w:t>loss of</w:t>
      </w:r>
      <w:r w:rsidR="00B22447" w:rsidRPr="00B510A8">
        <w:rPr>
          <w:rFonts w:asciiTheme="majorBidi" w:hAnsiTheme="majorBidi" w:cstheme="majorBidi"/>
        </w:rPr>
        <w:t xml:space="preserve"> lives and the anguish, the war has significant economic ramifications. In this analysis, we focus on the adverse impact to the supply side of the labor market. We </w:t>
      </w:r>
      <w:r w:rsidR="00BC0827" w:rsidRPr="00BC0827">
        <w:rPr>
          <w:rFonts w:asciiTheme="majorBidi" w:hAnsiTheme="majorBidi" w:cstheme="majorBidi"/>
        </w:rPr>
        <w:t>assess</w:t>
      </w:r>
      <w:r w:rsidR="00B22447" w:rsidRPr="00B510A8">
        <w:rPr>
          <w:rFonts w:asciiTheme="majorBidi" w:hAnsiTheme="majorBidi" w:cstheme="majorBidi"/>
        </w:rPr>
        <w:t xml:space="preserve"> the number of workers who cannot reach their regular places of work and the cost deriving from that for the businesses that employ them.</w:t>
      </w:r>
      <w:r w:rsidR="004664C3" w:rsidRPr="00B510A8">
        <w:rPr>
          <w:rFonts w:asciiTheme="majorBidi" w:hAnsiTheme="majorBidi" w:cstheme="majorBidi"/>
        </w:rPr>
        <w:t xml:space="preserve"> In our understanding, there are 3 main factors in the absences from work beyond the routine and seasonal rate of absenteeism:</w:t>
      </w:r>
    </w:p>
    <w:p w14:paraId="40CA6B8E" w14:textId="77777777" w:rsidR="004664C3" w:rsidRPr="00B510A8" w:rsidRDefault="004664C3" w:rsidP="00B510A8">
      <w:pPr>
        <w:bidi w:val="0"/>
        <w:jc w:val="both"/>
        <w:rPr>
          <w:rFonts w:asciiTheme="majorBidi" w:hAnsiTheme="majorBidi" w:cstheme="majorBidi"/>
        </w:rPr>
      </w:pPr>
    </w:p>
    <w:p w14:paraId="308CF291" w14:textId="77777777" w:rsidR="004664C3" w:rsidRPr="00B510A8" w:rsidRDefault="004664C3" w:rsidP="00B510A8">
      <w:pPr>
        <w:bidi w:val="0"/>
        <w:jc w:val="both"/>
        <w:rPr>
          <w:rFonts w:asciiTheme="majorBidi" w:hAnsiTheme="majorBidi" w:cstheme="majorBidi"/>
        </w:rPr>
      </w:pPr>
      <w:r w:rsidRPr="00B510A8">
        <w:rPr>
          <w:rFonts w:asciiTheme="majorBidi" w:hAnsiTheme="majorBidi" w:cstheme="majorBidi"/>
        </w:rPr>
        <w:t>1. Absences due to being called up to the reserves</w:t>
      </w:r>
    </w:p>
    <w:p w14:paraId="2A425F32" w14:textId="77777777" w:rsidR="004664C3" w:rsidRPr="00B510A8" w:rsidRDefault="004664C3" w:rsidP="00B510A8">
      <w:pPr>
        <w:bidi w:val="0"/>
        <w:jc w:val="both"/>
        <w:rPr>
          <w:rFonts w:asciiTheme="majorBidi" w:hAnsiTheme="majorBidi" w:cstheme="majorBidi"/>
        </w:rPr>
      </w:pPr>
      <w:r w:rsidRPr="00B510A8">
        <w:rPr>
          <w:rFonts w:asciiTheme="majorBidi" w:hAnsiTheme="majorBidi" w:cstheme="majorBidi"/>
        </w:rPr>
        <w:t xml:space="preserve">2. Absences of residents of </w:t>
      </w:r>
      <w:r w:rsidR="00E24932" w:rsidRPr="00B510A8">
        <w:rPr>
          <w:rFonts w:asciiTheme="majorBidi" w:hAnsiTheme="majorBidi" w:cstheme="majorBidi"/>
        </w:rPr>
        <w:t>evacuated or cleared areas</w:t>
      </w:r>
    </w:p>
    <w:p w14:paraId="4F4AD5AF" w14:textId="7D131871" w:rsidR="00E24932" w:rsidRPr="00B510A8" w:rsidRDefault="00E24932" w:rsidP="00C547FE">
      <w:pPr>
        <w:bidi w:val="0"/>
        <w:jc w:val="both"/>
        <w:rPr>
          <w:rFonts w:asciiTheme="majorBidi" w:hAnsiTheme="majorBidi" w:cstheme="majorBidi"/>
        </w:rPr>
      </w:pPr>
      <w:r w:rsidRPr="000A14FC">
        <w:rPr>
          <w:rFonts w:asciiTheme="majorBidi" w:hAnsiTheme="majorBidi" w:cstheme="majorBidi"/>
        </w:rPr>
        <w:t>3. Absences of parents due to the closure of the education system</w:t>
      </w:r>
      <w:r w:rsidR="00F670CE" w:rsidRPr="000A14FC">
        <w:rPr>
          <w:rFonts w:asciiTheme="majorBidi" w:hAnsiTheme="majorBidi" w:cstheme="majorBidi"/>
        </w:rPr>
        <w:t>.</w:t>
      </w:r>
    </w:p>
    <w:p w14:paraId="04F47039" w14:textId="77777777" w:rsidR="00F670CE" w:rsidRPr="00B510A8" w:rsidRDefault="00F670CE" w:rsidP="00B510A8">
      <w:pPr>
        <w:bidi w:val="0"/>
        <w:jc w:val="both"/>
        <w:rPr>
          <w:rFonts w:asciiTheme="majorBidi" w:hAnsiTheme="majorBidi" w:cstheme="majorBidi"/>
        </w:rPr>
      </w:pPr>
    </w:p>
    <w:p w14:paraId="3081DF6C" w14:textId="10E37469" w:rsidR="00F670CE" w:rsidRPr="00B510A8" w:rsidRDefault="00F670CE" w:rsidP="009E2EAB">
      <w:pPr>
        <w:bidi w:val="0"/>
        <w:jc w:val="both"/>
        <w:rPr>
          <w:rFonts w:asciiTheme="majorBidi" w:hAnsiTheme="majorBidi" w:cstheme="majorBidi"/>
        </w:rPr>
      </w:pPr>
      <w:r w:rsidRPr="00B510A8">
        <w:rPr>
          <w:rFonts w:asciiTheme="majorBidi" w:hAnsiTheme="majorBidi" w:cstheme="majorBidi"/>
        </w:rPr>
        <w:t xml:space="preserve">This document </w:t>
      </w:r>
      <w:r w:rsidR="00C40D0E" w:rsidRPr="00B510A8">
        <w:rPr>
          <w:rFonts w:asciiTheme="majorBidi" w:hAnsiTheme="majorBidi" w:cstheme="majorBidi"/>
        </w:rPr>
        <w:t xml:space="preserve">presents </w:t>
      </w:r>
      <w:r w:rsidR="00C547FE">
        <w:rPr>
          <w:rFonts w:asciiTheme="majorBidi" w:hAnsiTheme="majorBidi" w:cstheme="majorBidi"/>
        </w:rPr>
        <w:t>a</w:t>
      </w:r>
      <w:r w:rsidR="00C547FE" w:rsidRPr="00B510A8">
        <w:rPr>
          <w:rFonts w:asciiTheme="majorBidi" w:hAnsiTheme="majorBidi" w:cstheme="majorBidi"/>
        </w:rPr>
        <w:t xml:space="preserve"> </w:t>
      </w:r>
      <w:r w:rsidR="00C40D0E" w:rsidRPr="00B510A8">
        <w:rPr>
          <w:rFonts w:asciiTheme="majorBidi" w:hAnsiTheme="majorBidi" w:cstheme="majorBidi"/>
        </w:rPr>
        <w:t xml:space="preserve">method developed at the Bank of Israel to quantify the </w:t>
      </w:r>
      <w:r w:rsidR="00C547FE">
        <w:rPr>
          <w:rFonts w:asciiTheme="majorBidi" w:hAnsiTheme="majorBidi" w:cstheme="majorBidi"/>
        </w:rPr>
        <w:t>cost</w:t>
      </w:r>
      <w:r w:rsidR="00C547FE" w:rsidRPr="00B510A8">
        <w:rPr>
          <w:rFonts w:asciiTheme="majorBidi" w:hAnsiTheme="majorBidi" w:cstheme="majorBidi"/>
        </w:rPr>
        <w:t xml:space="preserve"> </w:t>
      </w:r>
      <w:r w:rsidR="00C40D0E" w:rsidRPr="00B510A8">
        <w:rPr>
          <w:rFonts w:asciiTheme="majorBidi" w:hAnsiTheme="majorBidi" w:cstheme="majorBidi"/>
        </w:rPr>
        <w:t xml:space="preserve">of the absences deriving from the supply side. It does not include reference to the effect of the demand for workers, meaning businesses that, due to a decline in demand for goods and services that they supply, </w:t>
      </w:r>
      <w:r w:rsidR="00C547FE">
        <w:rPr>
          <w:rFonts w:asciiTheme="majorBidi" w:hAnsiTheme="majorBidi" w:cstheme="majorBidi"/>
        </w:rPr>
        <w:t xml:space="preserve">reduced </w:t>
      </w:r>
      <w:r w:rsidR="00BC0827">
        <w:rPr>
          <w:rFonts w:asciiTheme="majorBidi" w:hAnsiTheme="majorBidi" w:cstheme="majorBidi"/>
        </w:rPr>
        <w:t>production</w:t>
      </w:r>
      <w:r w:rsidR="00C40D0E" w:rsidRPr="00B510A8">
        <w:rPr>
          <w:rFonts w:asciiTheme="majorBidi" w:hAnsiTheme="majorBidi" w:cstheme="majorBidi"/>
        </w:rPr>
        <w:t xml:space="preserve">, and therefore </w:t>
      </w:r>
      <w:r w:rsidR="00BB1F3D">
        <w:rPr>
          <w:rFonts w:asciiTheme="majorBidi" w:hAnsiTheme="majorBidi" w:cstheme="majorBidi"/>
        </w:rPr>
        <w:t xml:space="preserve">have </w:t>
      </w:r>
      <w:r w:rsidR="00C40D0E" w:rsidRPr="00B510A8">
        <w:rPr>
          <w:rFonts w:asciiTheme="majorBidi" w:hAnsiTheme="majorBidi" w:cstheme="majorBidi"/>
        </w:rPr>
        <w:t xml:space="preserve">reduced </w:t>
      </w:r>
      <w:r w:rsidR="00C40D0E" w:rsidRPr="00B510A8">
        <w:rPr>
          <w:rFonts w:asciiTheme="majorBidi" w:hAnsiTheme="majorBidi" w:cstheme="majorBidi"/>
        </w:rPr>
        <w:lastRenderedPageBreak/>
        <w:t xml:space="preserve">the hours of work, or </w:t>
      </w:r>
      <w:r w:rsidR="00BC0827">
        <w:rPr>
          <w:rFonts w:asciiTheme="majorBidi" w:hAnsiTheme="majorBidi" w:cstheme="majorBidi"/>
        </w:rPr>
        <w:t xml:space="preserve">had </w:t>
      </w:r>
      <w:r w:rsidR="00C40D0E" w:rsidRPr="00B510A8">
        <w:rPr>
          <w:rFonts w:asciiTheme="majorBidi" w:hAnsiTheme="majorBidi" w:cstheme="majorBidi"/>
        </w:rPr>
        <w:t>to place employees on unpaid leave or lay them off. This analysis refers to Israeli workers, and therefore does not analyze the adverse impact from the supply side deriving from the lack of entry of Palestinian workers in Israel o</w:t>
      </w:r>
      <w:r w:rsidR="00BB1F3D">
        <w:rPr>
          <w:rFonts w:asciiTheme="majorBidi" w:hAnsiTheme="majorBidi" w:cstheme="majorBidi"/>
        </w:rPr>
        <w:t xml:space="preserve">r </w:t>
      </w:r>
      <w:r w:rsidR="00C40D0E" w:rsidRPr="00B510A8">
        <w:rPr>
          <w:rFonts w:asciiTheme="majorBidi" w:hAnsiTheme="majorBidi" w:cstheme="majorBidi"/>
        </w:rPr>
        <w:t>from the exit of foreign workers from Israel.</w:t>
      </w:r>
      <w:r w:rsidR="00AA04C6" w:rsidRPr="00B510A8">
        <w:rPr>
          <w:rFonts w:asciiTheme="majorBidi" w:hAnsiTheme="majorBidi" w:cstheme="majorBidi"/>
        </w:rPr>
        <w:t xml:space="preserve"> The </w:t>
      </w:r>
      <w:r w:rsidR="00BC0827">
        <w:rPr>
          <w:rFonts w:asciiTheme="majorBidi" w:hAnsiTheme="majorBidi" w:cstheme="majorBidi"/>
        </w:rPr>
        <w:t>overall impact of these and other factors is</w:t>
      </w:r>
      <w:r w:rsidR="00BC0827">
        <w:rPr>
          <w:rFonts w:asciiTheme="majorBidi" w:hAnsiTheme="majorBidi" w:cstheme="majorBidi" w:hint="cs"/>
          <w:rtl/>
        </w:rPr>
        <w:t xml:space="preserve"> </w:t>
      </w:r>
      <w:r w:rsidR="00BC0827">
        <w:rPr>
          <w:rFonts w:asciiTheme="majorBidi" w:hAnsiTheme="majorBidi" w:cstheme="majorBidi"/>
        </w:rPr>
        <w:t xml:space="preserve">weighted </w:t>
      </w:r>
      <w:r w:rsidR="00AA04C6" w:rsidRPr="00B510A8">
        <w:rPr>
          <w:rFonts w:asciiTheme="majorBidi" w:hAnsiTheme="majorBidi" w:cstheme="majorBidi"/>
        </w:rPr>
        <w:t>in the Research Department’s forecast published on October 23, 2023.</w:t>
      </w:r>
    </w:p>
    <w:p w14:paraId="01650C3A" w14:textId="77777777" w:rsidR="00AA04C6" w:rsidRPr="00B510A8" w:rsidRDefault="00AA04C6" w:rsidP="00B510A8">
      <w:pPr>
        <w:bidi w:val="0"/>
        <w:jc w:val="both"/>
        <w:rPr>
          <w:rFonts w:asciiTheme="majorBidi" w:hAnsiTheme="majorBidi" w:cstheme="majorBidi"/>
        </w:rPr>
      </w:pPr>
    </w:p>
    <w:p w14:paraId="1C92C651" w14:textId="2B9BBCA8" w:rsidR="00AA04C6" w:rsidRPr="00B510A8" w:rsidRDefault="00AA04C6" w:rsidP="002C51CD">
      <w:pPr>
        <w:bidi w:val="0"/>
        <w:jc w:val="both"/>
        <w:rPr>
          <w:rFonts w:asciiTheme="majorBidi" w:hAnsiTheme="majorBidi" w:cstheme="majorBidi"/>
        </w:rPr>
      </w:pPr>
      <w:r w:rsidRPr="00B510A8">
        <w:rPr>
          <w:rFonts w:asciiTheme="majorBidi" w:hAnsiTheme="majorBidi" w:cstheme="majorBidi"/>
        </w:rPr>
        <w:t xml:space="preserve">Based on assumptions and initial analyses, we assume that the overall weekly cost of the absences from work </w:t>
      </w:r>
      <w:r w:rsidR="00C37741" w:rsidRPr="00B510A8">
        <w:rPr>
          <w:rFonts w:asciiTheme="majorBidi" w:hAnsiTheme="majorBidi" w:cstheme="majorBidi"/>
        </w:rPr>
        <w:t>at the current time is about NIS 2.3 billion per week</w:t>
      </w:r>
      <w:r w:rsidR="001A2A27" w:rsidRPr="00B510A8">
        <w:rPr>
          <w:rStyle w:val="ad"/>
          <w:rFonts w:asciiTheme="majorBidi" w:hAnsiTheme="majorBidi" w:cstheme="majorBidi"/>
        </w:rPr>
        <w:footnoteReference w:id="2"/>
      </w:r>
      <w:r w:rsidR="00C37741" w:rsidRPr="00B510A8">
        <w:rPr>
          <w:rFonts w:asciiTheme="majorBidi" w:hAnsiTheme="majorBidi" w:cstheme="majorBidi"/>
        </w:rPr>
        <w:t xml:space="preserve"> (making up around 6 percent of weekly GDP)</w:t>
      </w:r>
      <w:r w:rsidR="002C51CD">
        <w:rPr>
          <w:rFonts w:asciiTheme="majorBidi" w:hAnsiTheme="majorBidi" w:cstheme="majorBidi"/>
        </w:rPr>
        <w:t>. A</w:t>
      </w:r>
      <w:r w:rsidR="00C37741" w:rsidRPr="00B510A8">
        <w:rPr>
          <w:rFonts w:asciiTheme="majorBidi" w:hAnsiTheme="majorBidi" w:cstheme="majorBidi"/>
        </w:rPr>
        <w:t xml:space="preserve">bout half a billion shekels </w:t>
      </w:r>
      <w:r w:rsidR="002C51CD">
        <w:rPr>
          <w:rFonts w:asciiTheme="majorBidi" w:hAnsiTheme="majorBidi" w:cstheme="majorBidi"/>
        </w:rPr>
        <w:t xml:space="preserve">is </w:t>
      </w:r>
      <w:r w:rsidR="00C37741" w:rsidRPr="00B510A8">
        <w:rPr>
          <w:rFonts w:asciiTheme="majorBidi" w:hAnsiTheme="majorBidi" w:cstheme="majorBidi"/>
        </w:rPr>
        <w:t xml:space="preserve">in </w:t>
      </w:r>
      <w:r w:rsidR="00007057" w:rsidRPr="00B510A8">
        <w:rPr>
          <w:rFonts w:asciiTheme="majorBidi" w:hAnsiTheme="majorBidi" w:cstheme="majorBidi"/>
        </w:rPr>
        <w:t>respect</w:t>
      </w:r>
      <w:r w:rsidR="00C37741" w:rsidRPr="00B510A8">
        <w:rPr>
          <w:rFonts w:asciiTheme="majorBidi" w:hAnsiTheme="majorBidi" w:cstheme="majorBidi"/>
        </w:rPr>
        <w:t xml:space="preserve"> of the broad call up of reserves soldier</w:t>
      </w:r>
      <w:r w:rsidR="007B11F9">
        <w:rPr>
          <w:rFonts w:asciiTheme="majorBidi" w:hAnsiTheme="majorBidi" w:cstheme="majorBidi"/>
        </w:rPr>
        <w:t>s</w:t>
      </w:r>
      <w:r w:rsidR="00C37741" w:rsidRPr="00B510A8">
        <w:rPr>
          <w:rFonts w:asciiTheme="majorBidi" w:hAnsiTheme="majorBidi" w:cstheme="majorBidi"/>
        </w:rPr>
        <w:t xml:space="preserve">, about NIS 590 </w:t>
      </w:r>
      <w:r w:rsidR="00BC0827">
        <w:rPr>
          <w:rFonts w:asciiTheme="majorBidi" w:hAnsiTheme="majorBidi" w:cstheme="majorBidi"/>
        </w:rPr>
        <w:t>m</w:t>
      </w:r>
      <w:r w:rsidR="00BC0827" w:rsidRPr="00B510A8">
        <w:rPr>
          <w:rFonts w:asciiTheme="majorBidi" w:hAnsiTheme="majorBidi" w:cstheme="majorBidi"/>
        </w:rPr>
        <w:t xml:space="preserve">illion </w:t>
      </w:r>
      <w:r w:rsidR="00C37741" w:rsidRPr="00B510A8">
        <w:rPr>
          <w:rFonts w:asciiTheme="majorBidi" w:hAnsiTheme="majorBidi" w:cstheme="majorBidi"/>
        </w:rPr>
        <w:t xml:space="preserve">in respect of absences of about 144,000 residents in areas that </w:t>
      </w:r>
      <w:r w:rsidR="00E34B8E" w:rsidRPr="00B510A8">
        <w:rPr>
          <w:rFonts w:asciiTheme="majorBidi" w:hAnsiTheme="majorBidi" w:cstheme="majorBidi"/>
        </w:rPr>
        <w:t xml:space="preserve">were </w:t>
      </w:r>
      <w:r w:rsidR="00E34B8E">
        <w:rPr>
          <w:rFonts w:asciiTheme="majorBidi" w:hAnsiTheme="majorBidi" w:cstheme="majorBidi"/>
        </w:rPr>
        <w:t>evacuated</w:t>
      </w:r>
      <w:r w:rsidR="00E34B8E" w:rsidRPr="00B510A8">
        <w:rPr>
          <w:rFonts w:asciiTheme="majorBidi" w:hAnsiTheme="majorBidi" w:cstheme="majorBidi"/>
        </w:rPr>
        <w:t xml:space="preserve"> (</w:t>
      </w:r>
      <w:r w:rsidR="00C37741" w:rsidRPr="00B510A8">
        <w:rPr>
          <w:rFonts w:asciiTheme="majorBidi" w:hAnsiTheme="majorBidi" w:cstheme="majorBidi"/>
        </w:rPr>
        <w:t xml:space="preserve">in the North and in the South), and about NIS 1.25 billion </w:t>
      </w:r>
      <w:r w:rsidR="002C51CD">
        <w:rPr>
          <w:rFonts w:asciiTheme="majorBidi" w:hAnsiTheme="majorBidi" w:cstheme="majorBidi"/>
        </w:rPr>
        <w:t xml:space="preserve">is </w:t>
      </w:r>
      <w:r w:rsidR="00C37741" w:rsidRPr="00B510A8">
        <w:rPr>
          <w:rFonts w:asciiTheme="majorBidi" w:hAnsiTheme="majorBidi" w:cstheme="majorBidi"/>
        </w:rPr>
        <w:t xml:space="preserve">in respect to the full closure of the education system, as it was in the first 2 weeks of the war (absence of about 310,000 working parents and less efficient </w:t>
      </w:r>
      <w:r w:rsidR="00BC0827">
        <w:rPr>
          <w:rFonts w:asciiTheme="majorBidi" w:hAnsiTheme="majorBidi" w:cstheme="majorBidi"/>
        </w:rPr>
        <w:t xml:space="preserve">remote </w:t>
      </w:r>
      <w:r w:rsidR="00C37741" w:rsidRPr="00B510A8">
        <w:rPr>
          <w:rFonts w:asciiTheme="majorBidi" w:hAnsiTheme="majorBidi" w:cstheme="majorBidi"/>
        </w:rPr>
        <w:t>work of an additional 210,000 working parents).</w:t>
      </w:r>
      <w:r w:rsidR="003B4D5A" w:rsidRPr="00B510A8">
        <w:rPr>
          <w:rFonts w:asciiTheme="majorBidi" w:hAnsiTheme="majorBidi" w:cstheme="majorBidi"/>
        </w:rPr>
        <w:t xml:space="preserve"> The partial opening of the education system </w:t>
      </w:r>
      <w:r w:rsidR="00773FC7" w:rsidRPr="00B510A8">
        <w:rPr>
          <w:rFonts w:asciiTheme="majorBidi" w:hAnsiTheme="majorBidi" w:cstheme="majorBidi"/>
        </w:rPr>
        <w:t xml:space="preserve">will probably reduce this cost. The total amount is reached after netting out </w:t>
      </w:r>
      <w:r w:rsidR="00515B59">
        <w:rPr>
          <w:rFonts w:asciiTheme="majorBidi" w:hAnsiTheme="majorBidi" w:cstheme="majorBidi"/>
        </w:rPr>
        <w:t>overlaps</w:t>
      </w:r>
      <w:r w:rsidR="00773FC7" w:rsidRPr="00B510A8">
        <w:rPr>
          <w:rFonts w:asciiTheme="majorBidi" w:hAnsiTheme="majorBidi" w:cstheme="majorBidi"/>
        </w:rPr>
        <w:t>.</w:t>
      </w:r>
    </w:p>
    <w:p w14:paraId="45CEE293" w14:textId="77777777" w:rsidR="00773FC7" w:rsidRPr="00B510A8" w:rsidRDefault="00773FC7" w:rsidP="00B510A8">
      <w:pPr>
        <w:bidi w:val="0"/>
        <w:jc w:val="both"/>
        <w:rPr>
          <w:rFonts w:asciiTheme="majorBidi" w:hAnsiTheme="majorBidi" w:cstheme="majorBidi"/>
        </w:rPr>
      </w:pPr>
    </w:p>
    <w:p w14:paraId="2CD6FBE1" w14:textId="77777777" w:rsidR="001A5963" w:rsidRPr="00A729BD" w:rsidRDefault="001A5963" w:rsidP="00B510A8">
      <w:pPr>
        <w:bidi w:val="0"/>
        <w:jc w:val="both"/>
        <w:rPr>
          <w:rFonts w:asciiTheme="majorBidi" w:hAnsiTheme="majorBidi" w:cstheme="majorBidi"/>
          <w:b/>
          <w:bCs/>
        </w:rPr>
      </w:pPr>
      <w:r w:rsidRPr="00A729BD">
        <w:rPr>
          <w:rFonts w:asciiTheme="majorBidi" w:hAnsiTheme="majorBidi" w:cstheme="majorBidi"/>
          <w:b/>
          <w:bCs/>
        </w:rPr>
        <w:t>1. Absences due to being called up to reserves</w:t>
      </w:r>
    </w:p>
    <w:p w14:paraId="4E89BA0F" w14:textId="77777777" w:rsidR="001A5963" w:rsidRPr="00B510A8" w:rsidRDefault="001A5963" w:rsidP="00B510A8">
      <w:pPr>
        <w:bidi w:val="0"/>
        <w:jc w:val="both"/>
        <w:rPr>
          <w:rFonts w:asciiTheme="majorBidi" w:hAnsiTheme="majorBidi" w:cstheme="majorBidi"/>
        </w:rPr>
      </w:pPr>
      <w:r w:rsidRPr="00B510A8">
        <w:rPr>
          <w:rFonts w:asciiTheme="majorBidi" w:hAnsiTheme="majorBidi" w:cstheme="majorBidi"/>
        </w:rPr>
        <w:t>In our assessment, the weekly cost of the absence of the reserves soldiers from their work is about half a billion shekels.</w:t>
      </w:r>
      <w:r w:rsidR="003D0945" w:rsidRPr="00B510A8">
        <w:rPr>
          <w:rStyle w:val="ad"/>
          <w:rFonts w:asciiTheme="majorBidi" w:hAnsiTheme="majorBidi" w:cstheme="majorBidi"/>
        </w:rPr>
        <w:footnoteReference w:id="3"/>
      </w:r>
    </w:p>
    <w:p w14:paraId="14B3AAB1" w14:textId="77777777" w:rsidR="00F7634C" w:rsidRPr="00B510A8" w:rsidRDefault="00F7634C" w:rsidP="00332F6A">
      <w:pPr>
        <w:bidi w:val="0"/>
        <w:jc w:val="both"/>
        <w:rPr>
          <w:rFonts w:asciiTheme="majorBidi" w:hAnsiTheme="majorBidi" w:cstheme="majorBidi"/>
        </w:rPr>
      </w:pPr>
      <w:r w:rsidRPr="00B510A8">
        <w:rPr>
          <w:rFonts w:asciiTheme="majorBidi" w:hAnsiTheme="majorBidi" w:cstheme="majorBidi"/>
        </w:rPr>
        <w:t xml:space="preserve">Based on media reports, on October 10, 2023, the government authorized the IDF (Israel Defense Forces) to call up to 360,000 reserves soldiers. For the purpose of the calculations and to be </w:t>
      </w:r>
      <w:r w:rsidR="00F952B9">
        <w:rPr>
          <w:rFonts w:asciiTheme="majorBidi" w:hAnsiTheme="majorBidi" w:cstheme="majorBidi"/>
        </w:rPr>
        <w:t>conservative</w:t>
      </w:r>
      <w:r w:rsidRPr="00B510A8">
        <w:rPr>
          <w:rFonts w:asciiTheme="majorBidi" w:hAnsiTheme="majorBidi" w:cstheme="majorBidi"/>
        </w:rPr>
        <w:t xml:space="preserve">, we assume that the full </w:t>
      </w:r>
      <w:r w:rsidR="00332F6A">
        <w:rPr>
          <w:rFonts w:asciiTheme="majorBidi" w:hAnsiTheme="majorBidi" w:cstheme="majorBidi"/>
        </w:rPr>
        <w:t xml:space="preserve">quota </w:t>
      </w:r>
      <w:r w:rsidRPr="00B510A8">
        <w:rPr>
          <w:rFonts w:asciiTheme="majorBidi" w:hAnsiTheme="majorBidi" w:cstheme="majorBidi"/>
        </w:rPr>
        <w:t>has not been raised at this time, and that some of the people called up to the reserves can continue economic activity even when called up (remote work, contact with the office, rest periods, etc.). Accordingly, we will assume that the effective number of reserve soldiers for our calculation is 50–60 percent of the total noted.</w:t>
      </w:r>
    </w:p>
    <w:p w14:paraId="4BA80897" w14:textId="77777777" w:rsidR="00F7634C" w:rsidRPr="00B510A8" w:rsidRDefault="00F7634C" w:rsidP="00B510A8">
      <w:pPr>
        <w:bidi w:val="0"/>
        <w:jc w:val="both"/>
        <w:rPr>
          <w:rFonts w:asciiTheme="majorBidi" w:hAnsiTheme="majorBidi" w:cstheme="majorBidi"/>
        </w:rPr>
      </w:pPr>
    </w:p>
    <w:p w14:paraId="085E5CDB" w14:textId="77777777" w:rsidR="00F7634C" w:rsidRPr="00AB121D" w:rsidRDefault="00F7634C" w:rsidP="00B510A8">
      <w:pPr>
        <w:bidi w:val="0"/>
        <w:jc w:val="both"/>
        <w:rPr>
          <w:rFonts w:asciiTheme="majorBidi" w:hAnsiTheme="majorBidi" w:cstheme="majorBidi"/>
          <w:b/>
          <w:bCs/>
        </w:rPr>
      </w:pPr>
      <w:r w:rsidRPr="00AB121D">
        <w:rPr>
          <w:rFonts w:asciiTheme="majorBidi" w:hAnsiTheme="majorBidi" w:cstheme="majorBidi"/>
          <w:b/>
          <w:bCs/>
        </w:rPr>
        <w:t>Table 1</w:t>
      </w:r>
    </w:p>
    <w:p w14:paraId="271CE26D" w14:textId="77777777" w:rsidR="00F7634C" w:rsidRPr="00AB121D" w:rsidRDefault="00F7634C" w:rsidP="00B510A8">
      <w:pPr>
        <w:bidi w:val="0"/>
        <w:jc w:val="both"/>
        <w:rPr>
          <w:rFonts w:asciiTheme="majorBidi" w:hAnsiTheme="majorBidi" w:cstheme="majorBidi"/>
          <w:b/>
          <w:bCs/>
        </w:rPr>
      </w:pPr>
      <w:r w:rsidRPr="00AB121D">
        <w:rPr>
          <w:rFonts w:asciiTheme="majorBidi" w:hAnsiTheme="majorBidi" w:cstheme="majorBidi"/>
          <w:b/>
          <w:bCs/>
        </w:rPr>
        <w:t>The cost of absence from work in respect of reserve soldiers called up</w:t>
      </w:r>
    </w:p>
    <w:tbl>
      <w:tblPr>
        <w:tblStyle w:val="a5"/>
        <w:tblW w:w="9625" w:type="dxa"/>
        <w:tblLook w:val="04A0" w:firstRow="1" w:lastRow="0" w:firstColumn="1" w:lastColumn="0" w:noHBand="0" w:noVBand="1"/>
      </w:tblPr>
      <w:tblGrid>
        <w:gridCol w:w="2853"/>
        <w:gridCol w:w="1336"/>
        <w:gridCol w:w="1354"/>
        <w:gridCol w:w="1976"/>
        <w:gridCol w:w="2106"/>
      </w:tblGrid>
      <w:tr w:rsidR="00F7634C" w:rsidRPr="00B510A8" w14:paraId="14A2EDE6" w14:textId="77777777" w:rsidTr="00D17D85">
        <w:tc>
          <w:tcPr>
            <w:tcW w:w="2853" w:type="dxa"/>
            <w:vAlign w:val="bottom"/>
          </w:tcPr>
          <w:p w14:paraId="1A27312A" w14:textId="77777777" w:rsidR="00F7634C" w:rsidRPr="00332F6A" w:rsidRDefault="00F7634C" w:rsidP="00B510A8">
            <w:pPr>
              <w:bidi w:val="0"/>
              <w:jc w:val="both"/>
              <w:rPr>
                <w:rFonts w:asciiTheme="majorBidi" w:hAnsiTheme="majorBidi" w:cstheme="majorBidi"/>
                <w:b/>
                <w:bCs/>
              </w:rPr>
            </w:pPr>
            <w:r w:rsidRPr="00332F6A">
              <w:rPr>
                <w:rFonts w:asciiTheme="majorBidi" w:hAnsiTheme="majorBidi" w:cstheme="majorBidi"/>
                <w:b/>
                <w:bCs/>
              </w:rPr>
              <w:t>Population groups (non-ultra-Orthodox Jews)</w:t>
            </w:r>
          </w:p>
        </w:tc>
        <w:tc>
          <w:tcPr>
            <w:tcW w:w="1336" w:type="dxa"/>
            <w:vAlign w:val="bottom"/>
          </w:tcPr>
          <w:p w14:paraId="6C95C942" w14:textId="39839E8E" w:rsidR="00F7634C" w:rsidRPr="008121BC" w:rsidRDefault="00F7634C" w:rsidP="008121BC">
            <w:pPr>
              <w:bidi w:val="0"/>
              <w:jc w:val="both"/>
              <w:rPr>
                <w:rFonts w:asciiTheme="majorBidi" w:hAnsiTheme="majorBidi" w:cstheme="majorBidi"/>
                <w:b/>
                <w:bCs/>
              </w:rPr>
            </w:pPr>
            <w:r w:rsidRPr="008121BC">
              <w:rPr>
                <w:rFonts w:asciiTheme="majorBidi" w:hAnsiTheme="majorBidi" w:cstheme="majorBidi"/>
                <w:b/>
                <w:bCs/>
              </w:rPr>
              <w:t>Share of people called up to reserves</w:t>
            </w:r>
          </w:p>
        </w:tc>
        <w:tc>
          <w:tcPr>
            <w:tcW w:w="1354" w:type="dxa"/>
            <w:vAlign w:val="bottom"/>
          </w:tcPr>
          <w:p w14:paraId="4956E13C" w14:textId="77777777" w:rsidR="00F7634C" w:rsidRPr="00332F6A" w:rsidRDefault="00F7634C" w:rsidP="00B510A8">
            <w:pPr>
              <w:bidi w:val="0"/>
              <w:jc w:val="both"/>
              <w:rPr>
                <w:rFonts w:asciiTheme="majorBidi" w:hAnsiTheme="majorBidi" w:cstheme="majorBidi"/>
                <w:b/>
                <w:bCs/>
              </w:rPr>
            </w:pPr>
            <w:r w:rsidRPr="00332F6A">
              <w:rPr>
                <w:rFonts w:asciiTheme="majorBidi" w:hAnsiTheme="majorBidi" w:cstheme="majorBidi"/>
                <w:b/>
                <w:bCs/>
              </w:rPr>
              <w:t xml:space="preserve">Average monthly </w:t>
            </w:r>
            <w:proofErr w:type="spellStart"/>
            <w:r w:rsidRPr="00332F6A">
              <w:rPr>
                <w:rFonts w:asciiTheme="majorBidi" w:hAnsiTheme="majorBidi" w:cstheme="majorBidi"/>
                <w:b/>
                <w:bCs/>
              </w:rPr>
              <w:t>income</w:t>
            </w:r>
            <w:r w:rsidR="00963D8D" w:rsidRPr="00332F6A">
              <w:rPr>
                <w:rFonts w:asciiTheme="majorBidi" w:hAnsiTheme="majorBidi" w:cstheme="majorBidi"/>
                <w:b/>
                <w:bCs/>
                <w:vertAlign w:val="superscript"/>
              </w:rPr>
              <w:t>a</w:t>
            </w:r>
            <w:proofErr w:type="spellEnd"/>
          </w:p>
        </w:tc>
        <w:tc>
          <w:tcPr>
            <w:tcW w:w="1976" w:type="dxa"/>
            <w:vAlign w:val="bottom"/>
          </w:tcPr>
          <w:p w14:paraId="250BA92B" w14:textId="77777777" w:rsidR="00F7634C" w:rsidRPr="009D056A" w:rsidRDefault="00F7634C" w:rsidP="00B510A8">
            <w:pPr>
              <w:bidi w:val="0"/>
              <w:jc w:val="both"/>
              <w:rPr>
                <w:rFonts w:asciiTheme="majorBidi" w:hAnsiTheme="majorBidi" w:cstheme="majorBidi"/>
                <w:b/>
                <w:bCs/>
              </w:rPr>
            </w:pPr>
            <w:r w:rsidRPr="009D056A">
              <w:rPr>
                <w:rFonts w:asciiTheme="majorBidi" w:hAnsiTheme="majorBidi" w:cstheme="majorBidi"/>
                <w:b/>
                <w:bCs/>
              </w:rPr>
              <w:t>Employment rate (October average, 2018–19)</w:t>
            </w:r>
          </w:p>
        </w:tc>
        <w:tc>
          <w:tcPr>
            <w:tcW w:w="2106" w:type="dxa"/>
            <w:vAlign w:val="bottom"/>
          </w:tcPr>
          <w:p w14:paraId="4B659F73" w14:textId="77777777" w:rsidR="00F7634C" w:rsidRPr="00332F6A" w:rsidRDefault="00F7634C" w:rsidP="00050358">
            <w:pPr>
              <w:bidi w:val="0"/>
              <w:jc w:val="both"/>
              <w:rPr>
                <w:rFonts w:asciiTheme="majorBidi" w:hAnsiTheme="majorBidi" w:cstheme="majorBidi"/>
                <w:b/>
                <w:bCs/>
              </w:rPr>
            </w:pPr>
            <w:r w:rsidRPr="00332F6A">
              <w:rPr>
                <w:rFonts w:asciiTheme="majorBidi" w:hAnsiTheme="majorBidi" w:cstheme="majorBidi"/>
                <w:b/>
                <w:bCs/>
              </w:rPr>
              <w:t xml:space="preserve">The total </w:t>
            </w:r>
            <w:r w:rsidR="00050358">
              <w:rPr>
                <w:rFonts w:asciiTheme="majorBidi" w:hAnsiTheme="majorBidi" w:cstheme="majorBidi"/>
                <w:b/>
                <w:bCs/>
              </w:rPr>
              <w:t xml:space="preserve">weekly </w:t>
            </w:r>
            <w:r w:rsidRPr="00332F6A">
              <w:rPr>
                <w:rFonts w:asciiTheme="majorBidi" w:hAnsiTheme="majorBidi" w:cstheme="majorBidi"/>
                <w:b/>
                <w:bCs/>
              </w:rPr>
              <w:t xml:space="preserve">cost including employer’s </w:t>
            </w:r>
            <w:proofErr w:type="spellStart"/>
            <w:r w:rsidRPr="00332F6A">
              <w:rPr>
                <w:rFonts w:asciiTheme="majorBidi" w:hAnsiTheme="majorBidi" w:cstheme="majorBidi"/>
                <w:b/>
                <w:bCs/>
              </w:rPr>
              <w:t>co</w:t>
            </w:r>
            <w:r w:rsidR="004104CA" w:rsidRPr="00332F6A">
              <w:rPr>
                <w:rFonts w:asciiTheme="majorBidi" w:hAnsiTheme="majorBidi" w:cstheme="majorBidi"/>
                <w:b/>
                <w:bCs/>
              </w:rPr>
              <w:t>sts</w:t>
            </w:r>
            <w:r w:rsidR="00963D8D" w:rsidRPr="00332F6A">
              <w:rPr>
                <w:rFonts w:asciiTheme="majorBidi" w:hAnsiTheme="majorBidi" w:cstheme="majorBidi"/>
                <w:b/>
                <w:bCs/>
                <w:vertAlign w:val="superscript"/>
              </w:rPr>
              <w:t>b</w:t>
            </w:r>
            <w:proofErr w:type="spellEnd"/>
            <w:r w:rsidR="004104CA" w:rsidRPr="00332F6A">
              <w:rPr>
                <w:rFonts w:asciiTheme="majorBidi" w:hAnsiTheme="majorBidi" w:cstheme="majorBidi"/>
                <w:b/>
                <w:bCs/>
              </w:rPr>
              <w:t xml:space="preserve"> (NIS million)</w:t>
            </w:r>
          </w:p>
        </w:tc>
      </w:tr>
      <w:tr w:rsidR="00FC7AE4" w:rsidRPr="00B510A8" w14:paraId="7CD5BB8A" w14:textId="77777777" w:rsidTr="00D17D85">
        <w:tc>
          <w:tcPr>
            <w:tcW w:w="2853" w:type="dxa"/>
          </w:tcPr>
          <w:p w14:paraId="498D5257"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Ages 21–27</w:t>
            </w:r>
          </w:p>
        </w:tc>
        <w:tc>
          <w:tcPr>
            <w:tcW w:w="1336" w:type="dxa"/>
            <w:vAlign w:val="center"/>
          </w:tcPr>
          <w:p w14:paraId="4D9CBFE0" w14:textId="2808B822" w:rsidR="00FC7AE4" w:rsidRPr="00B510A8" w:rsidRDefault="00FC7AE4" w:rsidP="00507780">
            <w:pPr>
              <w:bidi w:val="0"/>
              <w:jc w:val="center"/>
              <w:rPr>
                <w:rFonts w:asciiTheme="majorBidi" w:hAnsiTheme="majorBidi" w:cstheme="majorBidi"/>
                <w:rtl/>
              </w:rPr>
            </w:pPr>
            <w:r w:rsidRPr="00B510A8">
              <w:rPr>
                <w:rFonts w:asciiTheme="majorBidi" w:hAnsiTheme="majorBidi" w:cstheme="majorBidi"/>
              </w:rPr>
              <w:t>41</w:t>
            </w:r>
            <w:r w:rsidR="00507780">
              <w:rPr>
                <w:rFonts w:asciiTheme="majorBidi" w:hAnsiTheme="majorBidi" w:cstheme="majorBidi"/>
              </w:rPr>
              <w:t>%</w:t>
            </w:r>
          </w:p>
        </w:tc>
        <w:tc>
          <w:tcPr>
            <w:tcW w:w="1354" w:type="dxa"/>
            <w:vAlign w:val="center"/>
          </w:tcPr>
          <w:p w14:paraId="1179E046"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7,397 </w:t>
            </w:r>
          </w:p>
        </w:tc>
        <w:tc>
          <w:tcPr>
            <w:tcW w:w="1976" w:type="dxa"/>
            <w:vAlign w:val="center"/>
          </w:tcPr>
          <w:p w14:paraId="0B9DA67D" w14:textId="5F5A14C9" w:rsidR="00FC7AE4" w:rsidRPr="009D056A" w:rsidRDefault="00FC7AE4" w:rsidP="007F446C">
            <w:pPr>
              <w:bidi w:val="0"/>
              <w:jc w:val="both"/>
              <w:rPr>
                <w:rFonts w:asciiTheme="majorBidi" w:hAnsiTheme="majorBidi" w:cstheme="majorBidi"/>
              </w:rPr>
            </w:pPr>
            <w:r w:rsidRPr="009D056A">
              <w:rPr>
                <w:rFonts w:asciiTheme="majorBidi" w:hAnsiTheme="majorBidi" w:cstheme="majorBidi"/>
              </w:rPr>
              <w:t xml:space="preserve">          72</w:t>
            </w:r>
            <w:r w:rsidR="00507780">
              <w:rPr>
                <w:rFonts w:asciiTheme="majorBidi" w:hAnsiTheme="majorBidi" w:cstheme="majorBidi"/>
              </w:rPr>
              <w:t>%</w:t>
            </w:r>
            <w:r w:rsidRPr="009D056A">
              <w:rPr>
                <w:rFonts w:asciiTheme="majorBidi" w:hAnsiTheme="majorBidi" w:cstheme="majorBidi"/>
              </w:rPr>
              <w:t xml:space="preserve"> </w:t>
            </w:r>
          </w:p>
        </w:tc>
        <w:tc>
          <w:tcPr>
            <w:tcW w:w="2106" w:type="dxa"/>
            <w:vAlign w:val="center"/>
          </w:tcPr>
          <w:p w14:paraId="3A08C0B5"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117 </w:t>
            </w:r>
          </w:p>
        </w:tc>
      </w:tr>
      <w:tr w:rsidR="00FC7AE4" w:rsidRPr="00B510A8" w14:paraId="0F912C1C" w14:textId="77777777" w:rsidTr="00D17D85">
        <w:tc>
          <w:tcPr>
            <w:tcW w:w="2853" w:type="dxa"/>
          </w:tcPr>
          <w:p w14:paraId="2E888A88"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Ages 28–33</w:t>
            </w:r>
          </w:p>
        </w:tc>
        <w:tc>
          <w:tcPr>
            <w:tcW w:w="1336" w:type="dxa"/>
            <w:vAlign w:val="center"/>
          </w:tcPr>
          <w:p w14:paraId="47373E60" w14:textId="1DDC507E" w:rsidR="00FC7AE4" w:rsidRPr="00B510A8" w:rsidRDefault="00FC7AE4" w:rsidP="007F446C">
            <w:pPr>
              <w:bidi w:val="0"/>
              <w:jc w:val="center"/>
              <w:rPr>
                <w:rFonts w:asciiTheme="majorBidi" w:hAnsiTheme="majorBidi" w:cstheme="majorBidi"/>
                <w:rtl/>
              </w:rPr>
            </w:pPr>
            <w:r w:rsidRPr="00B510A8">
              <w:rPr>
                <w:rFonts w:asciiTheme="majorBidi" w:hAnsiTheme="majorBidi" w:cstheme="majorBidi"/>
              </w:rPr>
              <w:t>34</w:t>
            </w:r>
            <w:r w:rsidR="00507780">
              <w:rPr>
                <w:rFonts w:asciiTheme="majorBidi" w:hAnsiTheme="majorBidi" w:cstheme="majorBidi"/>
              </w:rPr>
              <w:t>%</w:t>
            </w:r>
          </w:p>
        </w:tc>
        <w:tc>
          <w:tcPr>
            <w:tcW w:w="1354" w:type="dxa"/>
            <w:vAlign w:val="center"/>
          </w:tcPr>
          <w:p w14:paraId="2D60C0D8"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12,784 </w:t>
            </w:r>
          </w:p>
        </w:tc>
        <w:tc>
          <w:tcPr>
            <w:tcW w:w="1976" w:type="dxa"/>
            <w:vAlign w:val="center"/>
          </w:tcPr>
          <w:p w14:paraId="73D2DB62" w14:textId="70E320F6" w:rsidR="00FC7AE4" w:rsidRPr="009D056A" w:rsidRDefault="00FC7AE4" w:rsidP="007F446C">
            <w:pPr>
              <w:bidi w:val="0"/>
              <w:jc w:val="both"/>
              <w:rPr>
                <w:rFonts w:asciiTheme="majorBidi" w:hAnsiTheme="majorBidi" w:cstheme="majorBidi"/>
              </w:rPr>
            </w:pPr>
            <w:r w:rsidRPr="009D056A">
              <w:rPr>
                <w:rFonts w:asciiTheme="majorBidi" w:hAnsiTheme="majorBidi" w:cstheme="majorBidi"/>
              </w:rPr>
              <w:t xml:space="preserve">          87</w:t>
            </w:r>
            <w:r w:rsidR="00507780">
              <w:rPr>
                <w:rFonts w:asciiTheme="majorBidi" w:hAnsiTheme="majorBidi" w:cstheme="majorBidi"/>
              </w:rPr>
              <w:t>%</w:t>
            </w:r>
          </w:p>
        </w:tc>
        <w:tc>
          <w:tcPr>
            <w:tcW w:w="2106" w:type="dxa"/>
            <w:vAlign w:val="center"/>
          </w:tcPr>
          <w:p w14:paraId="7B37324A"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203 </w:t>
            </w:r>
          </w:p>
        </w:tc>
      </w:tr>
      <w:tr w:rsidR="00FC7AE4" w:rsidRPr="00B510A8" w14:paraId="38065B0E" w14:textId="77777777" w:rsidTr="00D17D85">
        <w:tc>
          <w:tcPr>
            <w:tcW w:w="2853" w:type="dxa"/>
          </w:tcPr>
          <w:p w14:paraId="4F55DEF3"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Ages 34–39</w:t>
            </w:r>
          </w:p>
        </w:tc>
        <w:tc>
          <w:tcPr>
            <w:tcW w:w="1336" w:type="dxa"/>
            <w:vAlign w:val="center"/>
          </w:tcPr>
          <w:p w14:paraId="2C56F3A2" w14:textId="54746105" w:rsidR="00FC7AE4" w:rsidRPr="00B510A8" w:rsidRDefault="00FC7AE4" w:rsidP="007F446C">
            <w:pPr>
              <w:bidi w:val="0"/>
              <w:jc w:val="center"/>
              <w:rPr>
                <w:rFonts w:asciiTheme="majorBidi" w:hAnsiTheme="majorBidi" w:cstheme="majorBidi"/>
                <w:rtl/>
              </w:rPr>
            </w:pPr>
            <w:r w:rsidRPr="00B510A8">
              <w:rPr>
                <w:rFonts w:asciiTheme="majorBidi" w:hAnsiTheme="majorBidi" w:cstheme="majorBidi"/>
              </w:rPr>
              <w:t>22</w:t>
            </w:r>
            <w:r w:rsidR="00507780">
              <w:rPr>
                <w:rFonts w:asciiTheme="majorBidi" w:hAnsiTheme="majorBidi" w:cstheme="majorBidi"/>
              </w:rPr>
              <w:t>%</w:t>
            </w:r>
          </w:p>
        </w:tc>
        <w:tc>
          <w:tcPr>
            <w:tcW w:w="1354" w:type="dxa"/>
            <w:vAlign w:val="center"/>
          </w:tcPr>
          <w:p w14:paraId="1ECD6226"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17,602 </w:t>
            </w:r>
          </w:p>
        </w:tc>
        <w:tc>
          <w:tcPr>
            <w:tcW w:w="1976" w:type="dxa"/>
            <w:vAlign w:val="center"/>
          </w:tcPr>
          <w:p w14:paraId="483B0C8B" w14:textId="112815E9" w:rsidR="00FC7AE4" w:rsidRPr="009D056A" w:rsidRDefault="00FC7AE4" w:rsidP="007F446C">
            <w:pPr>
              <w:bidi w:val="0"/>
              <w:jc w:val="both"/>
              <w:rPr>
                <w:rFonts w:asciiTheme="majorBidi" w:hAnsiTheme="majorBidi" w:cstheme="majorBidi"/>
              </w:rPr>
            </w:pPr>
            <w:r w:rsidRPr="009D056A">
              <w:rPr>
                <w:rFonts w:asciiTheme="majorBidi" w:hAnsiTheme="majorBidi" w:cstheme="majorBidi"/>
              </w:rPr>
              <w:t xml:space="preserve">          89</w:t>
            </w:r>
            <w:r w:rsidR="00507780">
              <w:rPr>
                <w:rFonts w:asciiTheme="majorBidi" w:hAnsiTheme="majorBidi" w:cstheme="majorBidi"/>
              </w:rPr>
              <w:t>%</w:t>
            </w:r>
          </w:p>
        </w:tc>
        <w:tc>
          <w:tcPr>
            <w:tcW w:w="2106" w:type="dxa"/>
            <w:vAlign w:val="center"/>
          </w:tcPr>
          <w:p w14:paraId="1C5D07F1"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185 </w:t>
            </w:r>
          </w:p>
        </w:tc>
      </w:tr>
      <w:tr w:rsidR="00FC7AE4" w:rsidRPr="00B510A8" w14:paraId="72CCF2EB" w14:textId="77777777" w:rsidTr="00D17D85">
        <w:tc>
          <w:tcPr>
            <w:tcW w:w="2853" w:type="dxa"/>
          </w:tcPr>
          <w:p w14:paraId="66DFEBE5"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Ages 40+</w:t>
            </w:r>
          </w:p>
        </w:tc>
        <w:tc>
          <w:tcPr>
            <w:tcW w:w="1336" w:type="dxa"/>
            <w:vAlign w:val="center"/>
          </w:tcPr>
          <w:p w14:paraId="376998CB" w14:textId="49DD35FB" w:rsidR="00FC7AE4" w:rsidRPr="00B510A8" w:rsidRDefault="00FC7AE4" w:rsidP="007F446C">
            <w:pPr>
              <w:bidi w:val="0"/>
              <w:jc w:val="center"/>
              <w:rPr>
                <w:rFonts w:asciiTheme="majorBidi" w:hAnsiTheme="majorBidi" w:cstheme="majorBidi"/>
                <w:rtl/>
              </w:rPr>
            </w:pPr>
            <w:r w:rsidRPr="00B510A8">
              <w:rPr>
                <w:rFonts w:asciiTheme="majorBidi" w:hAnsiTheme="majorBidi" w:cstheme="majorBidi"/>
              </w:rPr>
              <w:t>3</w:t>
            </w:r>
            <w:r w:rsidR="00507780">
              <w:rPr>
                <w:rFonts w:asciiTheme="majorBidi" w:hAnsiTheme="majorBidi" w:cstheme="majorBidi"/>
              </w:rPr>
              <w:t>%</w:t>
            </w:r>
          </w:p>
        </w:tc>
        <w:tc>
          <w:tcPr>
            <w:tcW w:w="1354" w:type="dxa"/>
            <w:vAlign w:val="center"/>
          </w:tcPr>
          <w:p w14:paraId="69176D19"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19,898 </w:t>
            </w:r>
          </w:p>
        </w:tc>
        <w:tc>
          <w:tcPr>
            <w:tcW w:w="1976" w:type="dxa"/>
            <w:vAlign w:val="center"/>
          </w:tcPr>
          <w:p w14:paraId="42C1519E" w14:textId="466CA9B6" w:rsidR="00FC7AE4" w:rsidRPr="009D056A" w:rsidRDefault="00FC7AE4" w:rsidP="007F446C">
            <w:pPr>
              <w:bidi w:val="0"/>
              <w:jc w:val="both"/>
              <w:rPr>
                <w:rFonts w:asciiTheme="majorBidi" w:hAnsiTheme="majorBidi" w:cstheme="majorBidi"/>
              </w:rPr>
            </w:pPr>
            <w:r w:rsidRPr="009D056A">
              <w:rPr>
                <w:rFonts w:asciiTheme="majorBidi" w:hAnsiTheme="majorBidi" w:cstheme="majorBidi"/>
              </w:rPr>
              <w:t xml:space="preserve">          87</w:t>
            </w:r>
            <w:r w:rsidR="00507780">
              <w:rPr>
                <w:rFonts w:asciiTheme="majorBidi" w:hAnsiTheme="majorBidi" w:cstheme="majorBidi"/>
              </w:rPr>
              <w:t>%</w:t>
            </w:r>
            <w:r w:rsidRPr="009D056A">
              <w:rPr>
                <w:rFonts w:asciiTheme="majorBidi" w:hAnsiTheme="majorBidi" w:cstheme="majorBidi"/>
              </w:rPr>
              <w:t xml:space="preserve"> </w:t>
            </w:r>
          </w:p>
        </w:tc>
        <w:tc>
          <w:tcPr>
            <w:tcW w:w="2106" w:type="dxa"/>
            <w:vAlign w:val="center"/>
          </w:tcPr>
          <w:p w14:paraId="0D64E5B4"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 xml:space="preserve">              28 </w:t>
            </w:r>
          </w:p>
        </w:tc>
      </w:tr>
      <w:tr w:rsidR="00FC7AE4" w:rsidRPr="00B510A8" w14:paraId="22D6D5B3" w14:textId="77777777" w:rsidTr="00D17D85">
        <w:tc>
          <w:tcPr>
            <w:tcW w:w="2853" w:type="dxa"/>
          </w:tcPr>
          <w:p w14:paraId="3B901AFB" w14:textId="77777777" w:rsidR="00FC7AE4" w:rsidRPr="00B510A8" w:rsidRDefault="00FC7AE4" w:rsidP="00B510A8">
            <w:pPr>
              <w:bidi w:val="0"/>
              <w:jc w:val="both"/>
              <w:rPr>
                <w:rFonts w:asciiTheme="majorBidi" w:hAnsiTheme="majorBidi" w:cstheme="majorBidi"/>
              </w:rPr>
            </w:pPr>
            <w:r w:rsidRPr="00B510A8">
              <w:rPr>
                <w:rFonts w:asciiTheme="majorBidi" w:hAnsiTheme="majorBidi" w:cstheme="majorBidi"/>
              </w:rPr>
              <w:t>Total cost</w:t>
            </w:r>
          </w:p>
        </w:tc>
        <w:tc>
          <w:tcPr>
            <w:tcW w:w="1336" w:type="dxa"/>
          </w:tcPr>
          <w:p w14:paraId="2267E188" w14:textId="77777777" w:rsidR="00FC7AE4" w:rsidRPr="00B510A8" w:rsidRDefault="00FC7AE4" w:rsidP="00B510A8">
            <w:pPr>
              <w:bidi w:val="0"/>
              <w:jc w:val="both"/>
              <w:rPr>
                <w:rFonts w:asciiTheme="majorBidi" w:hAnsiTheme="majorBidi" w:cstheme="majorBidi"/>
              </w:rPr>
            </w:pPr>
          </w:p>
        </w:tc>
        <w:tc>
          <w:tcPr>
            <w:tcW w:w="1354" w:type="dxa"/>
          </w:tcPr>
          <w:p w14:paraId="0643E9CA" w14:textId="77777777" w:rsidR="00FC7AE4" w:rsidRPr="00B510A8" w:rsidRDefault="00FC7AE4" w:rsidP="00B510A8">
            <w:pPr>
              <w:bidi w:val="0"/>
              <w:jc w:val="both"/>
              <w:rPr>
                <w:rFonts w:asciiTheme="majorBidi" w:hAnsiTheme="majorBidi" w:cstheme="majorBidi"/>
              </w:rPr>
            </w:pPr>
          </w:p>
        </w:tc>
        <w:tc>
          <w:tcPr>
            <w:tcW w:w="1976" w:type="dxa"/>
          </w:tcPr>
          <w:p w14:paraId="766C9384" w14:textId="77777777" w:rsidR="00FC7AE4" w:rsidRPr="00B510A8" w:rsidRDefault="00FC7AE4" w:rsidP="00B510A8">
            <w:pPr>
              <w:bidi w:val="0"/>
              <w:jc w:val="both"/>
              <w:rPr>
                <w:rFonts w:asciiTheme="majorBidi" w:hAnsiTheme="majorBidi" w:cstheme="majorBidi"/>
              </w:rPr>
            </w:pPr>
          </w:p>
        </w:tc>
        <w:tc>
          <w:tcPr>
            <w:tcW w:w="2106" w:type="dxa"/>
          </w:tcPr>
          <w:p w14:paraId="3E642471" w14:textId="77777777" w:rsidR="00FC7AE4" w:rsidRPr="00B510A8" w:rsidRDefault="00FC7AE4" w:rsidP="002647C0">
            <w:pPr>
              <w:bidi w:val="0"/>
              <w:jc w:val="center"/>
              <w:rPr>
                <w:rFonts w:asciiTheme="majorBidi" w:hAnsiTheme="majorBidi" w:cstheme="majorBidi"/>
              </w:rPr>
            </w:pPr>
            <w:r w:rsidRPr="00B510A8">
              <w:rPr>
                <w:rFonts w:asciiTheme="majorBidi" w:hAnsiTheme="majorBidi" w:cstheme="majorBidi"/>
              </w:rPr>
              <w:t>533</w:t>
            </w:r>
          </w:p>
        </w:tc>
      </w:tr>
      <w:tr w:rsidR="00FC7AE4" w:rsidRPr="00B510A8" w14:paraId="70F3CBD5" w14:textId="77777777" w:rsidTr="00D17D85">
        <w:tc>
          <w:tcPr>
            <w:tcW w:w="2853" w:type="dxa"/>
          </w:tcPr>
          <w:p w14:paraId="26D0F4EB" w14:textId="47C28275" w:rsidR="00FC7AE4" w:rsidRPr="00B510A8" w:rsidRDefault="00FC7AE4" w:rsidP="00771A51">
            <w:pPr>
              <w:bidi w:val="0"/>
              <w:jc w:val="both"/>
              <w:rPr>
                <w:rFonts w:asciiTheme="majorBidi" w:hAnsiTheme="majorBidi" w:cstheme="majorBidi"/>
              </w:rPr>
            </w:pPr>
            <w:r w:rsidRPr="00B510A8">
              <w:rPr>
                <w:rFonts w:asciiTheme="majorBidi" w:hAnsiTheme="majorBidi" w:cstheme="majorBidi"/>
              </w:rPr>
              <w:t xml:space="preserve">After offsetting residents </w:t>
            </w:r>
            <w:r w:rsidR="006B6C66">
              <w:rPr>
                <w:rFonts w:asciiTheme="majorBidi" w:hAnsiTheme="majorBidi" w:cstheme="majorBidi"/>
              </w:rPr>
              <w:t xml:space="preserve">who were evacuated or left on their </w:t>
            </w:r>
            <w:proofErr w:type="spellStart"/>
            <w:r w:rsidR="006B6C66">
              <w:rPr>
                <w:rFonts w:asciiTheme="majorBidi" w:hAnsiTheme="majorBidi" w:cstheme="majorBidi"/>
              </w:rPr>
              <w:t>own</w:t>
            </w:r>
            <w:r w:rsidR="00963D8D" w:rsidRPr="00B510A8">
              <w:rPr>
                <w:rFonts w:asciiTheme="majorBidi" w:hAnsiTheme="majorBidi" w:cstheme="majorBidi"/>
                <w:vertAlign w:val="superscript"/>
              </w:rPr>
              <w:t>c</w:t>
            </w:r>
            <w:proofErr w:type="spellEnd"/>
          </w:p>
        </w:tc>
        <w:tc>
          <w:tcPr>
            <w:tcW w:w="1336" w:type="dxa"/>
          </w:tcPr>
          <w:p w14:paraId="39509A63" w14:textId="77777777" w:rsidR="00FC7AE4" w:rsidRPr="00B510A8" w:rsidRDefault="00FC7AE4" w:rsidP="00B510A8">
            <w:pPr>
              <w:bidi w:val="0"/>
              <w:jc w:val="both"/>
              <w:rPr>
                <w:rFonts w:asciiTheme="majorBidi" w:hAnsiTheme="majorBidi" w:cstheme="majorBidi"/>
              </w:rPr>
            </w:pPr>
          </w:p>
        </w:tc>
        <w:tc>
          <w:tcPr>
            <w:tcW w:w="1354" w:type="dxa"/>
          </w:tcPr>
          <w:p w14:paraId="643F9896" w14:textId="77777777" w:rsidR="00FC7AE4" w:rsidRPr="00B510A8" w:rsidRDefault="00FC7AE4" w:rsidP="00B510A8">
            <w:pPr>
              <w:bidi w:val="0"/>
              <w:jc w:val="both"/>
              <w:rPr>
                <w:rFonts w:asciiTheme="majorBidi" w:hAnsiTheme="majorBidi" w:cstheme="majorBidi"/>
              </w:rPr>
            </w:pPr>
          </w:p>
        </w:tc>
        <w:tc>
          <w:tcPr>
            <w:tcW w:w="1976" w:type="dxa"/>
          </w:tcPr>
          <w:p w14:paraId="76CD9D69" w14:textId="77777777" w:rsidR="00FC7AE4" w:rsidRPr="00B510A8" w:rsidRDefault="00FC7AE4" w:rsidP="00B510A8">
            <w:pPr>
              <w:bidi w:val="0"/>
              <w:jc w:val="both"/>
              <w:rPr>
                <w:rFonts w:asciiTheme="majorBidi" w:hAnsiTheme="majorBidi" w:cstheme="majorBidi"/>
              </w:rPr>
            </w:pPr>
          </w:p>
        </w:tc>
        <w:tc>
          <w:tcPr>
            <w:tcW w:w="2106" w:type="dxa"/>
            <w:shd w:val="clear" w:color="auto" w:fill="B8CCE4" w:themeFill="accent1" w:themeFillTint="66"/>
          </w:tcPr>
          <w:p w14:paraId="491CCD10" w14:textId="77777777" w:rsidR="00FC7AE4" w:rsidRPr="002647C0" w:rsidRDefault="00FC7AE4" w:rsidP="002647C0">
            <w:pPr>
              <w:bidi w:val="0"/>
              <w:jc w:val="center"/>
              <w:rPr>
                <w:rFonts w:asciiTheme="majorBidi" w:hAnsiTheme="majorBidi" w:cstheme="majorBidi"/>
                <w:b/>
                <w:bCs/>
              </w:rPr>
            </w:pPr>
            <w:r w:rsidRPr="002647C0">
              <w:rPr>
                <w:rFonts w:asciiTheme="majorBidi" w:hAnsiTheme="majorBidi" w:cstheme="majorBidi"/>
                <w:b/>
                <w:bCs/>
              </w:rPr>
              <w:t>507</w:t>
            </w:r>
          </w:p>
        </w:tc>
      </w:tr>
    </w:tbl>
    <w:p w14:paraId="53DF8F3B" w14:textId="24A2071F" w:rsidR="00F7634C" w:rsidRPr="002713B5" w:rsidRDefault="00963D8D" w:rsidP="00515B59">
      <w:pPr>
        <w:bidi w:val="0"/>
        <w:jc w:val="both"/>
        <w:rPr>
          <w:rFonts w:asciiTheme="majorBidi" w:hAnsiTheme="majorBidi" w:cstheme="majorBidi"/>
          <w:sz w:val="20"/>
          <w:szCs w:val="20"/>
        </w:rPr>
      </w:pPr>
      <w:proofErr w:type="spellStart"/>
      <w:proofErr w:type="gramStart"/>
      <w:r w:rsidRPr="002713B5">
        <w:rPr>
          <w:rFonts w:asciiTheme="majorBidi" w:hAnsiTheme="majorBidi" w:cstheme="majorBidi"/>
          <w:sz w:val="20"/>
          <w:szCs w:val="20"/>
          <w:vertAlign w:val="superscript"/>
        </w:rPr>
        <w:t>a</w:t>
      </w:r>
      <w:proofErr w:type="spellEnd"/>
      <w:proofErr w:type="gramEnd"/>
      <w:r w:rsidRPr="002713B5">
        <w:rPr>
          <w:rFonts w:asciiTheme="majorBidi" w:hAnsiTheme="majorBidi" w:cstheme="majorBidi"/>
          <w:sz w:val="20"/>
          <w:szCs w:val="20"/>
        </w:rPr>
        <w:t xml:space="preserve"> </w:t>
      </w:r>
      <w:r w:rsidR="00515B59">
        <w:rPr>
          <w:rFonts w:asciiTheme="majorBidi" w:hAnsiTheme="majorBidi" w:cstheme="majorBidi"/>
          <w:sz w:val="20"/>
          <w:szCs w:val="20"/>
        </w:rPr>
        <w:t>I</w:t>
      </w:r>
      <w:r w:rsidRPr="002713B5">
        <w:rPr>
          <w:rFonts w:asciiTheme="majorBidi" w:hAnsiTheme="majorBidi" w:cstheme="majorBidi"/>
          <w:sz w:val="20"/>
          <w:szCs w:val="20"/>
        </w:rPr>
        <w:t>ncome from wage or self-employment</w:t>
      </w:r>
      <w:r w:rsidR="00515B59">
        <w:rPr>
          <w:rFonts w:asciiTheme="majorBidi" w:hAnsiTheme="majorBidi" w:cstheme="majorBidi"/>
          <w:sz w:val="20"/>
          <w:szCs w:val="20"/>
        </w:rPr>
        <w:t>,</w:t>
      </w:r>
      <w:r w:rsidR="009E2EAB">
        <w:rPr>
          <w:rFonts w:asciiTheme="majorBidi" w:hAnsiTheme="majorBidi" w:cstheme="majorBidi" w:hint="cs"/>
          <w:sz w:val="20"/>
          <w:szCs w:val="20"/>
          <w:rtl/>
        </w:rPr>
        <w:t xml:space="preserve"> </w:t>
      </w:r>
      <w:r w:rsidRPr="002713B5">
        <w:rPr>
          <w:rFonts w:asciiTheme="majorBidi" w:hAnsiTheme="majorBidi" w:cstheme="majorBidi"/>
          <w:sz w:val="20"/>
          <w:szCs w:val="20"/>
        </w:rPr>
        <w:t>based on administrative data for 2021, adjusted for the increase in wages between the 2021 average and July 2023 (an increase of 8.8 percent in average wage).</w:t>
      </w:r>
    </w:p>
    <w:p w14:paraId="4286B728" w14:textId="77777777" w:rsidR="00963D8D" w:rsidRPr="002713B5" w:rsidRDefault="00963D8D" w:rsidP="00B510A8">
      <w:pPr>
        <w:bidi w:val="0"/>
        <w:jc w:val="both"/>
        <w:rPr>
          <w:rFonts w:asciiTheme="majorBidi" w:hAnsiTheme="majorBidi" w:cstheme="majorBidi"/>
          <w:sz w:val="20"/>
          <w:szCs w:val="20"/>
        </w:rPr>
      </w:pPr>
      <w:proofErr w:type="gramStart"/>
      <w:r w:rsidRPr="002713B5">
        <w:rPr>
          <w:rFonts w:asciiTheme="majorBidi" w:hAnsiTheme="majorBidi" w:cstheme="majorBidi"/>
          <w:sz w:val="20"/>
          <w:szCs w:val="20"/>
          <w:vertAlign w:val="superscript"/>
        </w:rPr>
        <w:t>b</w:t>
      </w:r>
      <w:proofErr w:type="gramEnd"/>
      <w:r w:rsidRPr="002713B5">
        <w:rPr>
          <w:rFonts w:asciiTheme="majorBidi" w:hAnsiTheme="majorBidi" w:cstheme="majorBidi"/>
          <w:sz w:val="20"/>
          <w:szCs w:val="20"/>
          <w:vertAlign w:val="superscript"/>
        </w:rPr>
        <w:t xml:space="preserve"> </w:t>
      </w:r>
      <w:r w:rsidRPr="002713B5">
        <w:rPr>
          <w:rFonts w:asciiTheme="majorBidi" w:hAnsiTheme="majorBidi" w:cstheme="majorBidi"/>
          <w:sz w:val="20"/>
          <w:szCs w:val="20"/>
        </w:rPr>
        <w:t>Assuming that the employer’s costs make up 20 percent of gross wages.</w:t>
      </w:r>
    </w:p>
    <w:p w14:paraId="452D4283" w14:textId="77777777" w:rsidR="00963D8D" w:rsidRDefault="00963D8D" w:rsidP="00B510A8">
      <w:pPr>
        <w:bidi w:val="0"/>
        <w:jc w:val="both"/>
        <w:rPr>
          <w:rFonts w:asciiTheme="majorBidi" w:hAnsiTheme="majorBidi" w:cstheme="majorBidi"/>
          <w:sz w:val="20"/>
          <w:szCs w:val="20"/>
        </w:rPr>
      </w:pPr>
      <w:proofErr w:type="gramStart"/>
      <w:r w:rsidRPr="002713B5">
        <w:rPr>
          <w:rFonts w:asciiTheme="majorBidi" w:hAnsiTheme="majorBidi" w:cstheme="majorBidi"/>
          <w:sz w:val="20"/>
          <w:szCs w:val="20"/>
          <w:vertAlign w:val="superscript"/>
        </w:rPr>
        <w:t>c</w:t>
      </w:r>
      <w:proofErr w:type="gramEnd"/>
      <w:r w:rsidRPr="002713B5">
        <w:rPr>
          <w:rFonts w:asciiTheme="majorBidi" w:hAnsiTheme="majorBidi" w:cstheme="majorBidi"/>
          <w:sz w:val="20"/>
          <w:szCs w:val="20"/>
        </w:rPr>
        <w:t xml:space="preserve"> Residential areas on the confrontation line in which the percent of residents evacuated is greater than 10 percent (Home Front Command data as of October 25, 2023). These make up around 4.8 percent of employees and 4.9 percent of the cost.</w:t>
      </w:r>
    </w:p>
    <w:p w14:paraId="745D7247" w14:textId="77777777" w:rsidR="00050358" w:rsidRPr="00050358" w:rsidRDefault="00050358" w:rsidP="00050358">
      <w:pPr>
        <w:bidi w:val="0"/>
        <w:jc w:val="both"/>
        <w:rPr>
          <w:rFonts w:asciiTheme="majorBidi" w:hAnsiTheme="majorBidi" w:cstheme="majorBidi"/>
          <w:sz w:val="22"/>
          <w:szCs w:val="22"/>
        </w:rPr>
      </w:pPr>
      <w:r w:rsidRPr="00DC76A3">
        <w:rPr>
          <w:rFonts w:asciiTheme="majorBidi" w:hAnsiTheme="majorBidi" w:cstheme="majorBidi"/>
          <w:b/>
          <w:bCs/>
          <w:sz w:val="22"/>
          <w:szCs w:val="22"/>
        </w:rPr>
        <w:t xml:space="preserve">SOURCE: </w:t>
      </w:r>
      <w:r w:rsidRPr="00050358">
        <w:rPr>
          <w:rFonts w:asciiTheme="majorBidi" w:hAnsiTheme="majorBidi" w:cstheme="majorBidi"/>
          <w:sz w:val="22"/>
          <w:szCs w:val="22"/>
        </w:rPr>
        <w:t xml:space="preserve">Based on Labor Force Survey data in the research room. Income data are administrative data on wages and self-employment income in 2021. </w:t>
      </w:r>
    </w:p>
    <w:p w14:paraId="3FF61411" w14:textId="77777777" w:rsidR="00B9775D" w:rsidRPr="00B510A8" w:rsidRDefault="00B9775D" w:rsidP="00B510A8">
      <w:pPr>
        <w:bidi w:val="0"/>
        <w:jc w:val="both"/>
        <w:rPr>
          <w:rFonts w:asciiTheme="majorBidi" w:hAnsiTheme="majorBidi" w:cstheme="majorBidi"/>
        </w:rPr>
      </w:pPr>
    </w:p>
    <w:p w14:paraId="5E6C96D5" w14:textId="52C1FA4A" w:rsidR="00B9775D" w:rsidRDefault="00B9775D" w:rsidP="00515B59">
      <w:pPr>
        <w:bidi w:val="0"/>
        <w:jc w:val="both"/>
      </w:pPr>
      <w:r w:rsidRPr="00B510A8">
        <w:rPr>
          <w:rFonts w:asciiTheme="majorBidi" w:hAnsiTheme="majorBidi" w:cstheme="majorBidi"/>
        </w:rPr>
        <w:lastRenderedPageBreak/>
        <w:t xml:space="preserve">We assumed that the age of those called up to the reserves is distributed in a manner similar to that found by </w:t>
      </w:r>
      <w:proofErr w:type="spellStart"/>
      <w:r w:rsidRPr="00B510A8">
        <w:rPr>
          <w:rFonts w:asciiTheme="majorBidi" w:hAnsiTheme="majorBidi" w:cstheme="majorBidi"/>
        </w:rPr>
        <w:t>Halifa</w:t>
      </w:r>
      <w:proofErr w:type="spellEnd"/>
      <w:r w:rsidRPr="00B510A8">
        <w:rPr>
          <w:rFonts w:asciiTheme="majorBidi" w:hAnsiTheme="majorBidi" w:cstheme="majorBidi"/>
        </w:rPr>
        <w:t>-Rafael.</w:t>
      </w:r>
      <w:r w:rsidRPr="00B510A8">
        <w:rPr>
          <w:rStyle w:val="ad"/>
          <w:rFonts w:asciiTheme="majorBidi" w:hAnsiTheme="majorBidi" w:cstheme="majorBidi"/>
        </w:rPr>
        <w:footnoteReference w:id="4"/>
      </w:r>
      <w:r w:rsidR="00060A21" w:rsidRPr="00B510A8">
        <w:rPr>
          <w:rFonts w:asciiTheme="majorBidi" w:hAnsiTheme="majorBidi" w:cstheme="majorBidi"/>
        </w:rPr>
        <w:t xml:space="preserve"> The employment rate (monthly average of October 2018–19) and the average income (wage or self-employment in</w:t>
      </w:r>
      <w:r w:rsidR="00060A21" w:rsidRPr="00B510A8">
        <w:t>come) was calculated for each age group.</w:t>
      </w:r>
      <w:r w:rsidR="00060A21" w:rsidRPr="00B510A8">
        <w:rPr>
          <w:rStyle w:val="ad"/>
        </w:rPr>
        <w:footnoteReference w:id="5"/>
      </w:r>
    </w:p>
    <w:p w14:paraId="06E34E3C" w14:textId="621C5C42" w:rsidR="00581C79" w:rsidRDefault="00581C79" w:rsidP="00515B59">
      <w:pPr>
        <w:bidi w:val="0"/>
        <w:jc w:val="both"/>
      </w:pPr>
      <w:r>
        <w:t xml:space="preserve">We assumed that </w:t>
      </w:r>
      <w:r w:rsidR="00515B59">
        <w:t>employer’s cost</w:t>
      </w:r>
      <w:r>
        <w:t>, which represents the labor productivity</w:t>
      </w:r>
      <w:r>
        <w:rPr>
          <w:rStyle w:val="ad"/>
        </w:rPr>
        <w:footnoteReference w:id="6"/>
      </w:r>
      <w:r>
        <w:t>, is 20 percent higher than the gross wage, on average.</w:t>
      </w:r>
      <w:r>
        <w:rPr>
          <w:rStyle w:val="ad"/>
        </w:rPr>
        <w:footnoteReference w:id="7"/>
      </w:r>
    </w:p>
    <w:p w14:paraId="593D1A01" w14:textId="21403D05" w:rsidR="006746E1" w:rsidRDefault="006746E1" w:rsidP="005037B7">
      <w:pPr>
        <w:bidi w:val="0"/>
        <w:jc w:val="both"/>
      </w:pPr>
      <w:r>
        <w:t xml:space="preserve">We reduced the cost by 4.9 percent (NIS 26 million) in order to offset the cost of absence from work of the reserve soldiers who live in residential areas </w:t>
      </w:r>
      <w:r w:rsidR="00771A51">
        <w:t>that were evacuated or those who left on their own</w:t>
      </w:r>
      <w:r>
        <w:t>, under the assumption that they would have been absent from their work even if they had not been called up to the reserves. (See Section 2 below.)</w:t>
      </w:r>
    </w:p>
    <w:p w14:paraId="181B79C6" w14:textId="77777777" w:rsidR="00074B7E" w:rsidRDefault="00074B7E" w:rsidP="00074B7E">
      <w:pPr>
        <w:bidi w:val="0"/>
        <w:jc w:val="both"/>
      </w:pPr>
    </w:p>
    <w:p w14:paraId="711B597F" w14:textId="6232B401" w:rsidR="00074B7E" w:rsidRPr="00B2087B" w:rsidRDefault="00074B7E" w:rsidP="009E2EAB">
      <w:pPr>
        <w:bidi w:val="0"/>
        <w:jc w:val="both"/>
        <w:rPr>
          <w:b/>
          <w:bCs/>
        </w:rPr>
      </w:pPr>
      <w:r w:rsidRPr="00B2087B">
        <w:rPr>
          <w:b/>
          <w:bCs/>
        </w:rPr>
        <w:t xml:space="preserve">2. The </w:t>
      </w:r>
      <w:r w:rsidRPr="009E2EAB">
        <w:rPr>
          <w:b/>
          <w:bCs/>
        </w:rPr>
        <w:t xml:space="preserve">absence of </w:t>
      </w:r>
      <w:r w:rsidR="00F60697" w:rsidRPr="009E2EAB">
        <w:rPr>
          <w:b/>
          <w:bCs/>
        </w:rPr>
        <w:t>workers</w:t>
      </w:r>
      <w:r w:rsidRPr="00B2087B">
        <w:rPr>
          <w:b/>
          <w:bCs/>
        </w:rPr>
        <w:t xml:space="preserve"> who were evacuated or who left their homes</w:t>
      </w:r>
    </w:p>
    <w:p w14:paraId="414562A9" w14:textId="7BB6BFCD" w:rsidR="00074B7E" w:rsidRDefault="00F60697" w:rsidP="00F60697">
      <w:pPr>
        <w:bidi w:val="0"/>
        <w:jc w:val="both"/>
      </w:pPr>
      <w:r>
        <w:t xml:space="preserve">About </w:t>
      </w:r>
      <w:r w:rsidR="00074B7E">
        <w:t>144,000 workers</w:t>
      </w:r>
      <w:r w:rsidR="009E2EAB">
        <w:rPr>
          <w:rFonts w:hint="cs"/>
          <w:rtl/>
        </w:rPr>
        <w:t xml:space="preserve"> </w:t>
      </w:r>
      <w:r>
        <w:t>were evacuated or left their homes and therefore</w:t>
      </w:r>
      <w:r w:rsidR="00074B7E">
        <w:t xml:space="preserve"> are absent from their work. The weekly economic cost in respect of this absence is about NIS 590 million. </w:t>
      </w:r>
    </w:p>
    <w:p w14:paraId="1DE6BB3F" w14:textId="77777777" w:rsidR="008F5133" w:rsidRDefault="008F5133" w:rsidP="000179E9">
      <w:pPr>
        <w:bidi w:val="0"/>
        <w:jc w:val="both"/>
      </w:pPr>
    </w:p>
    <w:p w14:paraId="37AA2F29" w14:textId="334ECD6D" w:rsidR="00074B7E" w:rsidRDefault="00074B7E" w:rsidP="006B18C5">
      <w:pPr>
        <w:bidi w:val="0"/>
        <w:jc w:val="both"/>
      </w:pPr>
      <w:r>
        <w:t>The calculation is based on data on the residential areas, in both the North and the South, in which more than 10 percent of their residents were evacuated or left on their own, based on data through October 25</w:t>
      </w:r>
      <w:r w:rsidR="000179E9">
        <w:t>, 2023 that was given to us by the Home Front Command.</w:t>
      </w:r>
      <w:r w:rsidR="00B2087B">
        <w:rPr>
          <w:rStyle w:val="ad"/>
        </w:rPr>
        <w:footnoteReference w:id="8"/>
      </w:r>
      <w:r w:rsidR="00DA2264">
        <w:t xml:space="preserve"> In most of the said residential areas, the percentage of those evacuated by the Home Front Command (</w:t>
      </w:r>
      <w:r w:rsidR="00F60697">
        <w:t xml:space="preserve">to </w:t>
      </w:r>
      <w:r w:rsidR="00DA2264">
        <w:t>hotels, etc.) was more than 80 percent.</w:t>
      </w:r>
      <w:r w:rsidR="009E4E74">
        <w:t xml:space="preserve"> In some of the residential areas, particularly cities, there are additional residents who found alternatives to evacuation. Therefore, we assume that essentially all the residents will be absent from their work</w:t>
      </w:r>
      <w:r w:rsidR="00976C4B">
        <w:rPr>
          <w:rStyle w:val="ad"/>
        </w:rPr>
        <w:footnoteReference w:id="9"/>
      </w:r>
      <w:r w:rsidR="009E4E74">
        <w:t>, in addition to half the residents of the city of Ashkelon. In addition, we assume that whomever can work remotely (“from home”) is in fact doing so and is not absent from work despite the evacuation.</w:t>
      </w:r>
      <w:r w:rsidR="00702362">
        <w:t xml:space="preserve"> As such, we calculate the </w:t>
      </w:r>
      <w:r w:rsidR="00007057">
        <w:t>number of</w:t>
      </w:r>
      <w:r w:rsidR="00702362">
        <w:t xml:space="preserve"> those missing within the number of those who cannot work from home. </w:t>
      </w:r>
      <w:r w:rsidR="00A1465C">
        <w:t xml:space="preserve">In addition, </w:t>
      </w:r>
      <w:r w:rsidR="00702362">
        <w:t xml:space="preserve">based on </w:t>
      </w:r>
      <w:r w:rsidR="00F60697">
        <w:t xml:space="preserve">a </w:t>
      </w:r>
      <w:r w:rsidR="00702362">
        <w:t>pessimistic scenario, we assume that the productivity of remote work of the residents of the area under existing conditions is 50 percent of their regular productivity.</w:t>
      </w:r>
      <w:r w:rsidR="00214BAA">
        <w:rPr>
          <w:rStyle w:val="ad"/>
        </w:rPr>
        <w:footnoteReference w:id="10"/>
      </w:r>
      <w:r w:rsidR="00702362">
        <w:t xml:space="preserve"> </w:t>
      </w:r>
      <w:r w:rsidR="0016636D">
        <w:t xml:space="preserve">For </w:t>
      </w:r>
      <w:r w:rsidR="00F60697">
        <w:t>each</w:t>
      </w:r>
      <w:r w:rsidR="0016636D">
        <w:t xml:space="preserve"> area, we calculated the employment rates, the number of employees and the average labor income. Similar to the preceding section, we assume that the overall cost of employment, which represents the</w:t>
      </w:r>
      <w:r w:rsidR="009E2EAB">
        <w:t xml:space="preserve"> </w:t>
      </w:r>
      <w:r w:rsidR="00456C6D">
        <w:t>economic contribution of these employees</w:t>
      </w:r>
      <w:r w:rsidR="0016636D" w:rsidRPr="009E2EAB">
        <w:t>,</w:t>
      </w:r>
      <w:r w:rsidR="0016636D">
        <w:t xml:space="preserve"> is about 20 percent more than the gross wage.</w:t>
      </w:r>
    </w:p>
    <w:p w14:paraId="16E0187B" w14:textId="77777777" w:rsidR="00B3670C" w:rsidRDefault="00B3670C" w:rsidP="00B3670C">
      <w:pPr>
        <w:bidi w:val="0"/>
        <w:jc w:val="both"/>
      </w:pPr>
      <w:r>
        <w:t>The total weekly cost in the pessimistic scenario (Table 2) is about NIS 590 million—about 550 million in respect of the absence of 144,000 employees and about NIS 40 million in respect of loss of efficiency as a result of remote work.</w:t>
      </w:r>
    </w:p>
    <w:p w14:paraId="2E17DF55" w14:textId="77777777" w:rsidR="0057274B" w:rsidRDefault="0057274B" w:rsidP="00CF3393">
      <w:pPr>
        <w:bidi w:val="0"/>
        <w:jc w:val="both"/>
      </w:pPr>
    </w:p>
    <w:p w14:paraId="64DF7FA4" w14:textId="77777777" w:rsidR="00FD1E1E" w:rsidRDefault="00FD1E1E" w:rsidP="003602F3">
      <w:pPr>
        <w:bidi w:val="0"/>
        <w:jc w:val="both"/>
      </w:pPr>
      <w:r>
        <w:lastRenderedPageBreak/>
        <w:t xml:space="preserve">We examined another, optimistic, scenario, in which there was less absence of workers. In this scenario, we assume that only 70 percent of residents of the South will be absent from their place of work, as will 50 percent of the residents of the North and 40 percent in the city of Ashkelon. Under this scenario, we assume that the </w:t>
      </w:r>
      <w:r w:rsidR="0057274B">
        <w:t xml:space="preserve">efficiency </w:t>
      </w:r>
      <w:r>
        <w:t>of work from home is 80 percent of the regular efficiency. Under these assumptions, the weekly cost is about NIS 360 million—NIS 345 million in respect of the absence of 91,000 employees and about NIS 15 million in respect of loss of efficiency in remote work.</w:t>
      </w:r>
      <w:r w:rsidR="00CF3393">
        <w:t xml:space="preserve"> In the current situation, the optimistic scenario see</w:t>
      </w:r>
      <w:r w:rsidR="0057274B">
        <w:t>m</w:t>
      </w:r>
      <w:r w:rsidR="00CF3393">
        <w:t xml:space="preserve">s less </w:t>
      </w:r>
      <w:r w:rsidR="003602F3">
        <w:t>plausible</w:t>
      </w:r>
      <w:r w:rsidR="00CF3393">
        <w:t xml:space="preserve">. </w:t>
      </w:r>
      <w:r w:rsidR="003602F3">
        <w:t xml:space="preserve">However, </w:t>
      </w:r>
      <w:r w:rsidR="00CF3393">
        <w:t>if solutions for evacuation closer to workplaces are found, there will be an increased likelihood that some of the evacuated residents will be able to return to work even before the end of the war, or before a marked improvement in the security situation.</w:t>
      </w:r>
    </w:p>
    <w:p w14:paraId="6D30A685" w14:textId="77777777" w:rsidR="00934924" w:rsidRDefault="00934924" w:rsidP="00934924">
      <w:pPr>
        <w:bidi w:val="0"/>
        <w:jc w:val="both"/>
      </w:pPr>
    </w:p>
    <w:p w14:paraId="7E712463" w14:textId="77777777" w:rsidR="00934924" w:rsidRPr="00467D55" w:rsidRDefault="00934924" w:rsidP="00934924">
      <w:pPr>
        <w:bidi w:val="0"/>
        <w:jc w:val="both"/>
        <w:rPr>
          <w:b/>
          <w:bCs/>
        </w:rPr>
      </w:pPr>
      <w:r w:rsidRPr="00467D55">
        <w:rPr>
          <w:b/>
          <w:bCs/>
        </w:rPr>
        <w:t>Table 2</w:t>
      </w:r>
    </w:p>
    <w:p w14:paraId="558DF5B5" w14:textId="3504EFF3" w:rsidR="00934924" w:rsidRDefault="00934924" w:rsidP="00ED780F">
      <w:pPr>
        <w:bidi w:val="0"/>
        <w:jc w:val="both"/>
      </w:pPr>
      <w:r w:rsidRPr="00467D55">
        <w:rPr>
          <w:b/>
          <w:bCs/>
        </w:rPr>
        <w:t xml:space="preserve">Cost of absence from work of residents </w:t>
      </w:r>
      <w:r w:rsidR="00ED780F">
        <w:rPr>
          <w:b/>
          <w:bCs/>
        </w:rPr>
        <w:t>who were evacuated or who left on their own</w:t>
      </w:r>
      <w:r w:rsidRPr="00467D55">
        <w:rPr>
          <w:b/>
          <w:bCs/>
        </w:rPr>
        <w:t>–pessimistic scenario</w:t>
      </w:r>
    </w:p>
    <w:tbl>
      <w:tblPr>
        <w:tblStyle w:val="a5"/>
        <w:tblW w:w="0" w:type="auto"/>
        <w:tblLook w:val="04A0" w:firstRow="1" w:lastRow="0" w:firstColumn="1" w:lastColumn="0" w:noHBand="0" w:noVBand="1"/>
      </w:tblPr>
      <w:tblGrid>
        <w:gridCol w:w="1201"/>
        <w:gridCol w:w="825"/>
        <w:gridCol w:w="503"/>
        <w:gridCol w:w="815"/>
        <w:gridCol w:w="555"/>
        <w:gridCol w:w="700"/>
        <w:gridCol w:w="582"/>
        <w:gridCol w:w="903"/>
        <w:gridCol w:w="737"/>
        <w:gridCol w:w="743"/>
        <w:gridCol w:w="738"/>
      </w:tblGrid>
      <w:tr w:rsidR="00AB1BA6" w:rsidRPr="00AB1BA6" w14:paraId="5148224F" w14:textId="77777777" w:rsidTr="00AB1BA6">
        <w:trPr>
          <w:trHeight w:val="5429"/>
        </w:trPr>
        <w:tc>
          <w:tcPr>
            <w:tcW w:w="1201" w:type="dxa"/>
            <w:textDirection w:val="btLr"/>
          </w:tcPr>
          <w:p w14:paraId="4217F174" w14:textId="77777777" w:rsidR="007749FD" w:rsidRPr="00AB1BA6" w:rsidRDefault="007749FD" w:rsidP="007749FD">
            <w:pPr>
              <w:bidi w:val="0"/>
              <w:ind w:left="113" w:right="113"/>
              <w:jc w:val="both"/>
              <w:rPr>
                <w:rFonts w:ascii="Arial Narrow" w:hAnsi="Arial Narrow"/>
                <w:sz w:val="20"/>
                <w:szCs w:val="20"/>
              </w:rPr>
            </w:pPr>
          </w:p>
        </w:tc>
        <w:tc>
          <w:tcPr>
            <w:tcW w:w="825" w:type="dxa"/>
            <w:textDirection w:val="btLr"/>
          </w:tcPr>
          <w:p w14:paraId="2B96BAAB" w14:textId="77777777" w:rsidR="007749FD" w:rsidRPr="00AB1BA6" w:rsidRDefault="007749FD" w:rsidP="007749FD">
            <w:pPr>
              <w:bidi w:val="0"/>
              <w:ind w:left="113" w:right="113"/>
              <w:jc w:val="both"/>
              <w:rPr>
                <w:rFonts w:ascii="Arial Narrow" w:hAnsi="Arial Narrow"/>
                <w:sz w:val="20"/>
                <w:szCs w:val="20"/>
              </w:rPr>
            </w:pPr>
            <w:proofErr w:type="spellStart"/>
            <w:r w:rsidRPr="00AB1BA6">
              <w:rPr>
                <w:rFonts w:ascii="Arial Narrow" w:hAnsi="Arial Narrow"/>
                <w:sz w:val="20"/>
                <w:szCs w:val="20"/>
              </w:rPr>
              <w:t>Population</w:t>
            </w:r>
            <w:r w:rsidR="00787C75" w:rsidRPr="00787C75">
              <w:rPr>
                <w:rFonts w:ascii="Arial Narrow" w:hAnsi="Arial Narrow"/>
                <w:sz w:val="20"/>
                <w:szCs w:val="20"/>
                <w:vertAlign w:val="superscript"/>
              </w:rPr>
              <w:t>a</w:t>
            </w:r>
            <w:proofErr w:type="spellEnd"/>
          </w:p>
        </w:tc>
        <w:tc>
          <w:tcPr>
            <w:tcW w:w="503" w:type="dxa"/>
            <w:textDirection w:val="btLr"/>
          </w:tcPr>
          <w:p w14:paraId="50840F8E" w14:textId="77777777" w:rsidR="007749FD" w:rsidRPr="00AB1BA6" w:rsidRDefault="007749FD" w:rsidP="007749FD">
            <w:pPr>
              <w:bidi w:val="0"/>
              <w:ind w:left="113" w:right="113"/>
              <w:jc w:val="both"/>
              <w:rPr>
                <w:rFonts w:ascii="Arial Narrow" w:hAnsi="Arial Narrow"/>
                <w:sz w:val="20"/>
                <w:szCs w:val="20"/>
              </w:rPr>
            </w:pPr>
            <w:r w:rsidRPr="00AB1BA6">
              <w:rPr>
                <w:rFonts w:ascii="Arial Narrow" w:hAnsi="Arial Narrow"/>
                <w:sz w:val="20"/>
                <w:szCs w:val="20"/>
              </w:rPr>
              <w:t>Employment rate</w:t>
            </w:r>
          </w:p>
        </w:tc>
        <w:tc>
          <w:tcPr>
            <w:tcW w:w="815" w:type="dxa"/>
            <w:textDirection w:val="btLr"/>
          </w:tcPr>
          <w:p w14:paraId="7555A7D4" w14:textId="77777777" w:rsidR="007749FD" w:rsidRPr="00AB1BA6" w:rsidRDefault="007749FD" w:rsidP="007749FD">
            <w:pPr>
              <w:bidi w:val="0"/>
              <w:ind w:left="113" w:right="113"/>
              <w:jc w:val="both"/>
              <w:rPr>
                <w:rFonts w:ascii="Arial Narrow" w:hAnsi="Arial Narrow"/>
                <w:sz w:val="20"/>
                <w:szCs w:val="20"/>
              </w:rPr>
            </w:pPr>
            <w:r w:rsidRPr="00AB1BA6">
              <w:rPr>
                <w:rFonts w:ascii="Arial Narrow" w:hAnsi="Arial Narrow"/>
                <w:sz w:val="20"/>
                <w:szCs w:val="20"/>
              </w:rPr>
              <w:t>Number of employed people</w:t>
            </w:r>
          </w:p>
        </w:tc>
        <w:tc>
          <w:tcPr>
            <w:tcW w:w="555" w:type="dxa"/>
            <w:textDirection w:val="btLr"/>
          </w:tcPr>
          <w:p w14:paraId="721469C5" w14:textId="77777777" w:rsidR="007749FD" w:rsidRPr="00AB1BA6" w:rsidRDefault="007749FD" w:rsidP="007749FD">
            <w:pPr>
              <w:bidi w:val="0"/>
              <w:ind w:left="113" w:right="113"/>
              <w:jc w:val="both"/>
              <w:rPr>
                <w:rFonts w:ascii="Arial Narrow" w:hAnsi="Arial Narrow"/>
                <w:sz w:val="20"/>
                <w:szCs w:val="20"/>
              </w:rPr>
            </w:pPr>
            <w:r w:rsidRPr="00AB1BA6">
              <w:rPr>
                <w:rFonts w:ascii="Arial Narrow" w:hAnsi="Arial Narrow"/>
                <w:sz w:val="20"/>
                <w:szCs w:val="20"/>
              </w:rPr>
              <w:t xml:space="preserve">Share of employed at </w:t>
            </w:r>
            <w:proofErr w:type="spellStart"/>
            <w:r w:rsidRPr="00AB1BA6">
              <w:rPr>
                <w:rFonts w:ascii="Arial Narrow" w:hAnsi="Arial Narrow"/>
                <w:sz w:val="20"/>
                <w:szCs w:val="20"/>
              </w:rPr>
              <w:t>home</w:t>
            </w:r>
            <w:r w:rsidR="00787C75" w:rsidRPr="00787C75">
              <w:rPr>
                <w:rFonts w:ascii="Arial Narrow" w:hAnsi="Arial Narrow"/>
                <w:sz w:val="20"/>
                <w:szCs w:val="20"/>
                <w:vertAlign w:val="superscript"/>
              </w:rPr>
              <w:t>b</w:t>
            </w:r>
            <w:proofErr w:type="spellEnd"/>
          </w:p>
        </w:tc>
        <w:tc>
          <w:tcPr>
            <w:tcW w:w="700" w:type="dxa"/>
            <w:textDirection w:val="btLr"/>
          </w:tcPr>
          <w:p w14:paraId="142AB137" w14:textId="77777777" w:rsidR="007749FD" w:rsidRPr="00AB1BA6" w:rsidRDefault="007749FD" w:rsidP="007749FD">
            <w:pPr>
              <w:bidi w:val="0"/>
              <w:ind w:left="113" w:right="113"/>
              <w:jc w:val="both"/>
              <w:rPr>
                <w:rFonts w:ascii="Arial Narrow" w:hAnsi="Arial Narrow"/>
                <w:sz w:val="20"/>
                <w:szCs w:val="20"/>
              </w:rPr>
            </w:pPr>
            <w:r w:rsidRPr="00AB1BA6">
              <w:rPr>
                <w:rFonts w:ascii="Arial Narrow" w:hAnsi="Arial Narrow"/>
                <w:sz w:val="20"/>
                <w:szCs w:val="20"/>
              </w:rPr>
              <w:t>Share of absentees</w:t>
            </w:r>
          </w:p>
          <w:p w14:paraId="44DD4E31" w14:textId="77777777" w:rsidR="007749FD" w:rsidRPr="00AB1BA6" w:rsidRDefault="007749FD" w:rsidP="007749FD">
            <w:pPr>
              <w:bidi w:val="0"/>
              <w:ind w:left="113" w:right="113"/>
              <w:jc w:val="both"/>
              <w:rPr>
                <w:rFonts w:ascii="Arial Narrow" w:hAnsi="Arial Narrow"/>
                <w:sz w:val="20"/>
                <w:szCs w:val="20"/>
              </w:rPr>
            </w:pPr>
            <w:r w:rsidRPr="00AB1BA6">
              <w:rPr>
                <w:rFonts w:ascii="Arial Narrow" w:hAnsi="Arial Narrow"/>
                <w:sz w:val="20"/>
                <w:szCs w:val="20"/>
              </w:rPr>
              <w:t>(assumption)</w:t>
            </w:r>
          </w:p>
        </w:tc>
        <w:tc>
          <w:tcPr>
            <w:tcW w:w="582" w:type="dxa"/>
            <w:textDirection w:val="btLr"/>
          </w:tcPr>
          <w:p w14:paraId="790D8504" w14:textId="77777777" w:rsidR="007749FD" w:rsidRPr="00AB1BA6" w:rsidRDefault="007749FD" w:rsidP="009343FF">
            <w:pPr>
              <w:bidi w:val="0"/>
              <w:ind w:left="113" w:right="113"/>
              <w:jc w:val="both"/>
              <w:rPr>
                <w:rFonts w:ascii="Arial Narrow" w:hAnsi="Arial Narrow"/>
                <w:sz w:val="20"/>
                <w:szCs w:val="20"/>
              </w:rPr>
            </w:pPr>
            <w:r w:rsidRPr="00AB1BA6">
              <w:rPr>
                <w:rFonts w:ascii="Arial Narrow" w:hAnsi="Arial Narrow"/>
                <w:sz w:val="20"/>
                <w:szCs w:val="20"/>
              </w:rPr>
              <w:t xml:space="preserve">Share </w:t>
            </w:r>
            <w:r w:rsidR="009343FF" w:rsidRPr="00AB1BA6">
              <w:rPr>
                <w:rFonts w:ascii="Arial Narrow" w:hAnsi="Arial Narrow"/>
                <w:sz w:val="20"/>
                <w:szCs w:val="20"/>
              </w:rPr>
              <w:t xml:space="preserve">absent from </w:t>
            </w:r>
            <w:r w:rsidRPr="00AB1BA6">
              <w:rPr>
                <w:rFonts w:ascii="Arial Narrow" w:hAnsi="Arial Narrow"/>
                <w:sz w:val="20"/>
                <w:szCs w:val="20"/>
              </w:rPr>
              <w:t>work</w:t>
            </w:r>
          </w:p>
        </w:tc>
        <w:tc>
          <w:tcPr>
            <w:tcW w:w="903" w:type="dxa"/>
            <w:textDirection w:val="btLr"/>
          </w:tcPr>
          <w:p w14:paraId="16B4D4C7" w14:textId="284DD781" w:rsidR="007749FD" w:rsidRPr="00AB1BA6" w:rsidRDefault="007749FD" w:rsidP="00212542">
            <w:pPr>
              <w:bidi w:val="0"/>
              <w:ind w:left="113" w:right="113"/>
              <w:jc w:val="both"/>
              <w:rPr>
                <w:rFonts w:ascii="Arial Narrow" w:hAnsi="Arial Narrow"/>
                <w:sz w:val="20"/>
                <w:szCs w:val="20"/>
              </w:rPr>
            </w:pPr>
            <w:r w:rsidRPr="00AB1BA6">
              <w:rPr>
                <w:rFonts w:ascii="Arial Narrow" w:hAnsi="Arial Narrow"/>
                <w:sz w:val="20"/>
                <w:szCs w:val="20"/>
              </w:rPr>
              <w:t xml:space="preserve">Average </w:t>
            </w:r>
            <w:proofErr w:type="spellStart"/>
            <w:r w:rsidRPr="00AB1BA6">
              <w:rPr>
                <w:rFonts w:ascii="Arial Narrow" w:hAnsi="Arial Narrow"/>
                <w:sz w:val="20"/>
                <w:szCs w:val="20"/>
              </w:rPr>
              <w:t>income</w:t>
            </w:r>
            <w:r w:rsidR="00787C75" w:rsidRPr="00787C75">
              <w:rPr>
                <w:rFonts w:ascii="Arial Narrow" w:hAnsi="Arial Narrow"/>
                <w:sz w:val="20"/>
                <w:szCs w:val="20"/>
                <w:vertAlign w:val="superscript"/>
              </w:rPr>
              <w:t>c</w:t>
            </w:r>
            <w:proofErr w:type="spellEnd"/>
            <w:r w:rsidRPr="00AB1BA6">
              <w:rPr>
                <w:rFonts w:ascii="Arial Narrow" w:hAnsi="Arial Narrow"/>
                <w:sz w:val="20"/>
                <w:szCs w:val="20"/>
              </w:rPr>
              <w:t xml:space="preserve"> (excl. working from home</w:t>
            </w:r>
            <w:r w:rsidR="009E2EAB">
              <w:rPr>
                <w:rFonts w:ascii="Arial Narrow" w:hAnsi="Arial Narrow"/>
                <w:sz w:val="20"/>
                <w:szCs w:val="20"/>
              </w:rPr>
              <w:t xml:space="preserve"> </w:t>
            </w:r>
          </w:p>
        </w:tc>
        <w:tc>
          <w:tcPr>
            <w:tcW w:w="737" w:type="dxa"/>
            <w:textDirection w:val="btLr"/>
          </w:tcPr>
          <w:p w14:paraId="3253A68B" w14:textId="77777777" w:rsidR="007749FD" w:rsidRPr="00AB1BA6" w:rsidRDefault="007749FD" w:rsidP="009343FF">
            <w:pPr>
              <w:bidi w:val="0"/>
              <w:ind w:left="113" w:right="113"/>
              <w:jc w:val="both"/>
              <w:rPr>
                <w:rFonts w:ascii="Arial Narrow" w:hAnsi="Arial Narrow"/>
                <w:sz w:val="20"/>
                <w:szCs w:val="20"/>
              </w:rPr>
            </w:pPr>
            <w:r w:rsidRPr="00AB1BA6">
              <w:rPr>
                <w:rFonts w:ascii="Arial Narrow" w:hAnsi="Arial Narrow"/>
                <w:sz w:val="20"/>
                <w:szCs w:val="20"/>
              </w:rPr>
              <w:t>Weekly cost in resp</w:t>
            </w:r>
            <w:r w:rsidR="009343FF" w:rsidRPr="00AB1BA6">
              <w:rPr>
                <w:rFonts w:ascii="Arial Narrow" w:hAnsi="Arial Narrow"/>
                <w:sz w:val="20"/>
                <w:szCs w:val="20"/>
              </w:rPr>
              <w:t>e</w:t>
            </w:r>
            <w:r w:rsidRPr="00AB1BA6">
              <w:rPr>
                <w:rFonts w:ascii="Arial Narrow" w:hAnsi="Arial Narrow"/>
                <w:sz w:val="20"/>
                <w:szCs w:val="20"/>
              </w:rPr>
              <w:t>ct of employee absences</w:t>
            </w:r>
          </w:p>
        </w:tc>
        <w:tc>
          <w:tcPr>
            <w:tcW w:w="743" w:type="dxa"/>
            <w:textDirection w:val="btLr"/>
          </w:tcPr>
          <w:p w14:paraId="4E28EA94" w14:textId="77777777" w:rsidR="007749FD" w:rsidRPr="00AB1BA6" w:rsidRDefault="009343FF" w:rsidP="009343FF">
            <w:pPr>
              <w:bidi w:val="0"/>
              <w:ind w:left="113" w:right="113"/>
              <w:jc w:val="both"/>
              <w:rPr>
                <w:rFonts w:ascii="Arial Narrow" w:hAnsi="Arial Narrow"/>
                <w:sz w:val="20"/>
                <w:szCs w:val="20"/>
              </w:rPr>
            </w:pPr>
            <w:r w:rsidRPr="00AB1BA6">
              <w:rPr>
                <w:rFonts w:ascii="Arial Narrow" w:hAnsi="Arial Narrow"/>
                <w:sz w:val="20"/>
                <w:szCs w:val="20"/>
              </w:rPr>
              <w:t>Weekly cost in respect</w:t>
            </w:r>
            <w:r w:rsidR="007749FD" w:rsidRPr="00AB1BA6">
              <w:rPr>
                <w:rFonts w:ascii="Arial Narrow" w:hAnsi="Arial Narrow"/>
                <w:sz w:val="20"/>
                <w:szCs w:val="20"/>
              </w:rPr>
              <w:t xml:space="preserve"> of loss of producti</w:t>
            </w:r>
            <w:r w:rsidRPr="00AB1BA6">
              <w:rPr>
                <w:rFonts w:ascii="Arial Narrow" w:hAnsi="Arial Narrow"/>
                <w:sz w:val="20"/>
                <w:szCs w:val="20"/>
              </w:rPr>
              <w:t xml:space="preserve">vity </w:t>
            </w:r>
            <w:r w:rsidR="007749FD" w:rsidRPr="00AB1BA6">
              <w:rPr>
                <w:rFonts w:ascii="Arial Narrow" w:hAnsi="Arial Narrow"/>
                <w:sz w:val="20"/>
                <w:szCs w:val="20"/>
              </w:rPr>
              <w:t>of employed at ho</w:t>
            </w:r>
            <w:r w:rsidRPr="00AB1BA6">
              <w:rPr>
                <w:rFonts w:ascii="Arial Narrow" w:hAnsi="Arial Narrow"/>
                <w:sz w:val="20"/>
                <w:szCs w:val="20"/>
              </w:rPr>
              <w:t>m</w:t>
            </w:r>
            <w:r w:rsidR="007749FD" w:rsidRPr="00AB1BA6">
              <w:rPr>
                <w:rFonts w:ascii="Arial Narrow" w:hAnsi="Arial Narrow"/>
                <w:sz w:val="20"/>
                <w:szCs w:val="20"/>
              </w:rPr>
              <w:t>e</w:t>
            </w:r>
          </w:p>
        </w:tc>
        <w:tc>
          <w:tcPr>
            <w:tcW w:w="738" w:type="dxa"/>
            <w:textDirection w:val="btLr"/>
          </w:tcPr>
          <w:p w14:paraId="12BBFF91" w14:textId="77777777" w:rsidR="007749FD" w:rsidRPr="00AB1BA6" w:rsidRDefault="009343FF" w:rsidP="009343FF">
            <w:pPr>
              <w:bidi w:val="0"/>
              <w:ind w:left="113" w:right="113"/>
              <w:jc w:val="both"/>
              <w:rPr>
                <w:rFonts w:ascii="Arial Narrow" w:hAnsi="Arial Narrow"/>
                <w:sz w:val="20"/>
                <w:szCs w:val="20"/>
              </w:rPr>
            </w:pPr>
            <w:r w:rsidRPr="00AB1BA6">
              <w:rPr>
                <w:rFonts w:ascii="Arial Narrow" w:hAnsi="Arial Narrow"/>
                <w:sz w:val="20"/>
                <w:szCs w:val="20"/>
              </w:rPr>
              <w:t>Total w</w:t>
            </w:r>
            <w:r w:rsidR="007749FD" w:rsidRPr="00AB1BA6">
              <w:rPr>
                <w:rFonts w:ascii="Arial Narrow" w:hAnsi="Arial Narrow"/>
                <w:sz w:val="20"/>
                <w:szCs w:val="20"/>
              </w:rPr>
              <w:t>eekly cost for a</w:t>
            </w:r>
            <w:r w:rsidRPr="00AB1BA6">
              <w:rPr>
                <w:rFonts w:ascii="Arial Narrow" w:hAnsi="Arial Narrow"/>
                <w:sz w:val="20"/>
                <w:szCs w:val="20"/>
              </w:rPr>
              <w:t>b</w:t>
            </w:r>
            <w:r w:rsidR="007749FD" w:rsidRPr="00AB1BA6">
              <w:rPr>
                <w:rFonts w:ascii="Arial Narrow" w:hAnsi="Arial Narrow"/>
                <w:sz w:val="20"/>
                <w:szCs w:val="20"/>
              </w:rPr>
              <w:t>sen</w:t>
            </w:r>
            <w:r w:rsidRPr="00AB1BA6">
              <w:rPr>
                <w:rFonts w:ascii="Arial Narrow" w:hAnsi="Arial Narrow"/>
                <w:sz w:val="20"/>
                <w:szCs w:val="20"/>
              </w:rPr>
              <w:t>c</w:t>
            </w:r>
            <w:r w:rsidR="007749FD" w:rsidRPr="00AB1BA6">
              <w:rPr>
                <w:rFonts w:ascii="Arial Narrow" w:hAnsi="Arial Narrow"/>
                <w:sz w:val="20"/>
                <w:szCs w:val="20"/>
              </w:rPr>
              <w:t>e of empl</w:t>
            </w:r>
            <w:r w:rsidRPr="00AB1BA6">
              <w:rPr>
                <w:rFonts w:ascii="Arial Narrow" w:hAnsi="Arial Narrow"/>
                <w:sz w:val="20"/>
                <w:szCs w:val="20"/>
              </w:rPr>
              <w:t>o</w:t>
            </w:r>
            <w:r w:rsidR="007749FD" w:rsidRPr="00AB1BA6">
              <w:rPr>
                <w:rFonts w:ascii="Arial Narrow" w:hAnsi="Arial Narrow"/>
                <w:sz w:val="20"/>
                <w:szCs w:val="20"/>
              </w:rPr>
              <w:t>yees</w:t>
            </w:r>
          </w:p>
        </w:tc>
      </w:tr>
      <w:tr w:rsidR="00AB1BA6" w:rsidRPr="00AB1BA6" w14:paraId="1410397C" w14:textId="77777777" w:rsidTr="00AB1BA6">
        <w:tc>
          <w:tcPr>
            <w:tcW w:w="1201" w:type="dxa"/>
          </w:tcPr>
          <w:p w14:paraId="57591939" w14:textId="77777777" w:rsidR="00987C14" w:rsidRPr="00AB1BA6" w:rsidRDefault="00987C14" w:rsidP="00987C14">
            <w:pPr>
              <w:bidi w:val="0"/>
              <w:jc w:val="both"/>
              <w:rPr>
                <w:rFonts w:ascii="Arial Narrow" w:hAnsi="Arial Narrow"/>
                <w:sz w:val="20"/>
                <w:szCs w:val="20"/>
              </w:rPr>
            </w:pPr>
          </w:p>
        </w:tc>
        <w:tc>
          <w:tcPr>
            <w:tcW w:w="825" w:type="dxa"/>
          </w:tcPr>
          <w:p w14:paraId="10298876"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(‘000)</w:t>
            </w:r>
          </w:p>
        </w:tc>
        <w:tc>
          <w:tcPr>
            <w:tcW w:w="503" w:type="dxa"/>
          </w:tcPr>
          <w:p w14:paraId="2464C7CC"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w:t>
            </w:r>
          </w:p>
        </w:tc>
        <w:tc>
          <w:tcPr>
            <w:tcW w:w="815" w:type="dxa"/>
          </w:tcPr>
          <w:p w14:paraId="4951A80A"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(‘000)</w:t>
            </w:r>
          </w:p>
        </w:tc>
        <w:tc>
          <w:tcPr>
            <w:tcW w:w="555" w:type="dxa"/>
          </w:tcPr>
          <w:p w14:paraId="5CA853AF"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w:t>
            </w:r>
          </w:p>
        </w:tc>
        <w:tc>
          <w:tcPr>
            <w:tcW w:w="700" w:type="dxa"/>
          </w:tcPr>
          <w:p w14:paraId="409F486D"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(‘000)</w:t>
            </w:r>
          </w:p>
        </w:tc>
        <w:tc>
          <w:tcPr>
            <w:tcW w:w="582" w:type="dxa"/>
          </w:tcPr>
          <w:p w14:paraId="39AA4DFF"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w:t>
            </w:r>
          </w:p>
        </w:tc>
        <w:tc>
          <w:tcPr>
            <w:tcW w:w="903" w:type="dxa"/>
          </w:tcPr>
          <w:p w14:paraId="557F05A7" w14:textId="018EBF7C" w:rsidR="00987C14" w:rsidRPr="00AB1BA6" w:rsidRDefault="00212542" w:rsidP="00987C14">
            <w:pPr>
              <w:bidi w:val="0"/>
              <w:jc w:val="both"/>
              <w:rPr>
                <w:rFonts w:ascii="Arial Narrow" w:hAnsi="Arial Narrow"/>
                <w:sz w:val="20"/>
                <w:szCs w:val="20"/>
              </w:rPr>
            </w:pPr>
            <w:r>
              <w:rPr>
                <w:rFonts w:ascii="Arial Narrow" w:hAnsi="Arial Narrow"/>
                <w:sz w:val="20"/>
                <w:szCs w:val="20"/>
              </w:rPr>
              <w:t>(NIS)</w:t>
            </w:r>
          </w:p>
        </w:tc>
        <w:tc>
          <w:tcPr>
            <w:tcW w:w="737" w:type="dxa"/>
          </w:tcPr>
          <w:p w14:paraId="0508C597"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(NIS million)</w:t>
            </w:r>
          </w:p>
        </w:tc>
        <w:tc>
          <w:tcPr>
            <w:tcW w:w="743" w:type="dxa"/>
          </w:tcPr>
          <w:p w14:paraId="3C90F73D"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(NIS million)</w:t>
            </w:r>
          </w:p>
        </w:tc>
        <w:tc>
          <w:tcPr>
            <w:tcW w:w="738" w:type="dxa"/>
          </w:tcPr>
          <w:p w14:paraId="2069C0A5" w14:textId="77777777" w:rsidR="00987C14" w:rsidRPr="00AB1BA6" w:rsidRDefault="00987C14" w:rsidP="00987C14">
            <w:pPr>
              <w:bidi w:val="0"/>
              <w:jc w:val="both"/>
              <w:rPr>
                <w:rFonts w:ascii="Arial Narrow" w:hAnsi="Arial Narrow"/>
                <w:sz w:val="20"/>
                <w:szCs w:val="20"/>
              </w:rPr>
            </w:pPr>
            <w:r w:rsidRPr="00AB1BA6">
              <w:rPr>
                <w:rFonts w:ascii="Arial Narrow" w:hAnsi="Arial Narrow"/>
                <w:sz w:val="20"/>
                <w:szCs w:val="20"/>
              </w:rPr>
              <w:t>(NIS million)</w:t>
            </w:r>
          </w:p>
        </w:tc>
      </w:tr>
      <w:tr w:rsidR="00AB1BA6" w:rsidRPr="00AB1BA6" w14:paraId="191FDE8A" w14:textId="77777777" w:rsidTr="00D90077">
        <w:tc>
          <w:tcPr>
            <w:tcW w:w="1201" w:type="dxa"/>
          </w:tcPr>
          <w:p w14:paraId="4D79FEB9" w14:textId="77777777" w:rsidR="00AB1BA6" w:rsidRPr="00AB1BA6" w:rsidRDefault="00AB1BA6" w:rsidP="00AB1BA6">
            <w:pPr>
              <w:bidi w:val="0"/>
              <w:jc w:val="both"/>
              <w:rPr>
                <w:rFonts w:ascii="Arial Narrow" w:hAnsi="Arial Narrow"/>
                <w:sz w:val="20"/>
                <w:szCs w:val="20"/>
              </w:rPr>
            </w:pPr>
            <w:r w:rsidRPr="00AB1BA6">
              <w:rPr>
                <w:rFonts w:ascii="Arial Narrow" w:hAnsi="Arial Narrow"/>
                <w:sz w:val="20"/>
                <w:szCs w:val="20"/>
              </w:rPr>
              <w:t xml:space="preserve">Residential areas in </w:t>
            </w:r>
            <w:proofErr w:type="spellStart"/>
            <w:r w:rsidRPr="00AB1BA6">
              <w:rPr>
                <w:rFonts w:ascii="Arial Narrow" w:hAnsi="Arial Narrow"/>
                <w:sz w:val="20"/>
                <w:szCs w:val="20"/>
              </w:rPr>
              <w:t>North</w:t>
            </w:r>
            <w:r w:rsidR="00787C75" w:rsidRPr="00787C75">
              <w:rPr>
                <w:rFonts w:ascii="Arial Narrow" w:hAnsi="Arial Narrow"/>
                <w:sz w:val="20"/>
                <w:szCs w:val="20"/>
                <w:vertAlign w:val="superscript"/>
              </w:rPr>
              <w:t>d</w:t>
            </w:r>
            <w:proofErr w:type="spellEnd"/>
          </w:p>
        </w:tc>
        <w:tc>
          <w:tcPr>
            <w:tcW w:w="825" w:type="dxa"/>
            <w:vAlign w:val="center"/>
          </w:tcPr>
          <w:p w14:paraId="5C2DCD48"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113</w:t>
            </w:r>
          </w:p>
        </w:tc>
        <w:tc>
          <w:tcPr>
            <w:tcW w:w="503" w:type="dxa"/>
            <w:vAlign w:val="center"/>
          </w:tcPr>
          <w:p w14:paraId="64292755"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67</w:t>
            </w:r>
          </w:p>
        </w:tc>
        <w:tc>
          <w:tcPr>
            <w:tcW w:w="815" w:type="dxa"/>
            <w:vAlign w:val="center"/>
          </w:tcPr>
          <w:p w14:paraId="19D6E277" w14:textId="77777777" w:rsidR="00AB1BA6" w:rsidRPr="00AB1BA6" w:rsidRDefault="00AB1BA6" w:rsidP="00AB1BA6">
            <w:pPr>
              <w:bidi w:val="0"/>
              <w:jc w:val="center"/>
              <w:rPr>
                <w:rFonts w:ascii="Arial Narrow" w:hAnsi="Arial Narrow" w:cs="Assistant"/>
                <w:color w:val="000000"/>
                <w:sz w:val="20"/>
                <w:szCs w:val="20"/>
                <w:rtl/>
              </w:rPr>
            </w:pPr>
            <w:r w:rsidRPr="00AB1BA6">
              <w:rPr>
                <w:rFonts w:ascii="Arial Narrow" w:hAnsi="Arial Narrow" w:cs="Assistant"/>
                <w:color w:val="000000"/>
                <w:sz w:val="20"/>
                <w:szCs w:val="20"/>
              </w:rPr>
              <w:t>75</w:t>
            </w:r>
          </w:p>
        </w:tc>
        <w:tc>
          <w:tcPr>
            <w:tcW w:w="555" w:type="dxa"/>
            <w:vAlign w:val="center"/>
          </w:tcPr>
          <w:p w14:paraId="63BAA900"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10</w:t>
            </w:r>
          </w:p>
        </w:tc>
        <w:tc>
          <w:tcPr>
            <w:tcW w:w="700" w:type="dxa"/>
            <w:vAlign w:val="center"/>
          </w:tcPr>
          <w:p w14:paraId="0AF24091"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100</w:t>
            </w:r>
          </w:p>
        </w:tc>
        <w:tc>
          <w:tcPr>
            <w:tcW w:w="582" w:type="dxa"/>
            <w:vAlign w:val="center"/>
          </w:tcPr>
          <w:p w14:paraId="0AA3ACCE"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68</w:t>
            </w:r>
          </w:p>
        </w:tc>
        <w:tc>
          <w:tcPr>
            <w:tcW w:w="903" w:type="dxa"/>
            <w:vAlign w:val="center"/>
          </w:tcPr>
          <w:p w14:paraId="4429222B" w14:textId="77777777" w:rsidR="00AB1BA6" w:rsidRPr="00AB1BA6" w:rsidRDefault="00AB1BA6" w:rsidP="00AB1BA6">
            <w:pPr>
              <w:jc w:val="center"/>
              <w:rPr>
                <w:rFonts w:ascii="Arial Narrow" w:hAnsi="Arial Narrow" w:cs="Assistant"/>
                <w:color w:val="000000"/>
                <w:sz w:val="20"/>
                <w:szCs w:val="20"/>
              </w:rPr>
            </w:pPr>
            <w:r w:rsidRPr="00AB1BA6">
              <w:rPr>
                <w:rFonts w:ascii="Arial Narrow" w:hAnsi="Arial Narrow" w:cs="Assistant"/>
                <w:color w:val="000000"/>
                <w:sz w:val="20"/>
                <w:szCs w:val="20"/>
                <w:rtl/>
              </w:rPr>
              <w:t>13,773</w:t>
            </w:r>
          </w:p>
        </w:tc>
        <w:tc>
          <w:tcPr>
            <w:tcW w:w="737" w:type="dxa"/>
            <w:vAlign w:val="center"/>
          </w:tcPr>
          <w:p w14:paraId="7910A276"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263</w:t>
            </w:r>
          </w:p>
        </w:tc>
        <w:tc>
          <w:tcPr>
            <w:tcW w:w="743" w:type="dxa"/>
            <w:vAlign w:val="center"/>
          </w:tcPr>
          <w:p w14:paraId="0E3576B7"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12</w:t>
            </w:r>
          </w:p>
        </w:tc>
        <w:tc>
          <w:tcPr>
            <w:tcW w:w="738" w:type="dxa"/>
            <w:vAlign w:val="center"/>
          </w:tcPr>
          <w:p w14:paraId="3418090C"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275</w:t>
            </w:r>
          </w:p>
        </w:tc>
      </w:tr>
      <w:tr w:rsidR="00AB1BA6" w:rsidRPr="00AB1BA6" w14:paraId="49E07DE6" w14:textId="77777777" w:rsidTr="00D90077">
        <w:tc>
          <w:tcPr>
            <w:tcW w:w="1201" w:type="dxa"/>
          </w:tcPr>
          <w:p w14:paraId="76A90B0D" w14:textId="77777777" w:rsidR="00AB1BA6" w:rsidRPr="00AB1BA6" w:rsidRDefault="00AB1BA6" w:rsidP="00AB1BA6">
            <w:pPr>
              <w:bidi w:val="0"/>
              <w:jc w:val="both"/>
              <w:rPr>
                <w:rFonts w:ascii="Arial Narrow" w:hAnsi="Arial Narrow"/>
                <w:sz w:val="20"/>
                <w:szCs w:val="20"/>
              </w:rPr>
            </w:pPr>
            <w:r w:rsidRPr="00AB1BA6">
              <w:rPr>
                <w:rFonts w:ascii="Arial Narrow" w:hAnsi="Arial Narrow"/>
                <w:sz w:val="20"/>
                <w:szCs w:val="20"/>
              </w:rPr>
              <w:t xml:space="preserve">Residential areas in </w:t>
            </w:r>
            <w:proofErr w:type="spellStart"/>
            <w:r w:rsidRPr="00AB1BA6">
              <w:rPr>
                <w:rFonts w:ascii="Arial Narrow" w:hAnsi="Arial Narrow"/>
                <w:sz w:val="20"/>
                <w:szCs w:val="20"/>
              </w:rPr>
              <w:t>South</w:t>
            </w:r>
            <w:r w:rsidR="00787C75" w:rsidRPr="00787C75">
              <w:rPr>
                <w:rFonts w:ascii="Arial Narrow" w:hAnsi="Arial Narrow"/>
                <w:sz w:val="20"/>
                <w:szCs w:val="20"/>
                <w:vertAlign w:val="superscript"/>
              </w:rPr>
              <w:t>d</w:t>
            </w:r>
            <w:proofErr w:type="spellEnd"/>
          </w:p>
        </w:tc>
        <w:tc>
          <w:tcPr>
            <w:tcW w:w="825" w:type="dxa"/>
            <w:vAlign w:val="center"/>
          </w:tcPr>
          <w:p w14:paraId="4E19F765"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73</w:t>
            </w:r>
          </w:p>
        </w:tc>
        <w:tc>
          <w:tcPr>
            <w:tcW w:w="503" w:type="dxa"/>
            <w:vAlign w:val="center"/>
          </w:tcPr>
          <w:p w14:paraId="5534B954"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73</w:t>
            </w:r>
          </w:p>
        </w:tc>
        <w:tc>
          <w:tcPr>
            <w:tcW w:w="815" w:type="dxa"/>
            <w:vAlign w:val="center"/>
          </w:tcPr>
          <w:p w14:paraId="62B6AAF9" w14:textId="77777777" w:rsidR="00AB1BA6" w:rsidRPr="00AB1BA6" w:rsidRDefault="00AB1BA6" w:rsidP="00AB1BA6">
            <w:pPr>
              <w:bidi w:val="0"/>
              <w:jc w:val="center"/>
              <w:rPr>
                <w:rFonts w:ascii="Arial Narrow" w:hAnsi="Arial Narrow" w:cs="Assistant"/>
                <w:color w:val="000000"/>
                <w:sz w:val="20"/>
                <w:szCs w:val="20"/>
                <w:rtl/>
              </w:rPr>
            </w:pPr>
            <w:r w:rsidRPr="00AB1BA6">
              <w:rPr>
                <w:rFonts w:ascii="Arial Narrow" w:hAnsi="Arial Narrow" w:cs="Assistant"/>
                <w:color w:val="000000"/>
                <w:sz w:val="20"/>
                <w:szCs w:val="20"/>
              </w:rPr>
              <w:t>53</w:t>
            </w:r>
          </w:p>
        </w:tc>
        <w:tc>
          <w:tcPr>
            <w:tcW w:w="555" w:type="dxa"/>
            <w:vAlign w:val="center"/>
          </w:tcPr>
          <w:p w14:paraId="14C9FC09"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15</w:t>
            </w:r>
          </w:p>
        </w:tc>
        <w:tc>
          <w:tcPr>
            <w:tcW w:w="700" w:type="dxa"/>
            <w:vAlign w:val="center"/>
          </w:tcPr>
          <w:p w14:paraId="23D69620"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100</w:t>
            </w:r>
          </w:p>
        </w:tc>
        <w:tc>
          <w:tcPr>
            <w:tcW w:w="582" w:type="dxa"/>
            <w:vAlign w:val="center"/>
          </w:tcPr>
          <w:p w14:paraId="7A4A0D95"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45</w:t>
            </w:r>
          </w:p>
        </w:tc>
        <w:tc>
          <w:tcPr>
            <w:tcW w:w="903" w:type="dxa"/>
            <w:vAlign w:val="center"/>
          </w:tcPr>
          <w:p w14:paraId="05F803AB" w14:textId="77777777" w:rsidR="00AB1BA6" w:rsidRPr="00AB1BA6" w:rsidRDefault="00AB1BA6" w:rsidP="00AB1BA6">
            <w:pPr>
              <w:jc w:val="center"/>
              <w:rPr>
                <w:rFonts w:ascii="Arial Narrow" w:hAnsi="Arial Narrow" w:cs="Assistant"/>
                <w:color w:val="000000"/>
                <w:sz w:val="20"/>
                <w:szCs w:val="20"/>
              </w:rPr>
            </w:pPr>
            <w:r w:rsidRPr="00AB1BA6">
              <w:rPr>
                <w:rFonts w:ascii="Arial Narrow" w:hAnsi="Arial Narrow" w:cs="Assistant"/>
                <w:color w:val="000000"/>
                <w:sz w:val="20"/>
                <w:szCs w:val="20"/>
                <w:rtl/>
              </w:rPr>
              <w:t>12,788</w:t>
            </w:r>
          </w:p>
        </w:tc>
        <w:tc>
          <w:tcPr>
            <w:tcW w:w="737" w:type="dxa"/>
            <w:vAlign w:val="center"/>
          </w:tcPr>
          <w:p w14:paraId="16B17863"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162</w:t>
            </w:r>
          </w:p>
        </w:tc>
        <w:tc>
          <w:tcPr>
            <w:tcW w:w="743" w:type="dxa"/>
            <w:vAlign w:val="center"/>
          </w:tcPr>
          <w:p w14:paraId="31642976"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12</w:t>
            </w:r>
          </w:p>
        </w:tc>
        <w:tc>
          <w:tcPr>
            <w:tcW w:w="738" w:type="dxa"/>
            <w:vAlign w:val="center"/>
          </w:tcPr>
          <w:p w14:paraId="6A974FE2"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174</w:t>
            </w:r>
          </w:p>
        </w:tc>
      </w:tr>
      <w:tr w:rsidR="00AB1BA6" w:rsidRPr="00AB1BA6" w14:paraId="17A1137D" w14:textId="77777777" w:rsidTr="00D90077">
        <w:tc>
          <w:tcPr>
            <w:tcW w:w="1201" w:type="dxa"/>
          </w:tcPr>
          <w:p w14:paraId="444AB081" w14:textId="77777777" w:rsidR="00AB1BA6" w:rsidRPr="00AB1BA6" w:rsidRDefault="00AB1BA6" w:rsidP="00AB1BA6">
            <w:pPr>
              <w:bidi w:val="0"/>
              <w:jc w:val="both"/>
              <w:rPr>
                <w:rFonts w:ascii="Arial Narrow" w:hAnsi="Arial Narrow"/>
                <w:sz w:val="20"/>
                <w:szCs w:val="20"/>
              </w:rPr>
            </w:pPr>
            <w:r w:rsidRPr="00AB1BA6">
              <w:rPr>
                <w:rFonts w:ascii="Arial Narrow" w:hAnsi="Arial Narrow"/>
                <w:sz w:val="20"/>
                <w:szCs w:val="20"/>
              </w:rPr>
              <w:t>City of Ashkelon</w:t>
            </w:r>
          </w:p>
        </w:tc>
        <w:tc>
          <w:tcPr>
            <w:tcW w:w="825" w:type="dxa"/>
            <w:vAlign w:val="center"/>
          </w:tcPr>
          <w:p w14:paraId="00621770"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110</w:t>
            </w:r>
          </w:p>
        </w:tc>
        <w:tc>
          <w:tcPr>
            <w:tcW w:w="503" w:type="dxa"/>
            <w:vAlign w:val="center"/>
          </w:tcPr>
          <w:p w14:paraId="4E29DD9B"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65</w:t>
            </w:r>
          </w:p>
        </w:tc>
        <w:tc>
          <w:tcPr>
            <w:tcW w:w="815" w:type="dxa"/>
            <w:vAlign w:val="center"/>
          </w:tcPr>
          <w:p w14:paraId="37276CCF" w14:textId="77777777" w:rsidR="00AB1BA6" w:rsidRPr="00AB1BA6" w:rsidRDefault="00AB1BA6" w:rsidP="00AB1BA6">
            <w:pPr>
              <w:bidi w:val="0"/>
              <w:jc w:val="center"/>
              <w:rPr>
                <w:rFonts w:ascii="Arial Narrow" w:hAnsi="Arial Narrow" w:cs="Assistant"/>
                <w:color w:val="000000"/>
                <w:sz w:val="20"/>
                <w:szCs w:val="20"/>
                <w:rtl/>
              </w:rPr>
            </w:pPr>
            <w:r w:rsidRPr="00AB1BA6">
              <w:rPr>
                <w:rFonts w:ascii="Arial Narrow" w:hAnsi="Arial Narrow" w:cs="Assistant"/>
                <w:color w:val="000000"/>
                <w:sz w:val="20"/>
                <w:szCs w:val="20"/>
              </w:rPr>
              <w:t>71</w:t>
            </w:r>
          </w:p>
        </w:tc>
        <w:tc>
          <w:tcPr>
            <w:tcW w:w="555" w:type="dxa"/>
            <w:vAlign w:val="center"/>
          </w:tcPr>
          <w:p w14:paraId="7E861FD5"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11</w:t>
            </w:r>
          </w:p>
        </w:tc>
        <w:tc>
          <w:tcPr>
            <w:tcW w:w="700" w:type="dxa"/>
            <w:vAlign w:val="center"/>
          </w:tcPr>
          <w:p w14:paraId="7A801806"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50</w:t>
            </w:r>
          </w:p>
        </w:tc>
        <w:tc>
          <w:tcPr>
            <w:tcW w:w="582" w:type="dxa"/>
            <w:vAlign w:val="center"/>
          </w:tcPr>
          <w:p w14:paraId="1F26A2E1"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32</w:t>
            </w:r>
          </w:p>
        </w:tc>
        <w:tc>
          <w:tcPr>
            <w:tcW w:w="903" w:type="dxa"/>
            <w:vAlign w:val="center"/>
          </w:tcPr>
          <w:p w14:paraId="28435F97" w14:textId="77777777" w:rsidR="00AB1BA6" w:rsidRPr="00AB1BA6" w:rsidRDefault="00AB1BA6" w:rsidP="00AB1BA6">
            <w:pPr>
              <w:jc w:val="center"/>
              <w:rPr>
                <w:rFonts w:ascii="Arial Narrow" w:hAnsi="Arial Narrow" w:cs="Assistant"/>
                <w:color w:val="000000"/>
                <w:sz w:val="20"/>
                <w:szCs w:val="20"/>
              </w:rPr>
            </w:pPr>
            <w:r w:rsidRPr="00AB1BA6">
              <w:rPr>
                <w:rFonts w:ascii="Arial Narrow" w:hAnsi="Arial Narrow" w:cs="Assistant"/>
                <w:color w:val="000000"/>
                <w:sz w:val="20"/>
                <w:szCs w:val="20"/>
                <w:rtl/>
              </w:rPr>
              <w:t>13,999</w:t>
            </w:r>
          </w:p>
        </w:tc>
        <w:tc>
          <w:tcPr>
            <w:tcW w:w="737" w:type="dxa"/>
            <w:vAlign w:val="center"/>
          </w:tcPr>
          <w:p w14:paraId="3BB6F321"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126</w:t>
            </w:r>
          </w:p>
        </w:tc>
        <w:tc>
          <w:tcPr>
            <w:tcW w:w="743" w:type="dxa"/>
            <w:vAlign w:val="center"/>
          </w:tcPr>
          <w:p w14:paraId="749A1991"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13</w:t>
            </w:r>
          </w:p>
        </w:tc>
        <w:tc>
          <w:tcPr>
            <w:tcW w:w="738" w:type="dxa"/>
            <w:vAlign w:val="center"/>
          </w:tcPr>
          <w:p w14:paraId="56D3D50C"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139</w:t>
            </w:r>
          </w:p>
        </w:tc>
      </w:tr>
      <w:tr w:rsidR="00AB1BA6" w:rsidRPr="00AB1BA6" w14:paraId="17272E8A" w14:textId="77777777" w:rsidTr="00D90077">
        <w:tc>
          <w:tcPr>
            <w:tcW w:w="1201" w:type="dxa"/>
          </w:tcPr>
          <w:p w14:paraId="19756BFE" w14:textId="77777777" w:rsidR="00AB1BA6" w:rsidRPr="00AB1BA6" w:rsidRDefault="00AB1BA6" w:rsidP="00AB1BA6">
            <w:pPr>
              <w:bidi w:val="0"/>
              <w:jc w:val="both"/>
              <w:rPr>
                <w:rFonts w:ascii="Arial Narrow" w:hAnsi="Arial Narrow"/>
                <w:sz w:val="20"/>
                <w:szCs w:val="20"/>
              </w:rPr>
            </w:pPr>
            <w:r w:rsidRPr="00AB1BA6">
              <w:rPr>
                <w:rFonts w:ascii="Arial Narrow" w:hAnsi="Arial Narrow"/>
                <w:sz w:val="20"/>
                <w:szCs w:val="20"/>
              </w:rPr>
              <w:t>Total</w:t>
            </w:r>
          </w:p>
        </w:tc>
        <w:tc>
          <w:tcPr>
            <w:tcW w:w="825" w:type="dxa"/>
            <w:vAlign w:val="center"/>
          </w:tcPr>
          <w:p w14:paraId="48BCB0FC" w14:textId="77777777" w:rsidR="00AB1BA6" w:rsidRPr="00AB1BA6" w:rsidRDefault="00AB1BA6" w:rsidP="00AB1BA6">
            <w:pPr>
              <w:jc w:val="center"/>
              <w:rPr>
                <w:rFonts w:ascii="Arial Narrow" w:hAnsi="Arial Narrow" w:cs="Assistant"/>
                <w:b/>
                <w:bCs/>
                <w:color w:val="000000"/>
                <w:sz w:val="20"/>
                <w:szCs w:val="20"/>
                <w:rtl/>
              </w:rPr>
            </w:pPr>
            <w:r w:rsidRPr="00AB1BA6">
              <w:rPr>
                <w:rFonts w:ascii="Arial Narrow" w:hAnsi="Arial Narrow" w:cs="Assistant"/>
                <w:b/>
                <w:bCs/>
                <w:color w:val="000000"/>
                <w:sz w:val="20"/>
                <w:szCs w:val="20"/>
                <w:rtl/>
              </w:rPr>
              <w:t>295</w:t>
            </w:r>
          </w:p>
        </w:tc>
        <w:tc>
          <w:tcPr>
            <w:tcW w:w="503" w:type="dxa"/>
            <w:vAlign w:val="center"/>
          </w:tcPr>
          <w:p w14:paraId="09DE98DB" w14:textId="77777777" w:rsidR="00AB1BA6" w:rsidRPr="00AB1BA6" w:rsidRDefault="00AB1BA6" w:rsidP="00AB1BA6">
            <w:pPr>
              <w:jc w:val="center"/>
              <w:rPr>
                <w:rFonts w:ascii="Arial Narrow" w:hAnsi="Arial Narrow" w:cs="Assistant"/>
                <w:b/>
                <w:bCs/>
                <w:color w:val="000000"/>
                <w:sz w:val="20"/>
                <w:szCs w:val="20"/>
                <w:rtl/>
              </w:rPr>
            </w:pPr>
            <w:r w:rsidRPr="00AB1BA6">
              <w:rPr>
                <w:rFonts w:ascii="Arial Narrow" w:hAnsi="Arial Narrow" w:cs="Assistant"/>
                <w:b/>
                <w:bCs/>
                <w:color w:val="000000"/>
                <w:sz w:val="20"/>
                <w:szCs w:val="20"/>
                <w:rtl/>
              </w:rPr>
              <w:t>68</w:t>
            </w:r>
          </w:p>
        </w:tc>
        <w:tc>
          <w:tcPr>
            <w:tcW w:w="815" w:type="dxa"/>
            <w:vAlign w:val="center"/>
          </w:tcPr>
          <w:p w14:paraId="3B9AACDA" w14:textId="77777777" w:rsidR="00AB1BA6" w:rsidRPr="00AB1BA6" w:rsidRDefault="00AB1BA6" w:rsidP="00AB1BA6">
            <w:pPr>
              <w:bidi w:val="0"/>
              <w:jc w:val="center"/>
              <w:rPr>
                <w:rFonts w:ascii="Arial Narrow" w:hAnsi="Arial Narrow" w:cs="Assistant"/>
                <w:b/>
                <w:bCs/>
                <w:color w:val="000000"/>
                <w:sz w:val="20"/>
                <w:szCs w:val="20"/>
                <w:rtl/>
              </w:rPr>
            </w:pPr>
            <w:r w:rsidRPr="00AB1BA6">
              <w:rPr>
                <w:rFonts w:ascii="Arial Narrow" w:hAnsi="Arial Narrow" w:cs="Assistant"/>
                <w:b/>
                <w:bCs/>
                <w:color w:val="000000"/>
                <w:sz w:val="20"/>
                <w:szCs w:val="20"/>
              </w:rPr>
              <w:t>199</w:t>
            </w:r>
          </w:p>
        </w:tc>
        <w:tc>
          <w:tcPr>
            <w:tcW w:w="555" w:type="dxa"/>
            <w:vAlign w:val="center"/>
          </w:tcPr>
          <w:p w14:paraId="37E5EFE0" w14:textId="77777777" w:rsidR="00AB1BA6" w:rsidRPr="00AB1BA6" w:rsidRDefault="00AB1BA6" w:rsidP="00AB1BA6">
            <w:pPr>
              <w:bidi w:val="0"/>
              <w:jc w:val="center"/>
              <w:rPr>
                <w:rFonts w:ascii="Arial Narrow" w:hAnsi="Arial Narrow" w:cs="Assistant"/>
                <w:b/>
                <w:bCs/>
                <w:color w:val="000000"/>
                <w:sz w:val="20"/>
                <w:szCs w:val="20"/>
              </w:rPr>
            </w:pPr>
            <w:r w:rsidRPr="00AB1BA6">
              <w:rPr>
                <w:rFonts w:ascii="Arial Narrow" w:hAnsi="Arial Narrow" w:cs="Assistant"/>
                <w:b/>
                <w:bCs/>
                <w:color w:val="000000"/>
                <w:sz w:val="20"/>
                <w:szCs w:val="20"/>
              </w:rPr>
              <w:t>12</w:t>
            </w:r>
          </w:p>
        </w:tc>
        <w:tc>
          <w:tcPr>
            <w:tcW w:w="700" w:type="dxa"/>
          </w:tcPr>
          <w:p w14:paraId="0B30458F" w14:textId="77777777" w:rsidR="00AB1BA6" w:rsidRPr="00AB1BA6" w:rsidRDefault="00AB1BA6" w:rsidP="00AB1BA6">
            <w:pPr>
              <w:bidi w:val="0"/>
              <w:jc w:val="both"/>
              <w:rPr>
                <w:rFonts w:ascii="Arial Narrow" w:hAnsi="Arial Narrow"/>
                <w:sz w:val="20"/>
                <w:szCs w:val="20"/>
              </w:rPr>
            </w:pPr>
          </w:p>
        </w:tc>
        <w:tc>
          <w:tcPr>
            <w:tcW w:w="582" w:type="dxa"/>
            <w:vAlign w:val="center"/>
          </w:tcPr>
          <w:p w14:paraId="55E948FA" w14:textId="77777777" w:rsidR="00AB1BA6" w:rsidRPr="00AB1BA6" w:rsidRDefault="00AB1BA6" w:rsidP="00AB1BA6">
            <w:pPr>
              <w:bidi w:val="0"/>
              <w:jc w:val="center"/>
              <w:rPr>
                <w:rFonts w:ascii="Arial Narrow" w:hAnsi="Arial Narrow" w:cs="Assistant"/>
                <w:b/>
                <w:bCs/>
                <w:color w:val="000000"/>
                <w:sz w:val="20"/>
                <w:szCs w:val="20"/>
              </w:rPr>
            </w:pPr>
            <w:r w:rsidRPr="00AB1BA6">
              <w:rPr>
                <w:rFonts w:ascii="Arial Narrow" w:hAnsi="Arial Narrow" w:cs="Assistant"/>
                <w:b/>
                <w:bCs/>
                <w:color w:val="000000"/>
                <w:sz w:val="20"/>
                <w:szCs w:val="20"/>
              </w:rPr>
              <w:t>144</w:t>
            </w:r>
          </w:p>
        </w:tc>
        <w:tc>
          <w:tcPr>
            <w:tcW w:w="903" w:type="dxa"/>
            <w:vAlign w:val="center"/>
          </w:tcPr>
          <w:p w14:paraId="71A18A57" w14:textId="77777777" w:rsidR="00AB1BA6" w:rsidRPr="00AB1BA6" w:rsidRDefault="00AB1BA6" w:rsidP="00AB1BA6">
            <w:pPr>
              <w:jc w:val="center"/>
              <w:rPr>
                <w:rFonts w:ascii="Arial Narrow" w:hAnsi="Arial Narrow" w:cs="Assistant"/>
                <w:b/>
                <w:bCs/>
                <w:color w:val="000000"/>
                <w:sz w:val="20"/>
                <w:szCs w:val="20"/>
              </w:rPr>
            </w:pPr>
            <w:r w:rsidRPr="00AB1BA6">
              <w:rPr>
                <w:rFonts w:ascii="Arial Narrow" w:hAnsi="Arial Narrow" w:cs="Assistant"/>
                <w:b/>
                <w:bCs/>
                <w:color w:val="000000"/>
                <w:sz w:val="20"/>
                <w:szCs w:val="20"/>
                <w:rtl/>
              </w:rPr>
              <w:t>13,520</w:t>
            </w:r>
          </w:p>
        </w:tc>
        <w:tc>
          <w:tcPr>
            <w:tcW w:w="737" w:type="dxa"/>
            <w:vAlign w:val="center"/>
          </w:tcPr>
          <w:p w14:paraId="5D451E8B" w14:textId="77777777" w:rsidR="00AB1BA6" w:rsidRPr="00AB1BA6" w:rsidRDefault="00AB1BA6" w:rsidP="00AB1BA6">
            <w:pPr>
              <w:jc w:val="center"/>
              <w:rPr>
                <w:rFonts w:ascii="Arial Narrow" w:hAnsi="Arial Narrow" w:cs="Assistant"/>
                <w:b/>
                <w:bCs/>
                <w:color w:val="000000"/>
                <w:sz w:val="20"/>
                <w:szCs w:val="20"/>
                <w:rtl/>
              </w:rPr>
            </w:pPr>
            <w:r w:rsidRPr="00AB1BA6">
              <w:rPr>
                <w:rFonts w:ascii="Arial Narrow" w:hAnsi="Arial Narrow" w:cs="Assistant"/>
                <w:b/>
                <w:bCs/>
                <w:color w:val="000000"/>
                <w:sz w:val="20"/>
                <w:szCs w:val="20"/>
                <w:rtl/>
              </w:rPr>
              <w:t>551</w:t>
            </w:r>
          </w:p>
        </w:tc>
        <w:tc>
          <w:tcPr>
            <w:tcW w:w="743" w:type="dxa"/>
            <w:vAlign w:val="center"/>
          </w:tcPr>
          <w:p w14:paraId="3FB1ACE9" w14:textId="77777777" w:rsidR="00AB1BA6" w:rsidRPr="00AB1BA6" w:rsidRDefault="00AB1BA6" w:rsidP="00AB1BA6">
            <w:pPr>
              <w:jc w:val="center"/>
              <w:rPr>
                <w:rFonts w:ascii="Arial Narrow" w:hAnsi="Arial Narrow" w:cs="Assistant"/>
                <w:b/>
                <w:bCs/>
                <w:color w:val="000000"/>
                <w:sz w:val="20"/>
                <w:szCs w:val="20"/>
                <w:rtl/>
              </w:rPr>
            </w:pPr>
            <w:r w:rsidRPr="00AB1BA6">
              <w:rPr>
                <w:rFonts w:ascii="Arial Narrow" w:hAnsi="Arial Narrow" w:cs="Assistant"/>
                <w:b/>
                <w:bCs/>
                <w:color w:val="000000"/>
                <w:sz w:val="20"/>
                <w:szCs w:val="20"/>
                <w:rtl/>
              </w:rPr>
              <w:t>38</w:t>
            </w:r>
          </w:p>
        </w:tc>
        <w:tc>
          <w:tcPr>
            <w:tcW w:w="738" w:type="dxa"/>
            <w:vAlign w:val="center"/>
          </w:tcPr>
          <w:p w14:paraId="1E434E7F" w14:textId="77777777" w:rsidR="00AB1BA6" w:rsidRPr="00AB1BA6" w:rsidRDefault="00AB1BA6" w:rsidP="00AB1BA6">
            <w:pPr>
              <w:jc w:val="center"/>
              <w:rPr>
                <w:rFonts w:ascii="Arial Narrow" w:hAnsi="Arial Narrow" w:cs="Assistant"/>
                <w:b/>
                <w:bCs/>
                <w:color w:val="000000"/>
                <w:sz w:val="20"/>
                <w:szCs w:val="20"/>
                <w:rtl/>
              </w:rPr>
            </w:pPr>
            <w:r w:rsidRPr="00AB1BA6">
              <w:rPr>
                <w:rFonts w:ascii="Arial Narrow" w:hAnsi="Arial Narrow" w:cs="Assistant"/>
                <w:b/>
                <w:bCs/>
                <w:color w:val="000000"/>
                <w:sz w:val="20"/>
                <w:szCs w:val="20"/>
                <w:rtl/>
              </w:rPr>
              <w:t>588</w:t>
            </w:r>
          </w:p>
        </w:tc>
      </w:tr>
      <w:tr w:rsidR="00AB1BA6" w:rsidRPr="00AB1BA6" w14:paraId="442D0107" w14:textId="77777777" w:rsidTr="00AB1BA6">
        <w:tc>
          <w:tcPr>
            <w:tcW w:w="1201" w:type="dxa"/>
          </w:tcPr>
          <w:p w14:paraId="553113C9" w14:textId="77777777" w:rsidR="00AB1BA6" w:rsidRPr="00AB1BA6" w:rsidRDefault="00AB1BA6" w:rsidP="00AB1BA6">
            <w:pPr>
              <w:bidi w:val="0"/>
              <w:jc w:val="both"/>
              <w:rPr>
                <w:rFonts w:ascii="Arial Narrow" w:hAnsi="Arial Narrow"/>
                <w:sz w:val="20"/>
                <w:szCs w:val="20"/>
              </w:rPr>
            </w:pPr>
            <w:r w:rsidRPr="00AB1BA6">
              <w:rPr>
                <w:rFonts w:ascii="Arial Narrow" w:hAnsi="Arial Narrow"/>
                <w:sz w:val="20"/>
                <w:szCs w:val="20"/>
              </w:rPr>
              <w:t>Entire population</w:t>
            </w:r>
          </w:p>
        </w:tc>
        <w:tc>
          <w:tcPr>
            <w:tcW w:w="825" w:type="dxa"/>
            <w:vAlign w:val="center"/>
          </w:tcPr>
          <w:p w14:paraId="56D0F3F0"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6,390</w:t>
            </w:r>
          </w:p>
        </w:tc>
        <w:tc>
          <w:tcPr>
            <w:tcW w:w="503" w:type="dxa"/>
            <w:vAlign w:val="center"/>
          </w:tcPr>
          <w:p w14:paraId="292B29F0" w14:textId="77777777" w:rsidR="00AB1BA6" w:rsidRPr="00AB1BA6" w:rsidRDefault="00AB1BA6" w:rsidP="00AB1BA6">
            <w:pPr>
              <w:jc w:val="center"/>
              <w:rPr>
                <w:rFonts w:ascii="Arial Narrow" w:hAnsi="Arial Narrow" w:cs="Assistant"/>
                <w:color w:val="000000"/>
                <w:sz w:val="20"/>
                <w:szCs w:val="20"/>
                <w:rtl/>
              </w:rPr>
            </w:pPr>
            <w:r w:rsidRPr="00AB1BA6">
              <w:rPr>
                <w:rFonts w:ascii="Arial Narrow" w:hAnsi="Arial Narrow" w:cs="Assistant"/>
                <w:color w:val="000000"/>
                <w:sz w:val="20"/>
                <w:szCs w:val="20"/>
                <w:rtl/>
              </w:rPr>
              <w:t>65</w:t>
            </w:r>
          </w:p>
        </w:tc>
        <w:tc>
          <w:tcPr>
            <w:tcW w:w="815" w:type="dxa"/>
            <w:vAlign w:val="center"/>
          </w:tcPr>
          <w:p w14:paraId="77F4974E" w14:textId="77777777" w:rsidR="00AB1BA6" w:rsidRPr="00AB1BA6" w:rsidRDefault="00AB1BA6" w:rsidP="00AB1BA6">
            <w:pPr>
              <w:bidi w:val="0"/>
              <w:jc w:val="center"/>
              <w:rPr>
                <w:rFonts w:ascii="Arial Narrow" w:hAnsi="Arial Narrow" w:cs="Assistant"/>
                <w:color w:val="000000"/>
                <w:sz w:val="20"/>
                <w:szCs w:val="20"/>
                <w:rtl/>
              </w:rPr>
            </w:pPr>
            <w:r w:rsidRPr="00AB1BA6">
              <w:rPr>
                <w:rFonts w:ascii="Arial Narrow" w:hAnsi="Arial Narrow" w:cs="Assistant"/>
                <w:color w:val="000000"/>
                <w:sz w:val="20"/>
                <w:szCs w:val="20"/>
              </w:rPr>
              <w:t>4,146</w:t>
            </w:r>
          </w:p>
        </w:tc>
        <w:tc>
          <w:tcPr>
            <w:tcW w:w="555" w:type="dxa"/>
            <w:vAlign w:val="center"/>
          </w:tcPr>
          <w:p w14:paraId="7D5D713C"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16</w:t>
            </w:r>
          </w:p>
        </w:tc>
        <w:tc>
          <w:tcPr>
            <w:tcW w:w="700" w:type="dxa"/>
          </w:tcPr>
          <w:p w14:paraId="04CE0C34" w14:textId="77777777" w:rsidR="00AB1BA6" w:rsidRPr="00AB1BA6" w:rsidRDefault="00AB1BA6" w:rsidP="00AB1BA6">
            <w:pPr>
              <w:bidi w:val="0"/>
              <w:jc w:val="both"/>
              <w:rPr>
                <w:rFonts w:ascii="Arial Narrow" w:hAnsi="Arial Narrow"/>
                <w:sz w:val="20"/>
                <w:szCs w:val="20"/>
              </w:rPr>
            </w:pPr>
          </w:p>
        </w:tc>
        <w:tc>
          <w:tcPr>
            <w:tcW w:w="582" w:type="dxa"/>
          </w:tcPr>
          <w:p w14:paraId="6FB6CEAD" w14:textId="77777777" w:rsidR="00AB1BA6" w:rsidRPr="00AB1BA6" w:rsidRDefault="00AB1BA6" w:rsidP="00AB1BA6">
            <w:pPr>
              <w:bidi w:val="0"/>
              <w:jc w:val="both"/>
              <w:rPr>
                <w:rFonts w:ascii="Arial Narrow" w:hAnsi="Arial Narrow"/>
                <w:sz w:val="20"/>
                <w:szCs w:val="20"/>
              </w:rPr>
            </w:pPr>
          </w:p>
        </w:tc>
        <w:tc>
          <w:tcPr>
            <w:tcW w:w="903" w:type="dxa"/>
            <w:vAlign w:val="center"/>
          </w:tcPr>
          <w:p w14:paraId="5323ADFF" w14:textId="77777777" w:rsidR="00AB1BA6" w:rsidRPr="00AB1BA6" w:rsidRDefault="00AB1BA6" w:rsidP="00AB1BA6">
            <w:pPr>
              <w:jc w:val="center"/>
              <w:rPr>
                <w:rFonts w:ascii="Arial Narrow" w:hAnsi="Arial Narrow" w:cs="Assistant"/>
                <w:color w:val="000000"/>
                <w:sz w:val="20"/>
                <w:szCs w:val="20"/>
              </w:rPr>
            </w:pPr>
            <w:r w:rsidRPr="00AB1BA6">
              <w:rPr>
                <w:rFonts w:ascii="Arial Narrow" w:hAnsi="Arial Narrow" w:cs="Assistant"/>
                <w:color w:val="000000"/>
                <w:sz w:val="20"/>
                <w:szCs w:val="20"/>
                <w:rtl/>
              </w:rPr>
              <w:t>13,191</w:t>
            </w:r>
          </w:p>
        </w:tc>
        <w:tc>
          <w:tcPr>
            <w:tcW w:w="737" w:type="dxa"/>
          </w:tcPr>
          <w:p w14:paraId="1AD6DFE3" w14:textId="77777777" w:rsidR="00AB1BA6" w:rsidRPr="00AB1BA6" w:rsidRDefault="00AB1BA6" w:rsidP="00AB1BA6">
            <w:pPr>
              <w:bidi w:val="0"/>
              <w:jc w:val="both"/>
              <w:rPr>
                <w:rFonts w:ascii="Arial Narrow" w:hAnsi="Arial Narrow"/>
                <w:sz w:val="20"/>
                <w:szCs w:val="20"/>
              </w:rPr>
            </w:pPr>
          </w:p>
        </w:tc>
        <w:tc>
          <w:tcPr>
            <w:tcW w:w="743" w:type="dxa"/>
          </w:tcPr>
          <w:p w14:paraId="4057CF8C" w14:textId="77777777" w:rsidR="00AB1BA6" w:rsidRPr="00AB1BA6" w:rsidRDefault="00AB1BA6" w:rsidP="00AB1BA6">
            <w:pPr>
              <w:bidi w:val="0"/>
              <w:jc w:val="both"/>
              <w:rPr>
                <w:rFonts w:ascii="Arial Narrow" w:hAnsi="Arial Narrow"/>
                <w:sz w:val="20"/>
                <w:szCs w:val="20"/>
              </w:rPr>
            </w:pPr>
          </w:p>
        </w:tc>
        <w:tc>
          <w:tcPr>
            <w:tcW w:w="738" w:type="dxa"/>
          </w:tcPr>
          <w:p w14:paraId="03C1FDA9" w14:textId="77777777" w:rsidR="00AB1BA6" w:rsidRPr="00AB1BA6" w:rsidRDefault="00AB1BA6" w:rsidP="00AB1BA6">
            <w:pPr>
              <w:bidi w:val="0"/>
              <w:jc w:val="both"/>
              <w:rPr>
                <w:rFonts w:ascii="Arial Narrow" w:hAnsi="Arial Narrow"/>
                <w:sz w:val="20"/>
                <w:szCs w:val="20"/>
              </w:rPr>
            </w:pPr>
          </w:p>
        </w:tc>
      </w:tr>
      <w:tr w:rsidR="00AB1BA6" w:rsidRPr="00AB1BA6" w14:paraId="37464E5E" w14:textId="77777777" w:rsidTr="00AB1BA6">
        <w:tc>
          <w:tcPr>
            <w:tcW w:w="1201" w:type="dxa"/>
          </w:tcPr>
          <w:p w14:paraId="0D8D5212" w14:textId="0198F879" w:rsidR="00AB1BA6" w:rsidRPr="00ED780F" w:rsidRDefault="00ED780F" w:rsidP="00ED780F">
            <w:pPr>
              <w:bidi w:val="0"/>
              <w:jc w:val="both"/>
              <w:rPr>
                <w:rFonts w:ascii="Arial Narrow" w:hAnsi="Arial Narrow"/>
                <w:sz w:val="20"/>
                <w:szCs w:val="20"/>
              </w:rPr>
            </w:pPr>
            <w:r>
              <w:rPr>
                <w:rFonts w:ascii="Arial Narrow" w:hAnsi="Arial Narrow"/>
                <w:sz w:val="20"/>
                <w:szCs w:val="20"/>
              </w:rPr>
              <w:t>R</w:t>
            </w:r>
            <w:r w:rsidRPr="00ED780F">
              <w:rPr>
                <w:rFonts w:ascii="Arial Narrow" w:hAnsi="Arial Narrow"/>
                <w:sz w:val="20"/>
                <w:szCs w:val="20"/>
              </w:rPr>
              <w:t xml:space="preserve">esidents who were evacuated or who left on their own </w:t>
            </w:r>
            <w:r w:rsidR="00AB1BA6" w:rsidRPr="00ED780F">
              <w:rPr>
                <w:rFonts w:ascii="Arial Narrow" w:hAnsi="Arial Narrow"/>
                <w:sz w:val="20"/>
                <w:szCs w:val="20"/>
              </w:rPr>
              <w:t>relative to total population (%)</w:t>
            </w:r>
          </w:p>
        </w:tc>
        <w:tc>
          <w:tcPr>
            <w:tcW w:w="825" w:type="dxa"/>
            <w:vAlign w:val="center"/>
          </w:tcPr>
          <w:p w14:paraId="01923EEE" w14:textId="77777777" w:rsidR="00AB1BA6" w:rsidRPr="00AB1BA6" w:rsidRDefault="00AB1BA6" w:rsidP="00AB1BA6">
            <w:pPr>
              <w:bidi w:val="0"/>
              <w:jc w:val="center"/>
              <w:rPr>
                <w:rFonts w:ascii="Arial Narrow" w:hAnsi="Arial Narrow" w:cs="Assistant"/>
                <w:color w:val="000000"/>
                <w:sz w:val="20"/>
                <w:szCs w:val="20"/>
                <w:rtl/>
              </w:rPr>
            </w:pPr>
            <w:r w:rsidRPr="00AB1BA6">
              <w:rPr>
                <w:rFonts w:ascii="Arial Narrow" w:hAnsi="Arial Narrow" w:cs="Assistant"/>
                <w:color w:val="000000"/>
                <w:sz w:val="20"/>
                <w:szCs w:val="20"/>
              </w:rPr>
              <w:t>4.62%</w:t>
            </w:r>
          </w:p>
        </w:tc>
        <w:tc>
          <w:tcPr>
            <w:tcW w:w="503" w:type="dxa"/>
          </w:tcPr>
          <w:p w14:paraId="6284E163" w14:textId="77777777" w:rsidR="00AB1BA6" w:rsidRPr="00AB1BA6" w:rsidRDefault="00AB1BA6" w:rsidP="00AB1BA6">
            <w:pPr>
              <w:bidi w:val="0"/>
              <w:jc w:val="both"/>
              <w:rPr>
                <w:rFonts w:ascii="Arial Narrow" w:hAnsi="Arial Narrow"/>
                <w:sz w:val="20"/>
                <w:szCs w:val="20"/>
              </w:rPr>
            </w:pPr>
          </w:p>
        </w:tc>
        <w:tc>
          <w:tcPr>
            <w:tcW w:w="815" w:type="dxa"/>
            <w:vAlign w:val="center"/>
          </w:tcPr>
          <w:p w14:paraId="1EC78443"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4.81%</w:t>
            </w:r>
          </w:p>
        </w:tc>
        <w:tc>
          <w:tcPr>
            <w:tcW w:w="555" w:type="dxa"/>
          </w:tcPr>
          <w:p w14:paraId="6729AF7E" w14:textId="77777777" w:rsidR="00AB1BA6" w:rsidRPr="00AB1BA6" w:rsidRDefault="00AB1BA6" w:rsidP="00AB1BA6">
            <w:pPr>
              <w:bidi w:val="0"/>
              <w:jc w:val="both"/>
              <w:rPr>
                <w:rFonts w:ascii="Arial Narrow" w:hAnsi="Arial Narrow"/>
                <w:sz w:val="20"/>
                <w:szCs w:val="20"/>
              </w:rPr>
            </w:pPr>
          </w:p>
        </w:tc>
        <w:tc>
          <w:tcPr>
            <w:tcW w:w="700" w:type="dxa"/>
          </w:tcPr>
          <w:p w14:paraId="453E549B" w14:textId="77777777" w:rsidR="00AB1BA6" w:rsidRPr="00AB1BA6" w:rsidRDefault="00AB1BA6" w:rsidP="00AB1BA6">
            <w:pPr>
              <w:bidi w:val="0"/>
              <w:jc w:val="both"/>
              <w:rPr>
                <w:rFonts w:ascii="Arial Narrow" w:hAnsi="Arial Narrow"/>
                <w:sz w:val="20"/>
                <w:szCs w:val="20"/>
              </w:rPr>
            </w:pPr>
          </w:p>
        </w:tc>
        <w:tc>
          <w:tcPr>
            <w:tcW w:w="582" w:type="dxa"/>
          </w:tcPr>
          <w:p w14:paraId="0340A45D" w14:textId="77777777" w:rsidR="00AB1BA6" w:rsidRPr="00AB1BA6" w:rsidRDefault="00AB1BA6" w:rsidP="00AB1BA6">
            <w:pPr>
              <w:bidi w:val="0"/>
              <w:jc w:val="both"/>
              <w:rPr>
                <w:rFonts w:ascii="Arial Narrow" w:hAnsi="Arial Narrow"/>
                <w:sz w:val="20"/>
                <w:szCs w:val="20"/>
              </w:rPr>
            </w:pPr>
          </w:p>
        </w:tc>
        <w:tc>
          <w:tcPr>
            <w:tcW w:w="903" w:type="dxa"/>
            <w:vAlign w:val="center"/>
          </w:tcPr>
          <w:p w14:paraId="61EE4665" w14:textId="77777777" w:rsidR="00AB1BA6" w:rsidRPr="00AB1BA6" w:rsidRDefault="00AB1BA6" w:rsidP="00AB1BA6">
            <w:pPr>
              <w:bidi w:val="0"/>
              <w:jc w:val="center"/>
              <w:rPr>
                <w:rFonts w:ascii="Arial Narrow" w:hAnsi="Arial Narrow" w:cs="Assistant"/>
                <w:color w:val="000000"/>
                <w:sz w:val="20"/>
                <w:szCs w:val="20"/>
              </w:rPr>
            </w:pPr>
            <w:r w:rsidRPr="00AB1BA6">
              <w:rPr>
                <w:rFonts w:ascii="Arial Narrow" w:hAnsi="Arial Narrow" w:cs="Assistant"/>
                <w:color w:val="000000"/>
                <w:sz w:val="20"/>
                <w:szCs w:val="20"/>
              </w:rPr>
              <w:t>102%</w:t>
            </w:r>
          </w:p>
        </w:tc>
        <w:tc>
          <w:tcPr>
            <w:tcW w:w="737" w:type="dxa"/>
          </w:tcPr>
          <w:p w14:paraId="0D0F7CE5" w14:textId="77777777" w:rsidR="00AB1BA6" w:rsidRPr="00AB1BA6" w:rsidRDefault="00AB1BA6" w:rsidP="00AB1BA6">
            <w:pPr>
              <w:bidi w:val="0"/>
              <w:jc w:val="both"/>
              <w:rPr>
                <w:rFonts w:ascii="Arial Narrow" w:hAnsi="Arial Narrow"/>
                <w:sz w:val="20"/>
                <w:szCs w:val="20"/>
              </w:rPr>
            </w:pPr>
          </w:p>
        </w:tc>
        <w:tc>
          <w:tcPr>
            <w:tcW w:w="743" w:type="dxa"/>
          </w:tcPr>
          <w:p w14:paraId="26370C66" w14:textId="77777777" w:rsidR="00AB1BA6" w:rsidRPr="00AB1BA6" w:rsidRDefault="00AB1BA6" w:rsidP="00AB1BA6">
            <w:pPr>
              <w:bidi w:val="0"/>
              <w:jc w:val="both"/>
              <w:rPr>
                <w:rFonts w:ascii="Arial Narrow" w:hAnsi="Arial Narrow"/>
                <w:sz w:val="20"/>
                <w:szCs w:val="20"/>
              </w:rPr>
            </w:pPr>
          </w:p>
        </w:tc>
        <w:tc>
          <w:tcPr>
            <w:tcW w:w="738" w:type="dxa"/>
          </w:tcPr>
          <w:p w14:paraId="28E3692B" w14:textId="77777777" w:rsidR="00AB1BA6" w:rsidRPr="00AB1BA6" w:rsidRDefault="00AB1BA6" w:rsidP="00AB1BA6">
            <w:pPr>
              <w:bidi w:val="0"/>
              <w:jc w:val="both"/>
              <w:rPr>
                <w:rFonts w:ascii="Arial Narrow" w:hAnsi="Arial Narrow"/>
                <w:sz w:val="20"/>
                <w:szCs w:val="20"/>
              </w:rPr>
            </w:pPr>
          </w:p>
        </w:tc>
      </w:tr>
    </w:tbl>
    <w:p w14:paraId="1F394B62" w14:textId="77777777" w:rsidR="00934924" w:rsidRDefault="003602F3" w:rsidP="00934924">
      <w:pPr>
        <w:bidi w:val="0"/>
        <w:jc w:val="both"/>
      </w:pPr>
      <w:proofErr w:type="spellStart"/>
      <w:proofErr w:type="gramStart"/>
      <w:r w:rsidRPr="003602F3">
        <w:rPr>
          <w:vertAlign w:val="superscript"/>
        </w:rPr>
        <w:t>a</w:t>
      </w:r>
      <w:proofErr w:type="spellEnd"/>
      <w:proofErr w:type="gramEnd"/>
      <w:r w:rsidRPr="003602F3">
        <w:rPr>
          <w:vertAlign w:val="superscript"/>
        </w:rPr>
        <w:t xml:space="preserve"> </w:t>
      </w:r>
      <w:r w:rsidR="00787C75">
        <w:t>The 18+ population that are not in mandatory military service (individuals 18–21 in industry O whose occupation is marked with an X).</w:t>
      </w:r>
    </w:p>
    <w:p w14:paraId="740DC345" w14:textId="77777777" w:rsidR="00787C75" w:rsidRDefault="003602F3" w:rsidP="00DC76A3">
      <w:pPr>
        <w:bidi w:val="0"/>
        <w:jc w:val="both"/>
      </w:pPr>
      <w:proofErr w:type="gramStart"/>
      <w:r>
        <w:rPr>
          <w:vertAlign w:val="superscript"/>
        </w:rPr>
        <w:lastRenderedPageBreak/>
        <w:t>b</w:t>
      </w:r>
      <w:proofErr w:type="gramEnd"/>
      <w:r w:rsidR="00787C75">
        <w:t xml:space="preserve"> </w:t>
      </w:r>
      <w:r w:rsidR="00DC76A3">
        <w:t>Employees who were able to work at home (worked from home at least 1 hour in the past month or usually work from home) divided by the number of employed people.</w:t>
      </w:r>
    </w:p>
    <w:p w14:paraId="4F0911A5" w14:textId="77777777" w:rsidR="00DC76A3" w:rsidRDefault="003602F3" w:rsidP="00DC76A3">
      <w:pPr>
        <w:bidi w:val="0"/>
        <w:jc w:val="both"/>
      </w:pPr>
      <w:proofErr w:type="gramStart"/>
      <w:r>
        <w:rPr>
          <w:vertAlign w:val="superscript"/>
        </w:rPr>
        <w:t>c</w:t>
      </w:r>
      <w:proofErr w:type="gramEnd"/>
      <w:r w:rsidR="00DC76A3">
        <w:t xml:space="preserve"> Income from wages or from self-employment based on administrative data for 2021, adjusted to the increase in the average wage from 2021 to July 2023 (an increase of 8.8 percent in the average wage).</w:t>
      </w:r>
    </w:p>
    <w:p w14:paraId="29F6D038" w14:textId="77777777" w:rsidR="00DC76A3" w:rsidRDefault="003602F3" w:rsidP="003602F3">
      <w:pPr>
        <w:bidi w:val="0"/>
        <w:jc w:val="both"/>
      </w:pPr>
      <w:proofErr w:type="gramStart"/>
      <w:r>
        <w:rPr>
          <w:vertAlign w:val="superscript"/>
        </w:rPr>
        <w:t>d</w:t>
      </w:r>
      <w:proofErr w:type="gramEnd"/>
      <w:r w:rsidR="00DC76A3">
        <w:t xml:space="preserve"> Residential areas in which the percent of residents who were evacuated or who left their homes exceeds 10 percent (Home Front Command data for October 25, 2023)</w:t>
      </w:r>
    </w:p>
    <w:p w14:paraId="7C9EAFAF" w14:textId="77777777" w:rsidR="00DC76A3" w:rsidRPr="00DC76A3" w:rsidRDefault="00DC76A3" w:rsidP="00DC76A3">
      <w:pPr>
        <w:bidi w:val="0"/>
        <w:jc w:val="both"/>
        <w:rPr>
          <w:rFonts w:asciiTheme="majorBidi" w:hAnsiTheme="majorBidi" w:cstheme="majorBidi"/>
          <w:b/>
          <w:bCs/>
          <w:sz w:val="22"/>
          <w:szCs w:val="22"/>
        </w:rPr>
      </w:pPr>
      <w:r w:rsidRPr="00DC76A3">
        <w:rPr>
          <w:rFonts w:asciiTheme="majorBidi" w:hAnsiTheme="majorBidi" w:cstheme="majorBidi"/>
          <w:b/>
          <w:bCs/>
          <w:sz w:val="22"/>
          <w:szCs w:val="22"/>
        </w:rPr>
        <w:t xml:space="preserve">SOURCE: Based on Labor Force Survey data in the research room. Income data are administrative data on wages and self-employment income in 2021. </w:t>
      </w:r>
    </w:p>
    <w:p w14:paraId="6EC6C761" w14:textId="77777777" w:rsidR="00DC76A3" w:rsidRDefault="00DC76A3" w:rsidP="00DC76A3">
      <w:pPr>
        <w:bidi w:val="0"/>
        <w:jc w:val="both"/>
      </w:pPr>
    </w:p>
    <w:p w14:paraId="5ADBC95A" w14:textId="77777777" w:rsidR="00755040" w:rsidRDefault="00755040" w:rsidP="00755040">
      <w:pPr>
        <w:bidi w:val="0"/>
        <w:jc w:val="both"/>
      </w:pPr>
    </w:p>
    <w:p w14:paraId="3CC857F0" w14:textId="0AB51326" w:rsidR="00755040" w:rsidRPr="00392134" w:rsidRDefault="00755040" w:rsidP="00456C6D">
      <w:pPr>
        <w:bidi w:val="0"/>
        <w:jc w:val="both"/>
        <w:rPr>
          <w:b/>
          <w:bCs/>
        </w:rPr>
      </w:pPr>
      <w:r w:rsidRPr="00392134">
        <w:rPr>
          <w:b/>
          <w:bCs/>
        </w:rPr>
        <w:t>3. Absences of parents due to the closure of the education system</w:t>
      </w:r>
    </w:p>
    <w:p w14:paraId="6CE26EA6" w14:textId="43C87F78" w:rsidR="00755040" w:rsidRDefault="00755040" w:rsidP="005037B7">
      <w:pPr>
        <w:bidi w:val="0"/>
        <w:jc w:val="both"/>
      </w:pPr>
      <w:r>
        <w:t>The cost connected with watching children due to the closure of the education system is NIS 1.25 billion. The cost derives from parents</w:t>
      </w:r>
      <w:r w:rsidR="00D30057">
        <w:t>’ absence</w:t>
      </w:r>
      <w:r>
        <w:t xml:space="preserve"> (about 310,000 employees) or work from home, at reduced efficiency, while keeping watch over children (about 210,000 employees).</w:t>
      </w:r>
      <w:r w:rsidR="00FE0BBA">
        <w:rPr>
          <w:rStyle w:val="ad"/>
        </w:rPr>
        <w:footnoteReference w:id="11"/>
      </w:r>
    </w:p>
    <w:p w14:paraId="45BBB5B0" w14:textId="77777777" w:rsidR="00392134" w:rsidRDefault="00392134" w:rsidP="00392134">
      <w:pPr>
        <w:bidi w:val="0"/>
        <w:jc w:val="both"/>
      </w:pPr>
    </w:p>
    <w:p w14:paraId="4D36039E" w14:textId="2E28393C" w:rsidR="00392134" w:rsidRDefault="00392134" w:rsidP="0096009B">
      <w:pPr>
        <w:bidi w:val="0"/>
        <w:jc w:val="both"/>
      </w:pPr>
      <w:r>
        <w:t xml:space="preserve">The assessment of this cost is appropriate to a situation in which most educational institutions are closed or </w:t>
      </w:r>
      <w:r w:rsidR="00996857">
        <w:t xml:space="preserve">operating on a </w:t>
      </w:r>
      <w:proofErr w:type="gramStart"/>
      <w:r w:rsidR="00996857">
        <w:t>very</w:t>
      </w:r>
      <w:proofErr w:type="gramEnd"/>
      <w:r w:rsidR="00996857">
        <w:t xml:space="preserve"> reduced schedule, which does not enable parents to leave the home for long periods of time and to work in an orderly manner. It is reasonable that the partial opening of the </w:t>
      </w:r>
      <w:r w:rsidR="00007057">
        <w:t>education</w:t>
      </w:r>
      <w:r w:rsidR="00996857">
        <w:t xml:space="preserve"> </w:t>
      </w:r>
      <w:r w:rsidR="00007057">
        <w:t>system</w:t>
      </w:r>
      <w:r w:rsidR="00996857">
        <w:t xml:space="preserve"> reduced the cost. </w:t>
      </w:r>
      <w:r w:rsidR="00007057">
        <w:t>However</w:t>
      </w:r>
      <w:r w:rsidR="00996857">
        <w:t xml:space="preserve">, </w:t>
      </w:r>
      <w:r w:rsidR="00007057">
        <w:t>it</w:t>
      </w:r>
      <w:r w:rsidR="00996857">
        <w:t xml:space="preserve"> may be assumed that the </w:t>
      </w:r>
      <w:r w:rsidR="00007057">
        <w:t>decline i</w:t>
      </w:r>
      <w:r w:rsidR="00996857">
        <w:t>n</w:t>
      </w:r>
      <w:r w:rsidR="00007057">
        <w:t xml:space="preserve"> the cost is not </w:t>
      </w:r>
      <w:r w:rsidR="005470ED">
        <w:t xml:space="preserve">absolutely </w:t>
      </w:r>
      <w:r w:rsidR="00007057">
        <w:t>proportional</w:t>
      </w:r>
      <w:r w:rsidR="004A0106">
        <w:t xml:space="preserve">, as </w:t>
      </w:r>
      <w:r w:rsidR="00996857">
        <w:t>there</w:t>
      </w:r>
      <w:r w:rsidR="00007057">
        <w:t xml:space="preserve"> i</w:t>
      </w:r>
      <w:r w:rsidR="00996857">
        <w:t xml:space="preserve">s a correlation between the opening of </w:t>
      </w:r>
      <w:r w:rsidR="00007057">
        <w:t>education</w:t>
      </w:r>
      <w:r w:rsidR="00996857">
        <w:t xml:space="preserve"> </w:t>
      </w:r>
      <w:r w:rsidR="00007057">
        <w:t>institutions</w:t>
      </w:r>
      <w:r w:rsidR="00996857">
        <w:t xml:space="preserve"> </w:t>
      </w:r>
      <w:r w:rsidR="00007057">
        <w:t>and</w:t>
      </w:r>
      <w:r w:rsidR="00996857">
        <w:t xml:space="preserve"> the </w:t>
      </w:r>
      <w:r w:rsidR="00007057">
        <w:t>security</w:t>
      </w:r>
      <w:r w:rsidR="00996857">
        <w:t xml:space="preserve"> </w:t>
      </w:r>
      <w:r w:rsidR="00007057">
        <w:t>situation</w:t>
      </w:r>
      <w:r w:rsidR="00996857">
        <w:t xml:space="preserve"> in the </w:t>
      </w:r>
      <w:r w:rsidR="00007057">
        <w:t>locality</w:t>
      </w:r>
      <w:r w:rsidR="00996857">
        <w:t xml:space="preserve"> i</w:t>
      </w:r>
      <w:r w:rsidR="00007057">
        <w:t xml:space="preserve">n which </w:t>
      </w:r>
      <w:r w:rsidR="00996857">
        <w:t xml:space="preserve">they are operating. It may be assumed that the education </w:t>
      </w:r>
      <w:r w:rsidR="00007057">
        <w:t>institutions</w:t>
      </w:r>
      <w:r w:rsidR="00996857">
        <w:t xml:space="preserve"> are opened first in </w:t>
      </w:r>
      <w:r w:rsidR="00007057">
        <w:t>residential</w:t>
      </w:r>
      <w:r w:rsidR="00996857">
        <w:t xml:space="preserve"> areas in </w:t>
      </w:r>
      <w:r w:rsidR="00007057">
        <w:t xml:space="preserve">which </w:t>
      </w:r>
      <w:r w:rsidR="00996857">
        <w:t>t</w:t>
      </w:r>
      <w:r w:rsidR="00007057">
        <w:t>he</w:t>
      </w:r>
      <w:r w:rsidR="00996857">
        <w:t xml:space="preserve"> security </w:t>
      </w:r>
      <w:r w:rsidR="004A0106">
        <w:t xml:space="preserve">risk </w:t>
      </w:r>
      <w:r w:rsidR="00996857">
        <w:t xml:space="preserve">is lower, and in </w:t>
      </w:r>
      <w:r w:rsidR="00007057">
        <w:t>these,</w:t>
      </w:r>
      <w:r w:rsidR="00996857">
        <w:t xml:space="preserve"> the pare</w:t>
      </w:r>
      <w:r w:rsidR="00007057">
        <w:t xml:space="preserve">nts </w:t>
      </w:r>
      <w:r w:rsidR="0096009B">
        <w:t xml:space="preserve">already </w:t>
      </w:r>
      <w:r w:rsidR="00456C6D">
        <w:t>had</w:t>
      </w:r>
      <w:r w:rsidR="00996857">
        <w:t xml:space="preserve"> more alternati</w:t>
      </w:r>
      <w:r w:rsidR="00007057">
        <w:t>ve</w:t>
      </w:r>
      <w:r w:rsidR="00996857">
        <w:t xml:space="preserve">s for </w:t>
      </w:r>
      <w:r w:rsidR="00007057">
        <w:t>watching</w:t>
      </w:r>
      <w:r w:rsidR="00996857">
        <w:t xml:space="preserve"> </w:t>
      </w:r>
      <w:r w:rsidR="00007057">
        <w:t>their</w:t>
      </w:r>
      <w:r w:rsidR="00996857">
        <w:t xml:space="preserve"> </w:t>
      </w:r>
      <w:r w:rsidR="00007057">
        <w:t>children</w:t>
      </w:r>
      <w:r w:rsidR="00456C6D">
        <w:t xml:space="preserve"> </w:t>
      </w:r>
      <w:r w:rsidR="0096009B">
        <w:t>from the outset</w:t>
      </w:r>
      <w:r w:rsidR="00007057">
        <w:t>.</w:t>
      </w:r>
    </w:p>
    <w:p w14:paraId="2C35A6B5" w14:textId="77777777" w:rsidR="00996857" w:rsidRDefault="00996857" w:rsidP="00996857">
      <w:pPr>
        <w:bidi w:val="0"/>
        <w:jc w:val="both"/>
      </w:pPr>
    </w:p>
    <w:p w14:paraId="21492D38" w14:textId="77777777" w:rsidR="00996857" w:rsidRDefault="00996857" w:rsidP="00007057">
      <w:pPr>
        <w:bidi w:val="0"/>
        <w:jc w:val="both"/>
      </w:pPr>
      <w:r w:rsidRPr="00B74F92">
        <w:rPr>
          <w:u w:val="single"/>
        </w:rPr>
        <w:t>We assume</w:t>
      </w:r>
      <w:r>
        <w:t xml:space="preserve"> </w:t>
      </w:r>
      <w:r w:rsidR="00B74F92">
        <w:t xml:space="preserve">that when education </w:t>
      </w:r>
      <w:r w:rsidR="00007057">
        <w:t>institutions</w:t>
      </w:r>
      <w:r w:rsidR="00B74F92">
        <w:t xml:space="preserve"> are closed, any household </w:t>
      </w:r>
      <w:r w:rsidR="00007057">
        <w:t>in which</w:t>
      </w:r>
      <w:r w:rsidR="00B74F92">
        <w:t xml:space="preserve"> there are children up to age 14 will have one parent </w:t>
      </w:r>
      <w:r w:rsidR="00007057">
        <w:t>staying</w:t>
      </w:r>
      <w:r w:rsidR="00B74F92">
        <w:t xml:space="preserve"> home. The relevant households for our analysis are hous</w:t>
      </w:r>
      <w:r w:rsidR="00007057">
        <w:t>eho</w:t>
      </w:r>
      <w:r w:rsidR="00B74F92">
        <w:t xml:space="preserve">lds with two working parents, and households with a </w:t>
      </w:r>
      <w:r w:rsidR="00007057">
        <w:t>working</w:t>
      </w:r>
      <w:r w:rsidR="00B74F92">
        <w:t xml:space="preserve"> single parent.</w:t>
      </w:r>
    </w:p>
    <w:p w14:paraId="0F58916B" w14:textId="77777777" w:rsidR="00E87C87" w:rsidRDefault="00E87C87" w:rsidP="00E87C87">
      <w:pPr>
        <w:bidi w:val="0"/>
        <w:jc w:val="both"/>
      </w:pPr>
    </w:p>
    <w:p w14:paraId="53CF61B4" w14:textId="77777777" w:rsidR="00E87C87" w:rsidRDefault="00E87C87" w:rsidP="00B17CF4">
      <w:pPr>
        <w:bidi w:val="0"/>
        <w:jc w:val="both"/>
      </w:pPr>
      <w:r>
        <w:t xml:space="preserve">We remove from the calculation households in which there is at least 1 parent who </w:t>
      </w:r>
      <w:r w:rsidR="00007057">
        <w:t>works</w:t>
      </w:r>
      <w:r>
        <w:t xml:space="preserve"> as a teacher, under the </w:t>
      </w:r>
      <w:r w:rsidR="00007057">
        <w:t>assumption</w:t>
      </w:r>
      <w:r>
        <w:t xml:space="preserve"> </w:t>
      </w:r>
      <w:r w:rsidR="00007057">
        <w:t xml:space="preserve">that </w:t>
      </w:r>
      <w:r>
        <w:t xml:space="preserve">they in </w:t>
      </w:r>
      <w:r w:rsidR="00007057">
        <w:t>a</w:t>
      </w:r>
      <w:r>
        <w:t xml:space="preserve">ny case will not work or will work </w:t>
      </w:r>
      <w:r w:rsidR="00B17CF4">
        <w:t>from</w:t>
      </w:r>
      <w:r>
        <w:t xml:space="preserve"> home when the </w:t>
      </w:r>
      <w:r w:rsidR="00007057">
        <w:t>educational</w:t>
      </w:r>
      <w:r>
        <w:t xml:space="preserve"> </w:t>
      </w:r>
      <w:r w:rsidR="00007057">
        <w:t>system</w:t>
      </w:r>
      <w:r>
        <w:t xml:space="preserve"> is closed. </w:t>
      </w:r>
      <w:r w:rsidR="004A0106">
        <w:t xml:space="preserve">According to </w:t>
      </w:r>
      <w:r w:rsidR="00007057">
        <w:t>calculations</w:t>
      </w:r>
      <w:r>
        <w:t xml:space="preserve"> based on labor force surveys, there are </w:t>
      </w:r>
      <w:r w:rsidR="00007057">
        <w:t>about</w:t>
      </w:r>
      <w:r>
        <w:t xml:space="preserve"> 680,000 </w:t>
      </w:r>
      <w:r w:rsidR="00007057">
        <w:t>households</w:t>
      </w:r>
      <w:r>
        <w:t xml:space="preserve"> in Israel that meet those criteria (about 570,000 </w:t>
      </w:r>
      <w:r w:rsidR="00007057">
        <w:t>households</w:t>
      </w:r>
      <w:r>
        <w:t xml:space="preserve"> with </w:t>
      </w:r>
      <w:r w:rsidR="00007057">
        <w:t>2</w:t>
      </w:r>
      <w:r>
        <w:t xml:space="preserve"> working parents and 110,000 </w:t>
      </w:r>
      <w:r w:rsidR="00007057">
        <w:t>households</w:t>
      </w:r>
      <w:r>
        <w:t xml:space="preserve"> </w:t>
      </w:r>
      <w:r w:rsidR="00CF4313">
        <w:t>with a working single parent. See Table 3.)</w:t>
      </w:r>
    </w:p>
    <w:p w14:paraId="55E41A32" w14:textId="77777777" w:rsidR="00CF4313" w:rsidRDefault="00CF4313" w:rsidP="00CF4313">
      <w:pPr>
        <w:bidi w:val="0"/>
        <w:jc w:val="both"/>
      </w:pPr>
    </w:p>
    <w:p w14:paraId="2ACDC7E8" w14:textId="4C60C044" w:rsidR="00CF4313" w:rsidRDefault="00CF4313" w:rsidP="00D30057">
      <w:pPr>
        <w:bidi w:val="0"/>
        <w:jc w:val="both"/>
      </w:pPr>
      <w:r>
        <w:t xml:space="preserve">We also remove from the calculation the residents of </w:t>
      </w:r>
      <w:r w:rsidR="00007057">
        <w:t>residential</w:t>
      </w:r>
      <w:r>
        <w:t xml:space="preserve"> areas that were </w:t>
      </w:r>
      <w:r w:rsidR="00007057">
        <w:t>evacuated</w:t>
      </w:r>
      <w:r>
        <w:t xml:space="preserve"> or those who left </w:t>
      </w:r>
      <w:r w:rsidR="004A0106">
        <w:t xml:space="preserve">their homes </w:t>
      </w:r>
      <w:r>
        <w:t>on their own due to the war,</w:t>
      </w:r>
      <w:r w:rsidR="00007057">
        <w:t xml:space="preserve"> </w:t>
      </w:r>
      <w:r>
        <w:t xml:space="preserve">with the </w:t>
      </w:r>
      <w:r w:rsidR="00007057">
        <w:t>assumption</w:t>
      </w:r>
      <w:r>
        <w:t xml:space="preserve"> that most of </w:t>
      </w:r>
      <w:r w:rsidR="00007057">
        <w:t xml:space="preserve">those would be </w:t>
      </w:r>
      <w:r>
        <w:t xml:space="preserve">absent </w:t>
      </w:r>
      <w:r w:rsidR="00007057">
        <w:t xml:space="preserve">from work without </w:t>
      </w:r>
      <w:r>
        <w:t xml:space="preserve">regard to </w:t>
      </w:r>
      <w:r w:rsidR="00007057">
        <w:t xml:space="preserve">the </w:t>
      </w:r>
      <w:r w:rsidR="005B5E43">
        <w:t>educational</w:t>
      </w:r>
      <w:r>
        <w:t xml:space="preserve"> syst</w:t>
      </w:r>
      <w:r w:rsidR="00007057">
        <w:t>e</w:t>
      </w:r>
      <w:r>
        <w:t>m (about an additional 30,000 households)</w:t>
      </w:r>
      <w:r w:rsidR="00D660B1">
        <w:t xml:space="preserve">. Finally, we remove from the calculation </w:t>
      </w:r>
      <w:r w:rsidR="00720C67">
        <w:t>the househ</w:t>
      </w:r>
      <w:r w:rsidR="004032C5">
        <w:t>o</w:t>
      </w:r>
      <w:r w:rsidR="00720C67">
        <w:t xml:space="preserve">lds in which </w:t>
      </w:r>
      <w:r w:rsidR="00007057">
        <w:t xml:space="preserve">there is a </w:t>
      </w:r>
      <w:r w:rsidR="00720C67">
        <w:t>p</w:t>
      </w:r>
      <w:r w:rsidR="00007057">
        <w:t>a</w:t>
      </w:r>
      <w:r w:rsidR="00720C67">
        <w:t>rent who can work fr</w:t>
      </w:r>
      <w:r w:rsidR="004032C5">
        <w:t>o</w:t>
      </w:r>
      <w:r w:rsidR="00720C67">
        <w:t xml:space="preserve">m home (see </w:t>
      </w:r>
      <w:r w:rsidR="00007057">
        <w:t>below</w:t>
      </w:r>
      <w:r w:rsidR="00720C67">
        <w:t>).</w:t>
      </w:r>
      <w:r w:rsidR="004032C5">
        <w:t xml:space="preserve"> A</w:t>
      </w:r>
      <w:r w:rsidR="00720C67">
        <w:t xml:space="preserve">fter removing these </w:t>
      </w:r>
      <w:r w:rsidR="004032C5">
        <w:t xml:space="preserve">from </w:t>
      </w:r>
      <w:r w:rsidR="00007057">
        <w:t>the</w:t>
      </w:r>
      <w:r w:rsidR="00720C67">
        <w:t xml:space="preserve"> calculation, </w:t>
      </w:r>
      <w:r w:rsidR="00007057">
        <w:t>there</w:t>
      </w:r>
      <w:r w:rsidR="00720C67">
        <w:t xml:space="preserve"> are 440,000 </w:t>
      </w:r>
      <w:r w:rsidR="00007057">
        <w:t>households</w:t>
      </w:r>
      <w:r w:rsidR="00720C67">
        <w:t xml:space="preserve"> with </w:t>
      </w:r>
      <w:r w:rsidR="00007057">
        <w:t>children</w:t>
      </w:r>
      <w:r w:rsidR="00720C67">
        <w:t xml:space="preserve"> up to age 14, who require watching when the educ</w:t>
      </w:r>
      <w:r w:rsidR="00007057">
        <w:t xml:space="preserve">ational </w:t>
      </w:r>
      <w:r w:rsidR="00720C67">
        <w:t xml:space="preserve">system is closed </w:t>
      </w:r>
      <w:r w:rsidR="00007057">
        <w:t xml:space="preserve">or working </w:t>
      </w:r>
      <w:r w:rsidR="00720C67">
        <w:t>remotely.</w:t>
      </w:r>
    </w:p>
    <w:p w14:paraId="337ADDA8" w14:textId="77777777" w:rsidR="002E2238" w:rsidRDefault="002E2238" w:rsidP="002E2238">
      <w:pPr>
        <w:bidi w:val="0"/>
        <w:jc w:val="both"/>
      </w:pPr>
    </w:p>
    <w:p w14:paraId="0B964FB9" w14:textId="08AD405C" w:rsidR="002E2238" w:rsidRDefault="002E2238" w:rsidP="00962624">
      <w:pPr>
        <w:bidi w:val="0"/>
        <w:jc w:val="both"/>
      </w:pPr>
      <w:r>
        <w:t>In about 20 percent of households there are youth aged 15–17, who in some cases can replace a parent in watching over younger children</w:t>
      </w:r>
      <w:r w:rsidR="00101564">
        <w:t xml:space="preserve">. In addition, </w:t>
      </w:r>
      <w:r w:rsidR="00101564" w:rsidRPr="00101564">
        <w:rPr>
          <w:u w:val="single"/>
        </w:rPr>
        <w:t>it may be assumed</w:t>
      </w:r>
      <w:r w:rsidR="00101564">
        <w:t xml:space="preserve"> that in part of the remaining households, other solutions may be found </w:t>
      </w:r>
      <w:r w:rsidR="00D90077">
        <w:t>for</w:t>
      </w:r>
      <w:r w:rsidR="00101564">
        <w:t xml:space="preserve"> </w:t>
      </w:r>
      <w:r w:rsidR="00D90077">
        <w:t>watching</w:t>
      </w:r>
      <w:r w:rsidR="00101564">
        <w:t xml:space="preserve"> </w:t>
      </w:r>
      <w:r w:rsidR="00D90077">
        <w:t xml:space="preserve">the </w:t>
      </w:r>
      <w:r w:rsidR="00101564">
        <w:lastRenderedPageBreak/>
        <w:t xml:space="preserve">children. Therefore </w:t>
      </w:r>
      <w:r w:rsidR="00101564" w:rsidRPr="00101564">
        <w:rPr>
          <w:u w:val="single"/>
        </w:rPr>
        <w:t>we will assume</w:t>
      </w:r>
      <w:r w:rsidR="00101564">
        <w:t xml:space="preserve"> that in 30 percent of households in which there are children and there are not teachers or workers from home, the parents will be able to work as usual and not be absent from their work. Under this assumption, the number of people absent and the cost will decrease accordingly, to about 310,000 absent </w:t>
      </w:r>
      <w:r w:rsidR="00962624">
        <w:t>workers</w:t>
      </w:r>
      <w:r w:rsidR="00101564">
        <w:t xml:space="preserve">. In addition to these, there are about 210,000 households in which the </w:t>
      </w:r>
      <w:r w:rsidR="00D90077">
        <w:t>parents</w:t>
      </w:r>
      <w:r w:rsidR="00101564">
        <w:t xml:space="preserve"> can work </w:t>
      </w:r>
      <w:r w:rsidR="004032C5">
        <w:t xml:space="preserve">from </w:t>
      </w:r>
      <w:r w:rsidR="00101564">
        <w:t>home while watching the children, at reduce</w:t>
      </w:r>
      <w:r w:rsidR="00135CF2">
        <w:t>d efficiency.</w:t>
      </w:r>
    </w:p>
    <w:p w14:paraId="207D2FF2" w14:textId="77777777" w:rsidR="00135CF2" w:rsidRDefault="00135CF2">
      <w:pPr>
        <w:bidi w:val="0"/>
      </w:pPr>
      <w:r>
        <w:br w:type="page"/>
      </w:r>
    </w:p>
    <w:p w14:paraId="7DA5122E" w14:textId="77777777" w:rsidR="00135CF2" w:rsidRPr="005C7AA3" w:rsidRDefault="00135CF2" w:rsidP="00135CF2">
      <w:pPr>
        <w:bidi w:val="0"/>
        <w:jc w:val="both"/>
        <w:rPr>
          <w:b/>
          <w:bCs/>
        </w:rPr>
      </w:pPr>
      <w:r w:rsidRPr="005C7AA3">
        <w:rPr>
          <w:b/>
          <w:bCs/>
        </w:rPr>
        <w:lastRenderedPageBreak/>
        <w:t>Table 3</w:t>
      </w:r>
    </w:p>
    <w:p w14:paraId="40B7628D" w14:textId="77777777" w:rsidR="00135CF2" w:rsidRPr="005C7AA3" w:rsidRDefault="00135CF2" w:rsidP="00135CF2">
      <w:pPr>
        <w:bidi w:val="0"/>
        <w:jc w:val="both"/>
        <w:rPr>
          <w:b/>
          <w:bCs/>
        </w:rPr>
      </w:pPr>
      <w:r w:rsidRPr="005C7AA3">
        <w:rPr>
          <w:b/>
          <w:bCs/>
        </w:rPr>
        <w:t>Cost of absences in respect to closing the education system</w:t>
      </w:r>
    </w:p>
    <w:tbl>
      <w:tblPr>
        <w:tblStyle w:val="a5"/>
        <w:tblW w:w="0" w:type="auto"/>
        <w:tblLook w:val="04A0" w:firstRow="1" w:lastRow="0" w:firstColumn="1" w:lastColumn="0" w:noHBand="0" w:noVBand="1"/>
      </w:tblPr>
      <w:tblGrid>
        <w:gridCol w:w="2075"/>
        <w:gridCol w:w="2075"/>
        <w:gridCol w:w="2076"/>
        <w:gridCol w:w="2076"/>
      </w:tblGrid>
      <w:tr w:rsidR="00135CF2" w14:paraId="5BD9A96C" w14:textId="77777777" w:rsidTr="00135CF2">
        <w:tc>
          <w:tcPr>
            <w:tcW w:w="2075" w:type="dxa"/>
          </w:tcPr>
          <w:p w14:paraId="564C8E2B" w14:textId="77777777" w:rsidR="00135CF2" w:rsidRDefault="00135CF2" w:rsidP="00135CF2">
            <w:pPr>
              <w:bidi w:val="0"/>
              <w:jc w:val="both"/>
            </w:pPr>
          </w:p>
        </w:tc>
        <w:tc>
          <w:tcPr>
            <w:tcW w:w="2075" w:type="dxa"/>
          </w:tcPr>
          <w:p w14:paraId="51F6E462" w14:textId="77777777" w:rsidR="00135CF2" w:rsidRDefault="00135CF2" w:rsidP="00135CF2">
            <w:pPr>
              <w:bidi w:val="0"/>
              <w:jc w:val="both"/>
            </w:pPr>
            <w:r>
              <w:t>Number of households (average, Jan.–July, 2023, thousands)</w:t>
            </w:r>
          </w:p>
        </w:tc>
        <w:tc>
          <w:tcPr>
            <w:tcW w:w="2076" w:type="dxa"/>
          </w:tcPr>
          <w:p w14:paraId="07A45880" w14:textId="77777777" w:rsidR="00135CF2" w:rsidRDefault="00135CF2" w:rsidP="00135CF2">
            <w:pPr>
              <w:bidi w:val="0"/>
              <w:jc w:val="both"/>
            </w:pPr>
            <w:r>
              <w:t>Average monthly wage cost for the parent with the lowest wage in the household</w:t>
            </w:r>
          </w:p>
        </w:tc>
        <w:tc>
          <w:tcPr>
            <w:tcW w:w="2076" w:type="dxa"/>
          </w:tcPr>
          <w:p w14:paraId="46E3D242" w14:textId="77777777" w:rsidR="00135CF2" w:rsidRDefault="00135CF2" w:rsidP="00135CF2">
            <w:pPr>
              <w:bidi w:val="0"/>
              <w:jc w:val="both"/>
            </w:pPr>
            <w:r>
              <w:t xml:space="preserve">Weekly cost </w:t>
            </w:r>
          </w:p>
          <w:p w14:paraId="2D060AD0" w14:textId="77777777" w:rsidR="00135CF2" w:rsidRDefault="00135CF2" w:rsidP="00135CF2">
            <w:pPr>
              <w:bidi w:val="0"/>
              <w:jc w:val="both"/>
            </w:pPr>
            <w:r>
              <w:t>(NIS million)</w:t>
            </w:r>
          </w:p>
        </w:tc>
      </w:tr>
      <w:tr w:rsidR="00544267" w14:paraId="4E96A1D5" w14:textId="77777777" w:rsidTr="00D90077">
        <w:tc>
          <w:tcPr>
            <w:tcW w:w="2075" w:type="dxa"/>
          </w:tcPr>
          <w:p w14:paraId="48458899" w14:textId="77777777" w:rsidR="00544267" w:rsidRDefault="00544267" w:rsidP="00544267">
            <w:pPr>
              <w:bidi w:val="0"/>
              <w:jc w:val="both"/>
            </w:pPr>
            <w:r>
              <w:t>All households in Israel</w:t>
            </w:r>
          </w:p>
        </w:tc>
        <w:tc>
          <w:tcPr>
            <w:tcW w:w="2075" w:type="dxa"/>
            <w:vAlign w:val="center"/>
          </w:tcPr>
          <w:p w14:paraId="2E9632CB"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3,156 </w:t>
            </w:r>
          </w:p>
        </w:tc>
        <w:tc>
          <w:tcPr>
            <w:tcW w:w="2076" w:type="dxa"/>
            <w:vAlign w:val="center"/>
          </w:tcPr>
          <w:p w14:paraId="53276E16"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14,341 </w:t>
            </w:r>
          </w:p>
        </w:tc>
        <w:tc>
          <w:tcPr>
            <w:tcW w:w="2076" w:type="dxa"/>
            <w:vAlign w:val="center"/>
          </w:tcPr>
          <w:p w14:paraId="2AB721C1"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10,650 </w:t>
            </w:r>
          </w:p>
        </w:tc>
      </w:tr>
      <w:tr w:rsidR="00544267" w14:paraId="4B621C40" w14:textId="77777777" w:rsidTr="00D90077">
        <w:tc>
          <w:tcPr>
            <w:tcW w:w="2075" w:type="dxa"/>
          </w:tcPr>
          <w:p w14:paraId="03CB557A" w14:textId="77777777" w:rsidR="00544267" w:rsidRDefault="00544267" w:rsidP="00544267">
            <w:pPr>
              <w:bidi w:val="0"/>
              <w:jc w:val="both"/>
            </w:pPr>
            <w:r>
              <w:t>Households with children up to age 14</w:t>
            </w:r>
          </w:p>
        </w:tc>
        <w:tc>
          <w:tcPr>
            <w:tcW w:w="2075" w:type="dxa"/>
            <w:vAlign w:val="center"/>
          </w:tcPr>
          <w:p w14:paraId="2A9AEEC8"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1,139 </w:t>
            </w:r>
          </w:p>
        </w:tc>
        <w:tc>
          <w:tcPr>
            <w:tcW w:w="2076" w:type="dxa"/>
            <w:vAlign w:val="center"/>
          </w:tcPr>
          <w:p w14:paraId="14C730BF"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13,755 </w:t>
            </w:r>
          </w:p>
        </w:tc>
        <w:tc>
          <w:tcPr>
            <w:tcW w:w="2076" w:type="dxa"/>
            <w:vAlign w:val="center"/>
          </w:tcPr>
          <w:p w14:paraId="38A5CACE"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3,687 </w:t>
            </w:r>
          </w:p>
        </w:tc>
      </w:tr>
      <w:tr w:rsidR="00544267" w14:paraId="31BF3034" w14:textId="77777777" w:rsidTr="00135CF2">
        <w:tc>
          <w:tcPr>
            <w:tcW w:w="2075" w:type="dxa"/>
          </w:tcPr>
          <w:p w14:paraId="0DE28DCF" w14:textId="77777777" w:rsidR="00544267" w:rsidRDefault="00544267" w:rsidP="00544267">
            <w:pPr>
              <w:bidi w:val="0"/>
              <w:jc w:val="both"/>
            </w:pPr>
            <w:r>
              <w:t>Of which :</w:t>
            </w:r>
          </w:p>
        </w:tc>
        <w:tc>
          <w:tcPr>
            <w:tcW w:w="2075" w:type="dxa"/>
          </w:tcPr>
          <w:p w14:paraId="4766E769" w14:textId="77777777" w:rsidR="00544267" w:rsidRPr="005037B7" w:rsidRDefault="00544267" w:rsidP="00544267">
            <w:pPr>
              <w:bidi w:val="0"/>
              <w:jc w:val="both"/>
              <w:rPr>
                <w:rFonts w:asciiTheme="majorBidi" w:hAnsiTheme="majorBidi" w:cstheme="majorBidi"/>
              </w:rPr>
            </w:pPr>
          </w:p>
        </w:tc>
        <w:tc>
          <w:tcPr>
            <w:tcW w:w="2076" w:type="dxa"/>
          </w:tcPr>
          <w:p w14:paraId="51C87D3D" w14:textId="77777777" w:rsidR="00544267" w:rsidRPr="005037B7" w:rsidRDefault="00544267" w:rsidP="00544267">
            <w:pPr>
              <w:bidi w:val="0"/>
              <w:jc w:val="both"/>
              <w:rPr>
                <w:rFonts w:asciiTheme="majorBidi" w:hAnsiTheme="majorBidi" w:cstheme="majorBidi"/>
              </w:rPr>
            </w:pPr>
          </w:p>
        </w:tc>
        <w:tc>
          <w:tcPr>
            <w:tcW w:w="2076" w:type="dxa"/>
          </w:tcPr>
          <w:p w14:paraId="13795BB0" w14:textId="77777777" w:rsidR="00544267" w:rsidRPr="005037B7" w:rsidRDefault="00544267" w:rsidP="00544267">
            <w:pPr>
              <w:bidi w:val="0"/>
              <w:jc w:val="both"/>
              <w:rPr>
                <w:rFonts w:asciiTheme="majorBidi" w:hAnsiTheme="majorBidi" w:cstheme="majorBidi"/>
              </w:rPr>
            </w:pPr>
          </w:p>
        </w:tc>
      </w:tr>
      <w:tr w:rsidR="00544267" w14:paraId="2020D6EE" w14:textId="77777777" w:rsidTr="00D90077">
        <w:tc>
          <w:tcPr>
            <w:tcW w:w="2075" w:type="dxa"/>
          </w:tcPr>
          <w:p w14:paraId="0EA8F663" w14:textId="77777777" w:rsidR="00544267" w:rsidRDefault="00544267" w:rsidP="00544267">
            <w:pPr>
              <w:bidi w:val="0"/>
              <w:jc w:val="both"/>
            </w:pPr>
            <w:r>
              <w:t>Two employed parents</w:t>
            </w:r>
          </w:p>
        </w:tc>
        <w:tc>
          <w:tcPr>
            <w:tcW w:w="2075" w:type="dxa"/>
            <w:vAlign w:val="center"/>
          </w:tcPr>
          <w:p w14:paraId="0300EFFD" w14:textId="77777777" w:rsidR="00544267" w:rsidRPr="005037B7" w:rsidRDefault="00544267" w:rsidP="00544267">
            <w:pPr>
              <w:bidi w:val="0"/>
              <w:jc w:val="right"/>
              <w:rPr>
                <w:rFonts w:asciiTheme="majorBidi" w:hAnsiTheme="majorBidi" w:cstheme="majorBidi"/>
                <w:b/>
                <w:bCs/>
                <w:color w:val="000000"/>
                <w:rtl/>
              </w:rPr>
            </w:pPr>
            <w:r w:rsidRPr="005037B7">
              <w:rPr>
                <w:rFonts w:asciiTheme="majorBidi" w:hAnsiTheme="majorBidi" w:cstheme="majorBidi"/>
                <w:b/>
                <w:bCs/>
                <w:color w:val="000000"/>
              </w:rPr>
              <w:t xml:space="preserve">694 </w:t>
            </w:r>
          </w:p>
        </w:tc>
        <w:tc>
          <w:tcPr>
            <w:tcW w:w="2076" w:type="dxa"/>
            <w:vAlign w:val="center"/>
          </w:tcPr>
          <w:p w14:paraId="56035CFA" w14:textId="77777777" w:rsidR="00544267" w:rsidRPr="005037B7" w:rsidRDefault="00544267" w:rsidP="00544267">
            <w:pPr>
              <w:bidi w:val="0"/>
              <w:jc w:val="right"/>
              <w:rPr>
                <w:rFonts w:asciiTheme="majorBidi" w:hAnsiTheme="majorBidi" w:cstheme="majorBidi"/>
                <w:b/>
                <w:bCs/>
                <w:color w:val="000000"/>
              </w:rPr>
            </w:pPr>
            <w:r w:rsidRPr="005037B7">
              <w:rPr>
                <w:rFonts w:asciiTheme="majorBidi" w:hAnsiTheme="majorBidi" w:cstheme="majorBidi"/>
                <w:b/>
                <w:bCs/>
                <w:color w:val="000000"/>
              </w:rPr>
              <w:t xml:space="preserve">14,685 </w:t>
            </w:r>
          </w:p>
        </w:tc>
        <w:tc>
          <w:tcPr>
            <w:tcW w:w="2076" w:type="dxa"/>
            <w:vAlign w:val="center"/>
          </w:tcPr>
          <w:p w14:paraId="5A12D922" w14:textId="77777777" w:rsidR="00544267" w:rsidRPr="005037B7" w:rsidRDefault="00544267" w:rsidP="00544267">
            <w:pPr>
              <w:bidi w:val="0"/>
              <w:jc w:val="right"/>
              <w:rPr>
                <w:rFonts w:asciiTheme="majorBidi" w:hAnsiTheme="majorBidi" w:cstheme="majorBidi"/>
                <w:b/>
                <w:bCs/>
                <w:color w:val="000000"/>
              </w:rPr>
            </w:pPr>
            <w:r w:rsidRPr="005037B7">
              <w:rPr>
                <w:rFonts w:asciiTheme="majorBidi" w:hAnsiTheme="majorBidi" w:cstheme="majorBidi"/>
                <w:b/>
                <w:bCs/>
                <w:color w:val="000000"/>
              </w:rPr>
              <w:t xml:space="preserve">2,398 </w:t>
            </w:r>
          </w:p>
        </w:tc>
      </w:tr>
      <w:tr w:rsidR="00544267" w14:paraId="662D3BB8" w14:textId="77777777" w:rsidTr="00D90077">
        <w:tc>
          <w:tcPr>
            <w:tcW w:w="2075" w:type="dxa"/>
          </w:tcPr>
          <w:p w14:paraId="26E21951" w14:textId="77777777" w:rsidR="00544267" w:rsidRDefault="00544267" w:rsidP="00544267">
            <w:pPr>
              <w:bidi w:val="0"/>
              <w:jc w:val="both"/>
            </w:pPr>
            <w:r>
              <w:t>No teacher in the household</w:t>
            </w:r>
          </w:p>
        </w:tc>
        <w:tc>
          <w:tcPr>
            <w:tcW w:w="2075" w:type="dxa"/>
            <w:vAlign w:val="center"/>
          </w:tcPr>
          <w:p w14:paraId="4AF1FC63"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571 </w:t>
            </w:r>
          </w:p>
        </w:tc>
        <w:tc>
          <w:tcPr>
            <w:tcW w:w="2076" w:type="dxa"/>
            <w:vAlign w:val="center"/>
          </w:tcPr>
          <w:p w14:paraId="406C3223"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15,027 </w:t>
            </w:r>
          </w:p>
        </w:tc>
        <w:tc>
          <w:tcPr>
            <w:tcW w:w="2076" w:type="dxa"/>
            <w:vAlign w:val="center"/>
          </w:tcPr>
          <w:p w14:paraId="11CC5032"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2,018 </w:t>
            </w:r>
          </w:p>
        </w:tc>
      </w:tr>
      <w:tr w:rsidR="00544267" w14:paraId="77EC5827" w14:textId="77777777" w:rsidTr="00D90077">
        <w:tc>
          <w:tcPr>
            <w:tcW w:w="2075" w:type="dxa"/>
          </w:tcPr>
          <w:p w14:paraId="7058EC77" w14:textId="5B07993A" w:rsidR="00544267" w:rsidRDefault="00544267" w:rsidP="00962624">
            <w:pPr>
              <w:bidi w:val="0"/>
              <w:jc w:val="both"/>
            </w:pPr>
            <w:r>
              <w:t xml:space="preserve">Not in a residential area </w:t>
            </w:r>
            <w:r w:rsidR="00962624">
              <w:t>that was evacuated</w:t>
            </w:r>
          </w:p>
        </w:tc>
        <w:tc>
          <w:tcPr>
            <w:tcW w:w="2075" w:type="dxa"/>
            <w:vAlign w:val="center"/>
          </w:tcPr>
          <w:p w14:paraId="1E747D48"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544 </w:t>
            </w:r>
          </w:p>
        </w:tc>
        <w:tc>
          <w:tcPr>
            <w:tcW w:w="2076" w:type="dxa"/>
            <w:vAlign w:val="center"/>
          </w:tcPr>
          <w:p w14:paraId="75F6E3EE"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15,225 </w:t>
            </w:r>
          </w:p>
        </w:tc>
        <w:tc>
          <w:tcPr>
            <w:tcW w:w="2076" w:type="dxa"/>
            <w:vAlign w:val="center"/>
          </w:tcPr>
          <w:p w14:paraId="1B932B2F"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1,950 </w:t>
            </w:r>
          </w:p>
        </w:tc>
      </w:tr>
      <w:tr w:rsidR="00544267" w14:paraId="048DEBAF" w14:textId="77777777" w:rsidTr="00D90077">
        <w:tc>
          <w:tcPr>
            <w:tcW w:w="2075" w:type="dxa"/>
          </w:tcPr>
          <w:p w14:paraId="40FEC535" w14:textId="77777777" w:rsidR="00544267" w:rsidRDefault="00544267" w:rsidP="00544267">
            <w:pPr>
              <w:bidi w:val="0"/>
              <w:jc w:val="both"/>
            </w:pPr>
            <w:r>
              <w:t>Do</w:t>
            </w:r>
            <w:r w:rsidR="00962624">
              <w:t>es</w:t>
            </w:r>
            <w:r>
              <w:t>n’t work from home</w:t>
            </w:r>
          </w:p>
        </w:tc>
        <w:tc>
          <w:tcPr>
            <w:tcW w:w="2075" w:type="dxa"/>
            <w:vAlign w:val="center"/>
          </w:tcPr>
          <w:p w14:paraId="08E0519B"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353 </w:t>
            </w:r>
          </w:p>
        </w:tc>
        <w:tc>
          <w:tcPr>
            <w:tcW w:w="2076" w:type="dxa"/>
            <w:vAlign w:val="center"/>
          </w:tcPr>
          <w:p w14:paraId="20A76880"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13,679 </w:t>
            </w:r>
          </w:p>
        </w:tc>
        <w:tc>
          <w:tcPr>
            <w:tcW w:w="2076" w:type="dxa"/>
            <w:vAlign w:val="center"/>
          </w:tcPr>
          <w:p w14:paraId="5160AB06"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1,136 </w:t>
            </w:r>
          </w:p>
        </w:tc>
      </w:tr>
      <w:tr w:rsidR="00544267" w14:paraId="6A6623C4" w14:textId="77777777" w:rsidTr="00D90077">
        <w:tc>
          <w:tcPr>
            <w:tcW w:w="2075" w:type="dxa"/>
          </w:tcPr>
          <w:p w14:paraId="53975EA2" w14:textId="77777777" w:rsidR="00544267" w:rsidRDefault="00544267" w:rsidP="00544267">
            <w:pPr>
              <w:bidi w:val="0"/>
              <w:jc w:val="both"/>
            </w:pPr>
            <w:r>
              <w:t>At least 1 works from home</w:t>
            </w:r>
          </w:p>
        </w:tc>
        <w:tc>
          <w:tcPr>
            <w:tcW w:w="2075" w:type="dxa"/>
            <w:vAlign w:val="center"/>
          </w:tcPr>
          <w:p w14:paraId="71164052"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192 </w:t>
            </w:r>
          </w:p>
        </w:tc>
        <w:tc>
          <w:tcPr>
            <w:tcW w:w="2076" w:type="dxa"/>
            <w:vAlign w:val="center"/>
          </w:tcPr>
          <w:p w14:paraId="7DAE70F6"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27,714 </w:t>
            </w:r>
          </w:p>
        </w:tc>
        <w:tc>
          <w:tcPr>
            <w:tcW w:w="2076" w:type="dxa"/>
            <w:vAlign w:val="center"/>
          </w:tcPr>
          <w:p w14:paraId="28309238"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250 </w:t>
            </w:r>
          </w:p>
        </w:tc>
      </w:tr>
      <w:tr w:rsidR="00544267" w14:paraId="7624B1E0" w14:textId="77777777" w:rsidTr="00D90077">
        <w:tc>
          <w:tcPr>
            <w:tcW w:w="2075" w:type="dxa"/>
          </w:tcPr>
          <w:p w14:paraId="6B770399" w14:textId="77777777" w:rsidR="00544267" w:rsidRDefault="00544267" w:rsidP="00544267">
            <w:pPr>
              <w:bidi w:val="0"/>
              <w:jc w:val="both"/>
            </w:pPr>
            <w:r>
              <w:t>Working, single parent</w:t>
            </w:r>
          </w:p>
        </w:tc>
        <w:tc>
          <w:tcPr>
            <w:tcW w:w="2075" w:type="dxa"/>
            <w:vAlign w:val="center"/>
          </w:tcPr>
          <w:p w14:paraId="4FD1E5EA" w14:textId="77777777" w:rsidR="00544267" w:rsidRPr="005037B7" w:rsidRDefault="00544267" w:rsidP="00544267">
            <w:pPr>
              <w:bidi w:val="0"/>
              <w:jc w:val="right"/>
              <w:rPr>
                <w:rFonts w:asciiTheme="majorBidi" w:hAnsiTheme="majorBidi" w:cstheme="majorBidi"/>
                <w:b/>
                <w:bCs/>
                <w:color w:val="000000"/>
                <w:rtl/>
              </w:rPr>
            </w:pPr>
            <w:r w:rsidRPr="005037B7">
              <w:rPr>
                <w:rFonts w:asciiTheme="majorBidi" w:hAnsiTheme="majorBidi" w:cstheme="majorBidi"/>
                <w:b/>
                <w:bCs/>
                <w:color w:val="000000"/>
              </w:rPr>
              <w:t xml:space="preserve">119 </w:t>
            </w:r>
          </w:p>
        </w:tc>
        <w:tc>
          <w:tcPr>
            <w:tcW w:w="2076" w:type="dxa"/>
            <w:vAlign w:val="center"/>
          </w:tcPr>
          <w:p w14:paraId="426E1A0C" w14:textId="77777777" w:rsidR="00544267" w:rsidRPr="005037B7" w:rsidRDefault="00544267" w:rsidP="00544267">
            <w:pPr>
              <w:bidi w:val="0"/>
              <w:jc w:val="right"/>
              <w:rPr>
                <w:rFonts w:asciiTheme="majorBidi" w:hAnsiTheme="majorBidi" w:cstheme="majorBidi"/>
                <w:b/>
                <w:bCs/>
                <w:color w:val="000000"/>
              </w:rPr>
            </w:pPr>
            <w:r w:rsidRPr="005037B7">
              <w:rPr>
                <w:rFonts w:asciiTheme="majorBidi" w:hAnsiTheme="majorBidi" w:cstheme="majorBidi"/>
                <w:b/>
                <w:bCs/>
                <w:color w:val="000000"/>
              </w:rPr>
              <w:t xml:space="preserve">14,369 </w:t>
            </w:r>
          </w:p>
        </w:tc>
        <w:tc>
          <w:tcPr>
            <w:tcW w:w="2076" w:type="dxa"/>
            <w:vAlign w:val="center"/>
          </w:tcPr>
          <w:p w14:paraId="14EA289C" w14:textId="77777777" w:rsidR="00544267" w:rsidRPr="005037B7" w:rsidRDefault="00544267" w:rsidP="00544267">
            <w:pPr>
              <w:bidi w:val="0"/>
              <w:jc w:val="right"/>
              <w:rPr>
                <w:rFonts w:asciiTheme="majorBidi" w:hAnsiTheme="majorBidi" w:cstheme="majorBidi"/>
                <w:b/>
                <w:bCs/>
                <w:color w:val="000000"/>
              </w:rPr>
            </w:pPr>
            <w:r w:rsidRPr="005037B7">
              <w:rPr>
                <w:rFonts w:asciiTheme="majorBidi" w:hAnsiTheme="majorBidi" w:cstheme="majorBidi"/>
                <w:b/>
                <w:bCs/>
                <w:color w:val="000000"/>
              </w:rPr>
              <w:t xml:space="preserve">401 </w:t>
            </w:r>
          </w:p>
        </w:tc>
      </w:tr>
      <w:tr w:rsidR="00544267" w14:paraId="59DEA117" w14:textId="77777777" w:rsidTr="00D90077">
        <w:tc>
          <w:tcPr>
            <w:tcW w:w="2075" w:type="dxa"/>
          </w:tcPr>
          <w:p w14:paraId="78C8C9F8" w14:textId="77777777" w:rsidR="00544267" w:rsidRDefault="00544267" w:rsidP="00544267">
            <w:pPr>
              <w:bidi w:val="0"/>
              <w:jc w:val="both"/>
            </w:pPr>
            <w:r>
              <w:t>Not a teacher</w:t>
            </w:r>
          </w:p>
        </w:tc>
        <w:tc>
          <w:tcPr>
            <w:tcW w:w="2075" w:type="dxa"/>
            <w:vAlign w:val="center"/>
          </w:tcPr>
          <w:p w14:paraId="49F92900"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110 </w:t>
            </w:r>
          </w:p>
        </w:tc>
        <w:tc>
          <w:tcPr>
            <w:tcW w:w="2076" w:type="dxa"/>
            <w:vAlign w:val="center"/>
          </w:tcPr>
          <w:p w14:paraId="76A6D337"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14,567 </w:t>
            </w:r>
          </w:p>
        </w:tc>
        <w:tc>
          <w:tcPr>
            <w:tcW w:w="2076" w:type="dxa"/>
            <w:vAlign w:val="center"/>
          </w:tcPr>
          <w:p w14:paraId="7901EC99"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377 </w:t>
            </w:r>
          </w:p>
        </w:tc>
      </w:tr>
      <w:tr w:rsidR="00544267" w14:paraId="3D1A262E" w14:textId="77777777" w:rsidTr="00D90077">
        <w:tc>
          <w:tcPr>
            <w:tcW w:w="2075" w:type="dxa"/>
          </w:tcPr>
          <w:p w14:paraId="4CD6E4C5" w14:textId="33C5CF5E" w:rsidR="00544267" w:rsidRDefault="00544267" w:rsidP="00962624">
            <w:pPr>
              <w:bidi w:val="0"/>
              <w:jc w:val="both"/>
            </w:pPr>
            <w:r>
              <w:t xml:space="preserve">Not in a residential area </w:t>
            </w:r>
            <w:r w:rsidR="00962624">
              <w:t>that was evacuated</w:t>
            </w:r>
            <w:r>
              <w:t xml:space="preserve"> </w:t>
            </w:r>
          </w:p>
        </w:tc>
        <w:tc>
          <w:tcPr>
            <w:tcW w:w="2075" w:type="dxa"/>
            <w:vAlign w:val="center"/>
          </w:tcPr>
          <w:p w14:paraId="6B13253E"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104 </w:t>
            </w:r>
          </w:p>
        </w:tc>
        <w:tc>
          <w:tcPr>
            <w:tcW w:w="2076" w:type="dxa"/>
            <w:vAlign w:val="center"/>
          </w:tcPr>
          <w:p w14:paraId="5888A6E5"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14,236 </w:t>
            </w:r>
          </w:p>
        </w:tc>
        <w:tc>
          <w:tcPr>
            <w:tcW w:w="2076" w:type="dxa"/>
            <w:vAlign w:val="center"/>
          </w:tcPr>
          <w:p w14:paraId="0D778446"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350 </w:t>
            </w:r>
          </w:p>
        </w:tc>
      </w:tr>
      <w:tr w:rsidR="00544267" w14:paraId="6E24FF94" w14:textId="77777777" w:rsidTr="00D90077">
        <w:tc>
          <w:tcPr>
            <w:tcW w:w="2075" w:type="dxa"/>
          </w:tcPr>
          <w:p w14:paraId="2F3787C2" w14:textId="77777777" w:rsidR="00544267" w:rsidRDefault="00544267" w:rsidP="00544267">
            <w:pPr>
              <w:bidi w:val="0"/>
              <w:jc w:val="both"/>
            </w:pPr>
            <w:r>
              <w:t>Do</w:t>
            </w:r>
            <w:r w:rsidR="00962624">
              <w:t>es</w:t>
            </w:r>
            <w:r>
              <w:t>n’t work from home</w:t>
            </w:r>
          </w:p>
        </w:tc>
        <w:tc>
          <w:tcPr>
            <w:tcW w:w="2075" w:type="dxa"/>
            <w:vAlign w:val="center"/>
          </w:tcPr>
          <w:p w14:paraId="005FD72D"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86 </w:t>
            </w:r>
          </w:p>
        </w:tc>
        <w:tc>
          <w:tcPr>
            <w:tcW w:w="2076" w:type="dxa"/>
            <w:vAlign w:val="center"/>
          </w:tcPr>
          <w:p w14:paraId="77CE8793"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12,974 </w:t>
            </w:r>
          </w:p>
        </w:tc>
        <w:tc>
          <w:tcPr>
            <w:tcW w:w="2076" w:type="dxa"/>
            <w:vAlign w:val="center"/>
          </w:tcPr>
          <w:p w14:paraId="49341561"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263 </w:t>
            </w:r>
          </w:p>
        </w:tc>
      </w:tr>
      <w:tr w:rsidR="00544267" w14:paraId="6CD85D9D" w14:textId="77777777" w:rsidTr="00D90077">
        <w:tc>
          <w:tcPr>
            <w:tcW w:w="2075" w:type="dxa"/>
          </w:tcPr>
          <w:p w14:paraId="1C6DCCB3" w14:textId="77777777" w:rsidR="00544267" w:rsidRDefault="00544267" w:rsidP="00544267">
            <w:pPr>
              <w:bidi w:val="0"/>
              <w:jc w:val="both"/>
            </w:pPr>
            <w:r>
              <w:t>Works from home</w:t>
            </w:r>
          </w:p>
        </w:tc>
        <w:tc>
          <w:tcPr>
            <w:tcW w:w="2075" w:type="dxa"/>
            <w:vAlign w:val="center"/>
          </w:tcPr>
          <w:p w14:paraId="3B52B34A"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18 </w:t>
            </w:r>
          </w:p>
        </w:tc>
        <w:tc>
          <w:tcPr>
            <w:tcW w:w="2076" w:type="dxa"/>
            <w:vAlign w:val="center"/>
          </w:tcPr>
          <w:p w14:paraId="6EB4E390"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20,247 </w:t>
            </w:r>
          </w:p>
        </w:tc>
        <w:tc>
          <w:tcPr>
            <w:tcW w:w="2076" w:type="dxa"/>
            <w:vAlign w:val="center"/>
          </w:tcPr>
          <w:p w14:paraId="2C8B08AB"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18 </w:t>
            </w:r>
          </w:p>
        </w:tc>
      </w:tr>
      <w:tr w:rsidR="00544267" w14:paraId="2DADE4EB" w14:textId="77777777" w:rsidTr="00D90077">
        <w:tc>
          <w:tcPr>
            <w:tcW w:w="2075" w:type="dxa"/>
          </w:tcPr>
          <w:p w14:paraId="438C338A" w14:textId="57D3C88F" w:rsidR="00544267" w:rsidRDefault="00544267" w:rsidP="006B18C5">
            <w:pPr>
              <w:bidi w:val="0"/>
              <w:jc w:val="both"/>
            </w:pPr>
            <w:r>
              <w:t xml:space="preserve">Households that </w:t>
            </w:r>
            <w:r w:rsidR="00962624">
              <w:t xml:space="preserve">need </w:t>
            </w:r>
            <w:r w:rsidR="006B18C5">
              <w:t xml:space="preserve">children </w:t>
            </w:r>
            <w:r>
              <w:t>watch</w:t>
            </w:r>
            <w:r w:rsidR="006B18C5">
              <w:t>ed</w:t>
            </w:r>
            <w:r>
              <w:t xml:space="preserve"> </w:t>
            </w:r>
          </w:p>
        </w:tc>
        <w:tc>
          <w:tcPr>
            <w:tcW w:w="2075" w:type="dxa"/>
            <w:vAlign w:val="center"/>
          </w:tcPr>
          <w:p w14:paraId="74A2175C" w14:textId="77777777" w:rsidR="00544267" w:rsidRPr="005037B7" w:rsidRDefault="00544267" w:rsidP="00544267">
            <w:pPr>
              <w:bidi w:val="0"/>
              <w:jc w:val="right"/>
              <w:rPr>
                <w:rFonts w:asciiTheme="majorBidi" w:hAnsiTheme="majorBidi" w:cstheme="majorBidi"/>
                <w:b/>
                <w:bCs/>
                <w:color w:val="000000"/>
                <w:rtl/>
              </w:rPr>
            </w:pPr>
            <w:r w:rsidRPr="005037B7">
              <w:rPr>
                <w:rFonts w:asciiTheme="majorBidi" w:hAnsiTheme="majorBidi" w:cstheme="majorBidi"/>
                <w:b/>
                <w:bCs/>
                <w:color w:val="000000"/>
              </w:rPr>
              <w:t xml:space="preserve">439 </w:t>
            </w:r>
          </w:p>
        </w:tc>
        <w:tc>
          <w:tcPr>
            <w:tcW w:w="2076" w:type="dxa"/>
            <w:vAlign w:val="center"/>
          </w:tcPr>
          <w:p w14:paraId="096729A6" w14:textId="77777777" w:rsidR="00544267" w:rsidRPr="005037B7" w:rsidRDefault="00544267" w:rsidP="00544267">
            <w:pPr>
              <w:bidi w:val="0"/>
              <w:jc w:val="right"/>
              <w:rPr>
                <w:rFonts w:asciiTheme="majorBidi" w:hAnsiTheme="majorBidi" w:cstheme="majorBidi"/>
                <w:b/>
                <w:bCs/>
                <w:color w:val="000000"/>
              </w:rPr>
            </w:pPr>
            <w:r w:rsidRPr="005037B7">
              <w:rPr>
                <w:rFonts w:asciiTheme="majorBidi" w:hAnsiTheme="majorBidi" w:cstheme="majorBidi"/>
                <w:b/>
                <w:bCs/>
                <w:color w:val="000000"/>
              </w:rPr>
              <w:t xml:space="preserve">13,534 </w:t>
            </w:r>
          </w:p>
        </w:tc>
        <w:tc>
          <w:tcPr>
            <w:tcW w:w="2076" w:type="dxa"/>
            <w:vAlign w:val="center"/>
          </w:tcPr>
          <w:p w14:paraId="55B57748" w14:textId="77777777" w:rsidR="00544267" w:rsidRPr="005037B7" w:rsidRDefault="00544267" w:rsidP="00544267">
            <w:pPr>
              <w:bidi w:val="0"/>
              <w:jc w:val="right"/>
              <w:rPr>
                <w:rFonts w:asciiTheme="majorBidi" w:hAnsiTheme="majorBidi" w:cstheme="majorBidi"/>
                <w:b/>
                <w:bCs/>
                <w:color w:val="000000"/>
              </w:rPr>
            </w:pPr>
            <w:r w:rsidRPr="005037B7">
              <w:rPr>
                <w:rFonts w:asciiTheme="majorBidi" w:hAnsiTheme="majorBidi" w:cstheme="majorBidi"/>
                <w:b/>
                <w:bCs/>
                <w:color w:val="000000"/>
              </w:rPr>
              <w:t xml:space="preserve">1,398 </w:t>
            </w:r>
          </w:p>
        </w:tc>
      </w:tr>
      <w:tr w:rsidR="00544267" w14:paraId="0269C8FD" w14:textId="77777777" w:rsidTr="00D90077">
        <w:tc>
          <w:tcPr>
            <w:tcW w:w="2075" w:type="dxa"/>
          </w:tcPr>
          <w:p w14:paraId="0333C419" w14:textId="77777777" w:rsidR="00544267" w:rsidRDefault="00544267" w:rsidP="00544267">
            <w:pPr>
              <w:bidi w:val="0"/>
              <w:jc w:val="both"/>
            </w:pPr>
            <w:r>
              <w:t>Offset by alternatives for watching children (assumption, 30%)</w:t>
            </w:r>
          </w:p>
        </w:tc>
        <w:tc>
          <w:tcPr>
            <w:tcW w:w="2075" w:type="dxa"/>
            <w:vAlign w:val="center"/>
          </w:tcPr>
          <w:p w14:paraId="73F69373"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307 </w:t>
            </w:r>
          </w:p>
        </w:tc>
        <w:tc>
          <w:tcPr>
            <w:tcW w:w="2076" w:type="dxa"/>
            <w:vAlign w:val="center"/>
          </w:tcPr>
          <w:p w14:paraId="55838E9A"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13,534 </w:t>
            </w:r>
          </w:p>
        </w:tc>
        <w:tc>
          <w:tcPr>
            <w:tcW w:w="2076" w:type="dxa"/>
            <w:vAlign w:val="center"/>
          </w:tcPr>
          <w:p w14:paraId="33028309"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978 </w:t>
            </w:r>
          </w:p>
        </w:tc>
      </w:tr>
      <w:tr w:rsidR="00544267" w14:paraId="4533B1C3" w14:textId="77777777" w:rsidTr="00D90077">
        <w:tc>
          <w:tcPr>
            <w:tcW w:w="2075" w:type="dxa"/>
          </w:tcPr>
          <w:p w14:paraId="2F5047C9" w14:textId="77777777" w:rsidR="00544267" w:rsidRDefault="00544267" w:rsidP="00544267">
            <w:pPr>
              <w:bidi w:val="0"/>
              <w:jc w:val="both"/>
            </w:pPr>
            <w:r>
              <w:t>Households in which at least 1 parent works from home</w:t>
            </w:r>
          </w:p>
        </w:tc>
        <w:tc>
          <w:tcPr>
            <w:tcW w:w="2075" w:type="dxa"/>
            <w:vAlign w:val="center"/>
          </w:tcPr>
          <w:p w14:paraId="35DEB480" w14:textId="77777777" w:rsidR="00544267" w:rsidRPr="005037B7" w:rsidRDefault="00544267" w:rsidP="00544267">
            <w:pPr>
              <w:bidi w:val="0"/>
              <w:jc w:val="right"/>
              <w:rPr>
                <w:rFonts w:asciiTheme="majorBidi" w:hAnsiTheme="majorBidi" w:cstheme="majorBidi"/>
                <w:color w:val="000000"/>
                <w:rtl/>
              </w:rPr>
            </w:pPr>
            <w:r w:rsidRPr="005037B7">
              <w:rPr>
                <w:rFonts w:asciiTheme="majorBidi" w:hAnsiTheme="majorBidi" w:cstheme="majorBidi"/>
                <w:color w:val="000000"/>
              </w:rPr>
              <w:t xml:space="preserve">210 </w:t>
            </w:r>
          </w:p>
        </w:tc>
        <w:tc>
          <w:tcPr>
            <w:tcW w:w="2076" w:type="dxa"/>
            <w:vAlign w:val="center"/>
          </w:tcPr>
          <w:p w14:paraId="3BBF721C"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26,983 </w:t>
            </w:r>
          </w:p>
        </w:tc>
        <w:tc>
          <w:tcPr>
            <w:tcW w:w="2076" w:type="dxa"/>
            <w:vAlign w:val="center"/>
          </w:tcPr>
          <w:p w14:paraId="3A896D52" w14:textId="77777777" w:rsidR="00544267" w:rsidRPr="005037B7" w:rsidRDefault="00544267" w:rsidP="00544267">
            <w:pPr>
              <w:bidi w:val="0"/>
              <w:jc w:val="right"/>
              <w:rPr>
                <w:rFonts w:asciiTheme="majorBidi" w:hAnsiTheme="majorBidi" w:cstheme="majorBidi"/>
                <w:color w:val="000000"/>
              </w:rPr>
            </w:pPr>
            <w:r w:rsidRPr="005037B7">
              <w:rPr>
                <w:rFonts w:asciiTheme="majorBidi" w:hAnsiTheme="majorBidi" w:cstheme="majorBidi"/>
                <w:color w:val="000000"/>
              </w:rPr>
              <w:t xml:space="preserve">267 </w:t>
            </w:r>
          </w:p>
        </w:tc>
      </w:tr>
      <w:tr w:rsidR="00544267" w14:paraId="0149ECA0" w14:textId="77777777" w:rsidTr="00D90077">
        <w:tc>
          <w:tcPr>
            <w:tcW w:w="2075" w:type="dxa"/>
          </w:tcPr>
          <w:p w14:paraId="6B3770E9" w14:textId="77777777" w:rsidR="00544267" w:rsidRDefault="00544267" w:rsidP="00544267">
            <w:pPr>
              <w:bidi w:val="0"/>
              <w:jc w:val="both"/>
            </w:pPr>
            <w:r>
              <w:t>Total cost in respect of watching children</w:t>
            </w:r>
          </w:p>
        </w:tc>
        <w:tc>
          <w:tcPr>
            <w:tcW w:w="2075" w:type="dxa"/>
          </w:tcPr>
          <w:p w14:paraId="48F38A23" w14:textId="77777777" w:rsidR="00544267" w:rsidRPr="005037B7" w:rsidRDefault="00544267" w:rsidP="00544267">
            <w:pPr>
              <w:bidi w:val="0"/>
              <w:jc w:val="both"/>
              <w:rPr>
                <w:rFonts w:asciiTheme="majorBidi" w:hAnsiTheme="majorBidi" w:cstheme="majorBidi"/>
              </w:rPr>
            </w:pPr>
          </w:p>
        </w:tc>
        <w:tc>
          <w:tcPr>
            <w:tcW w:w="2076" w:type="dxa"/>
          </w:tcPr>
          <w:p w14:paraId="42074558" w14:textId="77777777" w:rsidR="00544267" w:rsidRPr="005037B7" w:rsidRDefault="00544267" w:rsidP="00544267">
            <w:pPr>
              <w:bidi w:val="0"/>
              <w:jc w:val="both"/>
              <w:rPr>
                <w:rFonts w:asciiTheme="majorBidi" w:hAnsiTheme="majorBidi" w:cstheme="majorBidi"/>
              </w:rPr>
            </w:pPr>
          </w:p>
        </w:tc>
        <w:tc>
          <w:tcPr>
            <w:tcW w:w="2076" w:type="dxa"/>
            <w:vAlign w:val="bottom"/>
          </w:tcPr>
          <w:p w14:paraId="2BFC18A3" w14:textId="77777777" w:rsidR="00544267" w:rsidRPr="005037B7" w:rsidRDefault="00544267" w:rsidP="00544267">
            <w:pPr>
              <w:bidi w:val="0"/>
              <w:jc w:val="right"/>
              <w:rPr>
                <w:rFonts w:asciiTheme="majorBidi" w:hAnsiTheme="majorBidi" w:cstheme="majorBidi"/>
                <w:b/>
                <w:bCs/>
                <w:color w:val="000000"/>
                <w:rtl/>
              </w:rPr>
            </w:pPr>
            <w:r w:rsidRPr="005037B7">
              <w:rPr>
                <w:rFonts w:asciiTheme="majorBidi" w:hAnsiTheme="majorBidi" w:cstheme="majorBidi"/>
                <w:b/>
                <w:bCs/>
                <w:color w:val="000000"/>
              </w:rPr>
              <w:t xml:space="preserve">1,246 </w:t>
            </w:r>
          </w:p>
        </w:tc>
      </w:tr>
    </w:tbl>
    <w:p w14:paraId="0C076D93" w14:textId="77777777" w:rsidR="00135CF2" w:rsidRDefault="00135CF2" w:rsidP="00135CF2">
      <w:pPr>
        <w:bidi w:val="0"/>
        <w:jc w:val="both"/>
      </w:pPr>
    </w:p>
    <w:p w14:paraId="6117207E" w14:textId="1A456974" w:rsidR="004D3977" w:rsidRDefault="004D3977" w:rsidP="00962624">
      <w:pPr>
        <w:bidi w:val="0"/>
        <w:jc w:val="both"/>
      </w:pPr>
      <w:r>
        <w:t>We assume that households with 2 parents, the parent with the lowest income will be absent.</w:t>
      </w:r>
      <w:r w:rsidR="00D309E9">
        <w:t xml:space="preserve"> </w:t>
      </w:r>
      <w:r>
        <w:t>We assume that in a case in which one of the parents can work from home</w:t>
      </w:r>
      <w:r w:rsidR="00CC3FBE">
        <w:t xml:space="preserve">, he or she will do, </w:t>
      </w:r>
      <w:r w:rsidR="00D90077">
        <w:t>and</w:t>
      </w:r>
      <w:r w:rsidR="00CC3FBE">
        <w:t xml:space="preserve"> the other parent will be able to work as regular. The economic cost in such cases is the loss of productivity related to working while watching the children</w:t>
      </w:r>
      <w:r w:rsidR="00962624">
        <w:t>.</w:t>
      </w:r>
      <w:r w:rsidR="00CC3FBE">
        <w:t xml:space="preserve"> </w:t>
      </w:r>
      <w:r w:rsidR="00962624">
        <w:t>S</w:t>
      </w:r>
      <w:r w:rsidR="00CC3FBE">
        <w:t xml:space="preserve">imilar to past sections, we assume that the </w:t>
      </w:r>
      <w:r w:rsidR="00962624">
        <w:t>employer’s cost</w:t>
      </w:r>
      <w:r w:rsidR="00CC3FBE">
        <w:t xml:space="preserve">, which presents </w:t>
      </w:r>
      <w:r w:rsidR="00D90077">
        <w:t>the</w:t>
      </w:r>
      <w:r w:rsidR="00CC3FBE">
        <w:t xml:space="preserve"> </w:t>
      </w:r>
      <w:r w:rsidR="00D90077">
        <w:t>employee’s</w:t>
      </w:r>
      <w:r w:rsidR="00CC3FBE">
        <w:t xml:space="preserve"> </w:t>
      </w:r>
      <w:r w:rsidR="00D90077">
        <w:t>productivity</w:t>
      </w:r>
      <w:r w:rsidR="00CC3FBE">
        <w:t>, is about 20 per</w:t>
      </w:r>
      <w:r w:rsidR="00F11F77">
        <w:t>c</w:t>
      </w:r>
      <w:r w:rsidR="00CC3FBE">
        <w:t>ent</w:t>
      </w:r>
      <w:r w:rsidR="00F11F77">
        <w:t xml:space="preserve"> </w:t>
      </w:r>
      <w:r w:rsidR="00CC3FBE">
        <w:t xml:space="preserve">more than the gross wage </w:t>
      </w:r>
      <w:r w:rsidR="00D90077">
        <w:t>paid</w:t>
      </w:r>
      <w:r w:rsidR="00CC3FBE">
        <w:t xml:space="preserve"> to</w:t>
      </w:r>
      <w:r w:rsidR="00D90077">
        <w:t xml:space="preserve"> the emplo</w:t>
      </w:r>
      <w:r w:rsidR="00CC3FBE">
        <w:t>yees. In a</w:t>
      </w:r>
      <w:r w:rsidR="0094569C">
        <w:t>d</w:t>
      </w:r>
      <w:r w:rsidR="00CC3FBE">
        <w:t xml:space="preserve">dition, </w:t>
      </w:r>
      <w:r w:rsidR="00CC3FBE" w:rsidRPr="00CC3FBE">
        <w:rPr>
          <w:u w:val="single"/>
        </w:rPr>
        <w:t>we assume</w:t>
      </w:r>
      <w:r w:rsidR="00CC3FBE">
        <w:t xml:space="preserve"> that the wage of each parent increased from 2021 </w:t>
      </w:r>
      <w:r w:rsidR="00CC3FBE">
        <w:lastRenderedPageBreak/>
        <w:t>(administrative data that is available to us)</w:t>
      </w:r>
      <w:r w:rsidR="0094569C">
        <w:t xml:space="preserve"> similar to the 8.8 percent increase in the average wage.</w:t>
      </w:r>
    </w:p>
    <w:p w14:paraId="4F467281" w14:textId="10F95148" w:rsidR="0094569C" w:rsidRPr="00934924" w:rsidRDefault="0094569C" w:rsidP="00962624">
      <w:pPr>
        <w:bidi w:val="0"/>
        <w:jc w:val="both"/>
      </w:pPr>
      <w:r>
        <w:t xml:space="preserve">Finally, </w:t>
      </w:r>
      <w:r w:rsidRPr="00F11F77">
        <w:rPr>
          <w:u w:val="single"/>
        </w:rPr>
        <w:t>we assume</w:t>
      </w:r>
      <w:r>
        <w:t xml:space="preserve"> that there is little </w:t>
      </w:r>
      <w:r w:rsidR="00962624">
        <w:t>overlap</w:t>
      </w:r>
      <w:r>
        <w:t xml:space="preserve"> with the cost of calling up the reserves, as if one parent is called up to the reserves, there is an increased probability </w:t>
      </w:r>
      <w:r w:rsidR="00D90077">
        <w:t>that</w:t>
      </w:r>
      <w:r>
        <w:t xml:space="preserve"> the second parent will have </w:t>
      </w:r>
      <w:r w:rsidR="00765383">
        <w:t xml:space="preserve">to be absent in order to watch the children (assuming that in every household with children up to age 14, one parent </w:t>
      </w:r>
      <w:r w:rsidR="00D90077">
        <w:t>stays</w:t>
      </w:r>
      <w:r w:rsidR="00765383">
        <w:t xml:space="preserve"> home</w:t>
      </w:r>
      <w:r w:rsidR="00E70731">
        <w:t>)</w:t>
      </w:r>
      <w:r w:rsidR="00765383">
        <w:t xml:space="preserve">. </w:t>
      </w:r>
      <w:r w:rsidR="00765383" w:rsidRPr="00F11F77">
        <w:rPr>
          <w:u w:val="single"/>
        </w:rPr>
        <w:t>We assume</w:t>
      </w:r>
      <w:r w:rsidR="00765383">
        <w:t xml:space="preserve"> that in there are only very few cases in </w:t>
      </w:r>
      <w:r w:rsidR="00D90077">
        <w:t>which</w:t>
      </w:r>
      <w:r w:rsidR="00765383">
        <w:t xml:space="preserve"> 2 </w:t>
      </w:r>
      <w:r w:rsidR="00D90077">
        <w:t>parents</w:t>
      </w:r>
      <w:r w:rsidR="00765383">
        <w:t xml:space="preserve"> were called up or a single </w:t>
      </w:r>
      <w:r w:rsidR="00D90077">
        <w:t>parent</w:t>
      </w:r>
      <w:r w:rsidR="00765383">
        <w:t xml:space="preserve"> was called up. </w:t>
      </w:r>
    </w:p>
    <w:sectPr w:rsidR="0094569C" w:rsidRPr="00934924"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A4F67" w14:textId="77777777" w:rsidR="00D90077" w:rsidRDefault="00D90077" w:rsidP="00E64B36">
      <w:r>
        <w:separator/>
      </w:r>
    </w:p>
  </w:endnote>
  <w:endnote w:type="continuationSeparator" w:id="0">
    <w:p w14:paraId="613B67ED" w14:textId="77777777" w:rsidR="00D90077" w:rsidRDefault="00D90077"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4B95" w14:textId="77777777" w:rsidR="00D90077" w:rsidRDefault="00D900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442E" w14:textId="4269A62F" w:rsidR="00D90077" w:rsidRPr="0011040A" w:rsidRDefault="00D90077" w:rsidP="0011040A">
    <w:pPr>
      <w:pStyle w:val="a6"/>
      <w:rPr>
        <w:rtl/>
        <w: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DF94" w14:textId="77777777" w:rsidR="00D90077" w:rsidRDefault="00D900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50E4" w14:textId="77777777" w:rsidR="00D90077" w:rsidRDefault="00D90077" w:rsidP="00E64B36">
      <w:r>
        <w:separator/>
      </w:r>
    </w:p>
  </w:footnote>
  <w:footnote w:type="continuationSeparator" w:id="0">
    <w:p w14:paraId="5B8E7BAF" w14:textId="77777777" w:rsidR="00D90077" w:rsidRDefault="00D90077" w:rsidP="00E64B36">
      <w:r>
        <w:continuationSeparator/>
      </w:r>
    </w:p>
  </w:footnote>
  <w:footnote w:id="1">
    <w:p w14:paraId="0C923FAD" w14:textId="77777777" w:rsidR="00D90077" w:rsidRDefault="00D90077" w:rsidP="000F6D04">
      <w:pPr>
        <w:pStyle w:val="ab"/>
        <w:spacing w:line="240" w:lineRule="auto"/>
      </w:pPr>
      <w:r>
        <w:rPr>
          <w:rStyle w:val="ad"/>
        </w:rPr>
        <w:footnoteRef/>
      </w:r>
      <w:r>
        <w:t xml:space="preserve"> Written by </w:t>
      </w:r>
      <w:proofErr w:type="spellStart"/>
      <w:r>
        <w:t>Osnat</w:t>
      </w:r>
      <w:proofErr w:type="spellEnd"/>
      <w:r>
        <w:t xml:space="preserve"> </w:t>
      </w:r>
      <w:proofErr w:type="spellStart"/>
      <w:r>
        <w:t>Peled</w:t>
      </w:r>
      <w:proofErr w:type="spellEnd"/>
      <w:r>
        <w:t xml:space="preserve">, Yuval </w:t>
      </w:r>
      <w:proofErr w:type="spellStart"/>
      <w:r>
        <w:t>Mazar</w:t>
      </w:r>
      <w:proofErr w:type="spellEnd"/>
      <w:r>
        <w:t>, and Guy Levy.</w:t>
      </w:r>
    </w:p>
  </w:footnote>
  <w:footnote w:id="2">
    <w:p w14:paraId="61A18605" w14:textId="58EB60AC" w:rsidR="00D90077" w:rsidRDefault="00D90077" w:rsidP="006B6C66">
      <w:pPr>
        <w:pStyle w:val="ab"/>
        <w:spacing w:line="240" w:lineRule="auto"/>
      </w:pPr>
      <w:r>
        <w:rPr>
          <w:rStyle w:val="ad"/>
        </w:rPr>
        <w:footnoteRef/>
      </w:r>
      <w:r>
        <w:t xml:space="preserve"> After offsetting </w:t>
      </w:r>
      <w:r w:rsidR="00BC0827">
        <w:t>overlaps</w:t>
      </w:r>
      <w:r w:rsidRPr="007F446C">
        <w:t xml:space="preserve">. The assessments are based on assumptions that appear reasonable in accordance with the situation after </w:t>
      </w:r>
      <w:r w:rsidR="006B6C66" w:rsidRPr="007F446C">
        <w:t>5</w:t>
      </w:r>
      <w:r w:rsidRPr="007F446C">
        <w:t xml:space="preserve"> weeks of</w:t>
      </w:r>
      <w:r>
        <w:t xml:space="preserve"> war, the estimate of the number of reserves at this point, the residential areas that were evacuated in the South and the North, and the closure of most of the education system.</w:t>
      </w:r>
    </w:p>
  </w:footnote>
  <w:footnote w:id="3">
    <w:p w14:paraId="0C9F542C" w14:textId="725F0EC6" w:rsidR="00D90077" w:rsidRDefault="00D90077" w:rsidP="009E2EAB">
      <w:pPr>
        <w:pStyle w:val="ab"/>
        <w:spacing w:line="240" w:lineRule="auto"/>
      </w:pPr>
      <w:r>
        <w:rPr>
          <w:rStyle w:val="ad"/>
        </w:rPr>
        <w:footnoteRef/>
      </w:r>
      <w:r>
        <w:t xml:space="preserve"> After offsetting </w:t>
      </w:r>
      <w:r w:rsidR="00515B59">
        <w:t>overlaps</w:t>
      </w:r>
      <w:r>
        <w:t>, as will be described below.</w:t>
      </w:r>
    </w:p>
  </w:footnote>
  <w:footnote w:id="4">
    <w:p w14:paraId="576CD41B" w14:textId="77777777" w:rsidR="00D90077" w:rsidRDefault="00D90077" w:rsidP="00B67886">
      <w:pPr>
        <w:pStyle w:val="ab"/>
        <w:spacing w:line="240" w:lineRule="auto"/>
      </w:pPr>
      <w:r w:rsidRPr="009E2EAB">
        <w:rPr>
          <w:rStyle w:val="ad"/>
        </w:rPr>
        <w:footnoteRef/>
      </w:r>
      <w:r w:rsidRPr="009E2EAB">
        <w:t xml:space="preserve"> </w:t>
      </w:r>
      <w:proofErr w:type="spellStart"/>
      <w:r w:rsidRPr="009E2EAB">
        <w:t>Hofit</w:t>
      </w:r>
      <w:proofErr w:type="spellEnd"/>
      <w:r w:rsidRPr="009E2EAB">
        <w:t xml:space="preserve"> </w:t>
      </w:r>
      <w:proofErr w:type="spellStart"/>
      <w:r w:rsidRPr="009E2EAB">
        <w:t>Halifa</w:t>
      </w:r>
      <w:proofErr w:type="spellEnd"/>
      <w:r w:rsidRPr="009E2EAB">
        <w:t>-Rafael (2018): “Reserves</w:t>
      </w:r>
      <w:r>
        <w:t xml:space="preserve"> in various stages of life: Service in the reserves in the eyes of the soldiers, Memorandum 183, the </w:t>
      </w:r>
      <w:r w:rsidR="00B67886">
        <w:t xml:space="preserve">Institute for </w:t>
      </w:r>
      <w:r>
        <w:t xml:space="preserve">National Security </w:t>
      </w:r>
      <w:r w:rsidR="00B67886">
        <w:t>Studies</w:t>
      </w:r>
      <w:r>
        <w:t>, Tel Aviv, October 2018.</w:t>
      </w:r>
    </w:p>
    <w:p w14:paraId="0511EB86" w14:textId="77777777" w:rsidR="00D90077" w:rsidRDefault="00D90077" w:rsidP="00B67886">
      <w:pPr>
        <w:pStyle w:val="ab"/>
        <w:spacing w:line="240" w:lineRule="auto"/>
      </w:pPr>
      <w:r>
        <w:t xml:space="preserve">For statistical considerations, the following calculations are based on the characteristics and income of the </w:t>
      </w:r>
      <w:r w:rsidR="00B67886">
        <w:t xml:space="preserve">non-ultra-Orthodox </w:t>
      </w:r>
      <w:r>
        <w:t>Jewish population</w:t>
      </w:r>
      <w:r w:rsidR="00B67886">
        <w:t>s</w:t>
      </w:r>
      <w:r>
        <w:t xml:space="preserve">, as those are the main reserves soldiers. This is not to say that there </w:t>
      </w:r>
      <w:r w:rsidR="005B5E43">
        <w:t>are not</w:t>
      </w:r>
      <w:r>
        <w:t xml:space="preserve"> reserves soldiers from other population groups.</w:t>
      </w:r>
    </w:p>
  </w:footnote>
  <w:footnote w:id="5">
    <w:p w14:paraId="1B8533BF" w14:textId="77777777" w:rsidR="00D90077" w:rsidRDefault="00D90077" w:rsidP="000F6D04">
      <w:pPr>
        <w:pStyle w:val="ab"/>
        <w:spacing w:line="240" w:lineRule="auto"/>
      </w:pPr>
      <w:r>
        <w:rPr>
          <w:rStyle w:val="ad"/>
        </w:rPr>
        <w:footnoteRef/>
      </w:r>
      <w:r>
        <w:t xml:space="preserve"> Administrative data for 2021 are adjusted to the average rate of increase of wages in the economy overall from 2021 through July 2023, an increase of 8.8 percent.</w:t>
      </w:r>
    </w:p>
  </w:footnote>
  <w:footnote w:id="6">
    <w:p w14:paraId="601EE57A" w14:textId="03B56499" w:rsidR="00D90077" w:rsidRPr="009E2EAB" w:rsidRDefault="00D90077" w:rsidP="00515B59">
      <w:pPr>
        <w:pStyle w:val="ab"/>
        <w:spacing w:line="240" w:lineRule="auto"/>
      </w:pPr>
      <w:r>
        <w:rPr>
          <w:rStyle w:val="ad"/>
        </w:rPr>
        <w:footnoteRef/>
      </w:r>
      <w:r>
        <w:t xml:space="preserve"> The</w:t>
      </w:r>
      <w:r w:rsidR="009E2EAB">
        <w:t xml:space="preserve"> </w:t>
      </w:r>
      <w:r w:rsidR="00515B59">
        <w:t>current paper</w:t>
      </w:r>
      <w:r>
        <w:t xml:space="preserve"> presents the adverse economic impact in terms of </w:t>
      </w:r>
      <w:r w:rsidR="00515B59">
        <w:t xml:space="preserve">employer’s </w:t>
      </w:r>
      <w:r>
        <w:t xml:space="preserve">cost, as it is equal to </w:t>
      </w:r>
      <w:r w:rsidR="008248B7">
        <w:t xml:space="preserve">the worker’s </w:t>
      </w:r>
      <w:r>
        <w:t xml:space="preserve">direct economic contribution to the value added of the business </w:t>
      </w:r>
      <w:r w:rsidR="009A37F4">
        <w:t xml:space="preserve">or </w:t>
      </w:r>
      <w:r>
        <w:t xml:space="preserve">the economy. </w:t>
      </w:r>
      <w:r w:rsidRPr="009E2EAB">
        <w:t>Labor productivity (Output per worker) includes, in addition to the labor cost, the return on equity as well.</w:t>
      </w:r>
    </w:p>
  </w:footnote>
  <w:footnote w:id="7">
    <w:p w14:paraId="1C5650EA" w14:textId="479889FD" w:rsidR="00D90077" w:rsidRDefault="00D90077" w:rsidP="00F60697">
      <w:pPr>
        <w:pStyle w:val="ab"/>
        <w:spacing w:line="240" w:lineRule="auto"/>
      </w:pPr>
      <w:r w:rsidRPr="009E2EAB">
        <w:rPr>
          <w:rStyle w:val="ad"/>
        </w:rPr>
        <w:footnoteRef/>
      </w:r>
      <w:r w:rsidRPr="009E2EAB">
        <w:t xml:space="preserve"> As a</w:t>
      </w:r>
      <w:r>
        <w:t xml:space="preserve"> general rule, the employer’s cost is about 30 percent more than the gross wage. In our calculation, we assumed the </w:t>
      </w:r>
      <w:r w:rsidR="00F60697">
        <w:t xml:space="preserve">additional costs </w:t>
      </w:r>
      <w:r>
        <w:t xml:space="preserve">to be 20 percent, as it is a relatively young population, and we assume that many of them are receiving </w:t>
      </w:r>
      <w:r w:rsidR="005B5E43">
        <w:t>fewer benefits</w:t>
      </w:r>
      <w:r>
        <w:t xml:space="preserve"> than average.</w:t>
      </w:r>
    </w:p>
  </w:footnote>
  <w:footnote w:id="8">
    <w:p w14:paraId="366AE172" w14:textId="77777777" w:rsidR="00D90077" w:rsidRDefault="00D90077" w:rsidP="000F6D04">
      <w:pPr>
        <w:pStyle w:val="ab"/>
        <w:spacing w:line="240" w:lineRule="auto"/>
      </w:pPr>
      <w:r>
        <w:rPr>
          <w:rStyle w:val="ad"/>
        </w:rPr>
        <w:footnoteRef/>
      </w:r>
      <w:r>
        <w:t xml:space="preserve"> As of October 29, 2023</w:t>
      </w:r>
      <w:r w:rsidR="0003343C">
        <w:t>,</w:t>
      </w:r>
      <w:r>
        <w:t xml:space="preserve"> there had not been a substantial change in the scope of evacuation and the list of evacuated areas.</w:t>
      </w:r>
    </w:p>
  </w:footnote>
  <w:footnote w:id="9">
    <w:p w14:paraId="3D57B459" w14:textId="77777777" w:rsidR="00976C4B" w:rsidRDefault="00976C4B" w:rsidP="009E2EAB">
      <w:pPr>
        <w:pStyle w:val="ab"/>
        <w:spacing w:line="240" w:lineRule="auto"/>
      </w:pPr>
      <w:r>
        <w:rPr>
          <w:rStyle w:val="ad"/>
        </w:rPr>
        <w:footnoteRef/>
      </w:r>
      <w:r>
        <w:t xml:space="preserve"> It is likely that a few residents remained to work in the evacuated residential areas, particularly those working in agriculture. In fact, the assumption that all are absent is offset against those absent from other residential areas</w:t>
      </w:r>
      <w:r w:rsidR="006A0894">
        <w:t xml:space="preserve"> in which the share of displacement is lower than 10 percent, and were not included in the said calculation.</w:t>
      </w:r>
    </w:p>
  </w:footnote>
  <w:footnote w:id="10">
    <w:p w14:paraId="68AE7D51" w14:textId="77777777" w:rsidR="00214BAA" w:rsidRDefault="00214BAA" w:rsidP="009E2EAB">
      <w:pPr>
        <w:pStyle w:val="ab"/>
        <w:spacing w:line="240" w:lineRule="auto"/>
      </w:pPr>
      <w:r>
        <w:rPr>
          <w:rStyle w:val="ad"/>
        </w:rPr>
        <w:footnoteRef/>
      </w:r>
      <w:r>
        <w:t xml:space="preserve"> See footnote #5.</w:t>
      </w:r>
    </w:p>
  </w:footnote>
  <w:footnote w:id="11">
    <w:p w14:paraId="090A751B" w14:textId="77777777" w:rsidR="00D90077" w:rsidRDefault="00D90077" w:rsidP="006B18C5">
      <w:pPr>
        <w:pStyle w:val="ab"/>
        <w:spacing w:line="240" w:lineRule="auto"/>
      </w:pPr>
      <w:r>
        <w:rPr>
          <w:rStyle w:val="ad"/>
        </w:rPr>
        <w:footnoteRef/>
      </w:r>
      <w:r>
        <w:t xml:space="preserve"> For a similar type of analysis, see the position paper by Guy Segal and Yossi </w:t>
      </w:r>
      <w:proofErr w:type="spellStart"/>
      <w:r>
        <w:t>Margoninsky</w:t>
      </w:r>
      <w:proofErr w:type="spellEnd"/>
      <w:r>
        <w:t>: “Characteristics of vacations from studies in Israel—costs to the economy and policy alternatives” (November 2019), Bank of Israel.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FCDF" w14:textId="77777777" w:rsidR="00D90077" w:rsidRDefault="00D900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99CD" w14:textId="77777777" w:rsidR="00D90077" w:rsidRDefault="00D900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08FA" w14:textId="77777777" w:rsidR="00D90077" w:rsidRDefault="00D900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81113"/>
    <w:multiLevelType w:val="hybridMultilevel"/>
    <w:tmpl w:val="96A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314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057"/>
    <w:rsid w:val="00007FFE"/>
    <w:rsid w:val="0001385E"/>
    <w:rsid w:val="0001413F"/>
    <w:rsid w:val="000179E9"/>
    <w:rsid w:val="00022DA8"/>
    <w:rsid w:val="0003343C"/>
    <w:rsid w:val="00033569"/>
    <w:rsid w:val="000339CA"/>
    <w:rsid w:val="00050358"/>
    <w:rsid w:val="00051247"/>
    <w:rsid w:val="000526A0"/>
    <w:rsid w:val="0005726E"/>
    <w:rsid w:val="00060A21"/>
    <w:rsid w:val="00065D9C"/>
    <w:rsid w:val="000740E1"/>
    <w:rsid w:val="00074B7E"/>
    <w:rsid w:val="0009533F"/>
    <w:rsid w:val="000A14FC"/>
    <w:rsid w:val="000A520E"/>
    <w:rsid w:val="000B3C48"/>
    <w:rsid w:val="000C710C"/>
    <w:rsid w:val="000D4E65"/>
    <w:rsid w:val="000D51C0"/>
    <w:rsid w:val="000E480C"/>
    <w:rsid w:val="000F48F6"/>
    <w:rsid w:val="000F4BF2"/>
    <w:rsid w:val="000F6D04"/>
    <w:rsid w:val="001001A2"/>
    <w:rsid w:val="00101564"/>
    <w:rsid w:val="00101B55"/>
    <w:rsid w:val="0011040A"/>
    <w:rsid w:val="00111082"/>
    <w:rsid w:val="00130245"/>
    <w:rsid w:val="00135CF2"/>
    <w:rsid w:val="001428C4"/>
    <w:rsid w:val="00143F3A"/>
    <w:rsid w:val="00151D84"/>
    <w:rsid w:val="00160B25"/>
    <w:rsid w:val="00160CFD"/>
    <w:rsid w:val="00162F5E"/>
    <w:rsid w:val="00165CB6"/>
    <w:rsid w:val="0016636D"/>
    <w:rsid w:val="00174C29"/>
    <w:rsid w:val="00174C43"/>
    <w:rsid w:val="00175CDA"/>
    <w:rsid w:val="001815E1"/>
    <w:rsid w:val="00182CF0"/>
    <w:rsid w:val="001963C6"/>
    <w:rsid w:val="001A2A27"/>
    <w:rsid w:val="001A4816"/>
    <w:rsid w:val="001A5963"/>
    <w:rsid w:val="001B4E73"/>
    <w:rsid w:val="001C1BC1"/>
    <w:rsid w:val="001C388F"/>
    <w:rsid w:val="001C71E8"/>
    <w:rsid w:val="001D381C"/>
    <w:rsid w:val="001E0A8D"/>
    <w:rsid w:val="001F57DE"/>
    <w:rsid w:val="002004FA"/>
    <w:rsid w:val="00202E77"/>
    <w:rsid w:val="002117DC"/>
    <w:rsid w:val="00212542"/>
    <w:rsid w:val="0021327F"/>
    <w:rsid w:val="00214BAA"/>
    <w:rsid w:val="002235F5"/>
    <w:rsid w:val="002271A2"/>
    <w:rsid w:val="00237CE5"/>
    <w:rsid w:val="00247387"/>
    <w:rsid w:val="00252C62"/>
    <w:rsid w:val="002647C0"/>
    <w:rsid w:val="002713B5"/>
    <w:rsid w:val="002720A2"/>
    <w:rsid w:val="00273AE1"/>
    <w:rsid w:val="00281C70"/>
    <w:rsid w:val="00283FB7"/>
    <w:rsid w:val="0029640A"/>
    <w:rsid w:val="00297100"/>
    <w:rsid w:val="002A0D2A"/>
    <w:rsid w:val="002B48CC"/>
    <w:rsid w:val="002C51CD"/>
    <w:rsid w:val="002C6A25"/>
    <w:rsid w:val="002E2238"/>
    <w:rsid w:val="002F4149"/>
    <w:rsid w:val="002F7EEF"/>
    <w:rsid w:val="0030279B"/>
    <w:rsid w:val="003129D6"/>
    <w:rsid w:val="003136EE"/>
    <w:rsid w:val="00321832"/>
    <w:rsid w:val="00322C28"/>
    <w:rsid w:val="003276ED"/>
    <w:rsid w:val="00332F6A"/>
    <w:rsid w:val="003365E0"/>
    <w:rsid w:val="00344E60"/>
    <w:rsid w:val="003602F3"/>
    <w:rsid w:val="00360B5C"/>
    <w:rsid w:val="00364AF8"/>
    <w:rsid w:val="00364C08"/>
    <w:rsid w:val="00371527"/>
    <w:rsid w:val="003727EE"/>
    <w:rsid w:val="003772AF"/>
    <w:rsid w:val="00382DDC"/>
    <w:rsid w:val="00385CB3"/>
    <w:rsid w:val="00387840"/>
    <w:rsid w:val="0039059D"/>
    <w:rsid w:val="00390CA5"/>
    <w:rsid w:val="00392134"/>
    <w:rsid w:val="003A1AC9"/>
    <w:rsid w:val="003A335C"/>
    <w:rsid w:val="003A3813"/>
    <w:rsid w:val="003B4D5A"/>
    <w:rsid w:val="003B4DD7"/>
    <w:rsid w:val="003B715F"/>
    <w:rsid w:val="003B7DC3"/>
    <w:rsid w:val="003C7815"/>
    <w:rsid w:val="003D0945"/>
    <w:rsid w:val="003D6F31"/>
    <w:rsid w:val="003D7860"/>
    <w:rsid w:val="003D7BF1"/>
    <w:rsid w:val="003E3F4C"/>
    <w:rsid w:val="003F745D"/>
    <w:rsid w:val="00401395"/>
    <w:rsid w:val="004032C5"/>
    <w:rsid w:val="004033B8"/>
    <w:rsid w:val="00403D99"/>
    <w:rsid w:val="004104CA"/>
    <w:rsid w:val="00411BA4"/>
    <w:rsid w:val="00412846"/>
    <w:rsid w:val="00413339"/>
    <w:rsid w:val="004147FC"/>
    <w:rsid w:val="0042309E"/>
    <w:rsid w:val="00430365"/>
    <w:rsid w:val="004309C6"/>
    <w:rsid w:val="00443044"/>
    <w:rsid w:val="00445B15"/>
    <w:rsid w:val="00447E5A"/>
    <w:rsid w:val="00456C6D"/>
    <w:rsid w:val="0046455D"/>
    <w:rsid w:val="004664C3"/>
    <w:rsid w:val="0046672E"/>
    <w:rsid w:val="00467D55"/>
    <w:rsid w:val="00474107"/>
    <w:rsid w:val="00482E08"/>
    <w:rsid w:val="00492391"/>
    <w:rsid w:val="004A0106"/>
    <w:rsid w:val="004A20A5"/>
    <w:rsid w:val="004D02F4"/>
    <w:rsid w:val="004D32A7"/>
    <w:rsid w:val="004D3977"/>
    <w:rsid w:val="004D5D6F"/>
    <w:rsid w:val="004E25DD"/>
    <w:rsid w:val="004E4AEC"/>
    <w:rsid w:val="004F4341"/>
    <w:rsid w:val="0050183E"/>
    <w:rsid w:val="005037B7"/>
    <w:rsid w:val="00507780"/>
    <w:rsid w:val="00513B3C"/>
    <w:rsid w:val="00515B59"/>
    <w:rsid w:val="005165DB"/>
    <w:rsid w:val="005221FC"/>
    <w:rsid w:val="005406F8"/>
    <w:rsid w:val="00540B03"/>
    <w:rsid w:val="00544267"/>
    <w:rsid w:val="005462D0"/>
    <w:rsid w:val="005470ED"/>
    <w:rsid w:val="00547E7E"/>
    <w:rsid w:val="00551DAD"/>
    <w:rsid w:val="0055455A"/>
    <w:rsid w:val="00555C8A"/>
    <w:rsid w:val="005576E1"/>
    <w:rsid w:val="00566FAC"/>
    <w:rsid w:val="00567733"/>
    <w:rsid w:val="005713A8"/>
    <w:rsid w:val="0057274B"/>
    <w:rsid w:val="00581C79"/>
    <w:rsid w:val="00583DAD"/>
    <w:rsid w:val="005904AE"/>
    <w:rsid w:val="0059277F"/>
    <w:rsid w:val="00592A99"/>
    <w:rsid w:val="00596FB4"/>
    <w:rsid w:val="00597EED"/>
    <w:rsid w:val="005A2991"/>
    <w:rsid w:val="005A6409"/>
    <w:rsid w:val="005B5E43"/>
    <w:rsid w:val="005C7AA3"/>
    <w:rsid w:val="005D0AF8"/>
    <w:rsid w:val="005D0D03"/>
    <w:rsid w:val="005D119E"/>
    <w:rsid w:val="005F3A83"/>
    <w:rsid w:val="005F3E47"/>
    <w:rsid w:val="0060215A"/>
    <w:rsid w:val="0061692C"/>
    <w:rsid w:val="006216F9"/>
    <w:rsid w:val="00621BB5"/>
    <w:rsid w:val="0062658F"/>
    <w:rsid w:val="00640EEA"/>
    <w:rsid w:val="0064482B"/>
    <w:rsid w:val="00652D53"/>
    <w:rsid w:val="00662FB1"/>
    <w:rsid w:val="00663421"/>
    <w:rsid w:val="006746E1"/>
    <w:rsid w:val="0067516F"/>
    <w:rsid w:val="00680876"/>
    <w:rsid w:val="006832D0"/>
    <w:rsid w:val="0069122B"/>
    <w:rsid w:val="006A0894"/>
    <w:rsid w:val="006A36CC"/>
    <w:rsid w:val="006A453C"/>
    <w:rsid w:val="006A66C5"/>
    <w:rsid w:val="006B029C"/>
    <w:rsid w:val="006B18C5"/>
    <w:rsid w:val="006B4683"/>
    <w:rsid w:val="006B5BA9"/>
    <w:rsid w:val="006B679C"/>
    <w:rsid w:val="006B6C66"/>
    <w:rsid w:val="006C714C"/>
    <w:rsid w:val="006D3582"/>
    <w:rsid w:val="006D7651"/>
    <w:rsid w:val="006E1B6A"/>
    <w:rsid w:val="0070010B"/>
    <w:rsid w:val="0070029F"/>
    <w:rsid w:val="00701734"/>
    <w:rsid w:val="00702362"/>
    <w:rsid w:val="00704921"/>
    <w:rsid w:val="00720C67"/>
    <w:rsid w:val="00721560"/>
    <w:rsid w:val="00726036"/>
    <w:rsid w:val="0074341E"/>
    <w:rsid w:val="00751F08"/>
    <w:rsid w:val="00755040"/>
    <w:rsid w:val="00760371"/>
    <w:rsid w:val="00765383"/>
    <w:rsid w:val="007666A8"/>
    <w:rsid w:val="00767D04"/>
    <w:rsid w:val="00771A51"/>
    <w:rsid w:val="00773FC7"/>
    <w:rsid w:val="007749FD"/>
    <w:rsid w:val="00776535"/>
    <w:rsid w:val="007806C5"/>
    <w:rsid w:val="00786563"/>
    <w:rsid w:val="00787142"/>
    <w:rsid w:val="00787C75"/>
    <w:rsid w:val="007926C7"/>
    <w:rsid w:val="00793399"/>
    <w:rsid w:val="007A2030"/>
    <w:rsid w:val="007A589B"/>
    <w:rsid w:val="007A64CC"/>
    <w:rsid w:val="007B11F9"/>
    <w:rsid w:val="007B2769"/>
    <w:rsid w:val="007B63C5"/>
    <w:rsid w:val="007C4D44"/>
    <w:rsid w:val="007C6400"/>
    <w:rsid w:val="007D57EE"/>
    <w:rsid w:val="007E0C1F"/>
    <w:rsid w:val="007E1CB3"/>
    <w:rsid w:val="007F332B"/>
    <w:rsid w:val="007F446C"/>
    <w:rsid w:val="007F7993"/>
    <w:rsid w:val="0081026B"/>
    <w:rsid w:val="008121BC"/>
    <w:rsid w:val="008248B7"/>
    <w:rsid w:val="00830099"/>
    <w:rsid w:val="008403F1"/>
    <w:rsid w:val="00842057"/>
    <w:rsid w:val="00842BAF"/>
    <w:rsid w:val="0084348E"/>
    <w:rsid w:val="0086005B"/>
    <w:rsid w:val="00864C55"/>
    <w:rsid w:val="0086637C"/>
    <w:rsid w:val="00884167"/>
    <w:rsid w:val="008914B1"/>
    <w:rsid w:val="00892A46"/>
    <w:rsid w:val="008A02C1"/>
    <w:rsid w:val="008A7212"/>
    <w:rsid w:val="008B2431"/>
    <w:rsid w:val="008B257A"/>
    <w:rsid w:val="008C082F"/>
    <w:rsid w:val="008C366C"/>
    <w:rsid w:val="008D390B"/>
    <w:rsid w:val="008D6FB6"/>
    <w:rsid w:val="008E38F1"/>
    <w:rsid w:val="008E4D8E"/>
    <w:rsid w:val="008F17A3"/>
    <w:rsid w:val="008F1FCF"/>
    <w:rsid w:val="008F5133"/>
    <w:rsid w:val="00900453"/>
    <w:rsid w:val="00904100"/>
    <w:rsid w:val="0090462E"/>
    <w:rsid w:val="00905463"/>
    <w:rsid w:val="0091307F"/>
    <w:rsid w:val="009171B3"/>
    <w:rsid w:val="00933EF4"/>
    <w:rsid w:val="009343D3"/>
    <w:rsid w:val="009343FF"/>
    <w:rsid w:val="00934924"/>
    <w:rsid w:val="0093574D"/>
    <w:rsid w:val="0094569C"/>
    <w:rsid w:val="0096009B"/>
    <w:rsid w:val="00961BD6"/>
    <w:rsid w:val="00962624"/>
    <w:rsid w:val="00963D8D"/>
    <w:rsid w:val="0097278E"/>
    <w:rsid w:val="009744A0"/>
    <w:rsid w:val="00976781"/>
    <w:rsid w:val="00976C4B"/>
    <w:rsid w:val="0098254F"/>
    <w:rsid w:val="00986270"/>
    <w:rsid w:val="00987C14"/>
    <w:rsid w:val="00996857"/>
    <w:rsid w:val="009A37F4"/>
    <w:rsid w:val="009B166B"/>
    <w:rsid w:val="009B19A2"/>
    <w:rsid w:val="009B66C8"/>
    <w:rsid w:val="009C21B3"/>
    <w:rsid w:val="009C2C42"/>
    <w:rsid w:val="009C6C6D"/>
    <w:rsid w:val="009D056A"/>
    <w:rsid w:val="009D55B5"/>
    <w:rsid w:val="009E2EAB"/>
    <w:rsid w:val="009E3D4E"/>
    <w:rsid w:val="009E4E74"/>
    <w:rsid w:val="009E6A28"/>
    <w:rsid w:val="009F010F"/>
    <w:rsid w:val="009F2CE4"/>
    <w:rsid w:val="009F3FB7"/>
    <w:rsid w:val="00A0732C"/>
    <w:rsid w:val="00A074B2"/>
    <w:rsid w:val="00A117D2"/>
    <w:rsid w:val="00A1465C"/>
    <w:rsid w:val="00A17420"/>
    <w:rsid w:val="00A239A7"/>
    <w:rsid w:val="00A3549C"/>
    <w:rsid w:val="00A374AC"/>
    <w:rsid w:val="00A37869"/>
    <w:rsid w:val="00A42145"/>
    <w:rsid w:val="00A44A88"/>
    <w:rsid w:val="00A52CCF"/>
    <w:rsid w:val="00A72122"/>
    <w:rsid w:val="00A729BD"/>
    <w:rsid w:val="00A733BB"/>
    <w:rsid w:val="00A74752"/>
    <w:rsid w:val="00A749E1"/>
    <w:rsid w:val="00A77724"/>
    <w:rsid w:val="00A81B6C"/>
    <w:rsid w:val="00A94775"/>
    <w:rsid w:val="00A962CF"/>
    <w:rsid w:val="00AA04C6"/>
    <w:rsid w:val="00AB121D"/>
    <w:rsid w:val="00AB1BA6"/>
    <w:rsid w:val="00AB75B4"/>
    <w:rsid w:val="00AC74EC"/>
    <w:rsid w:val="00AD7CC8"/>
    <w:rsid w:val="00AE47A7"/>
    <w:rsid w:val="00AE6E25"/>
    <w:rsid w:val="00AF6B3A"/>
    <w:rsid w:val="00B054AD"/>
    <w:rsid w:val="00B108AE"/>
    <w:rsid w:val="00B13C9D"/>
    <w:rsid w:val="00B17CF4"/>
    <w:rsid w:val="00B2087B"/>
    <w:rsid w:val="00B22447"/>
    <w:rsid w:val="00B23C8B"/>
    <w:rsid w:val="00B2426C"/>
    <w:rsid w:val="00B3670C"/>
    <w:rsid w:val="00B40E49"/>
    <w:rsid w:val="00B510A8"/>
    <w:rsid w:val="00B533D5"/>
    <w:rsid w:val="00B54F09"/>
    <w:rsid w:val="00B65CC5"/>
    <w:rsid w:val="00B67886"/>
    <w:rsid w:val="00B71972"/>
    <w:rsid w:val="00B74F92"/>
    <w:rsid w:val="00B84789"/>
    <w:rsid w:val="00B85769"/>
    <w:rsid w:val="00B87F00"/>
    <w:rsid w:val="00B9176B"/>
    <w:rsid w:val="00B96022"/>
    <w:rsid w:val="00B9775D"/>
    <w:rsid w:val="00BB1F3D"/>
    <w:rsid w:val="00BC0827"/>
    <w:rsid w:val="00BC113A"/>
    <w:rsid w:val="00BC71FF"/>
    <w:rsid w:val="00BD0FFD"/>
    <w:rsid w:val="00BE27B4"/>
    <w:rsid w:val="00BE4CAF"/>
    <w:rsid w:val="00BE52BF"/>
    <w:rsid w:val="00C00BB8"/>
    <w:rsid w:val="00C02233"/>
    <w:rsid w:val="00C05BED"/>
    <w:rsid w:val="00C06B06"/>
    <w:rsid w:val="00C106C2"/>
    <w:rsid w:val="00C15121"/>
    <w:rsid w:val="00C171FF"/>
    <w:rsid w:val="00C179B2"/>
    <w:rsid w:val="00C21009"/>
    <w:rsid w:val="00C21363"/>
    <w:rsid w:val="00C2204C"/>
    <w:rsid w:val="00C2294B"/>
    <w:rsid w:val="00C32988"/>
    <w:rsid w:val="00C37129"/>
    <w:rsid w:val="00C37741"/>
    <w:rsid w:val="00C40D0E"/>
    <w:rsid w:val="00C47A56"/>
    <w:rsid w:val="00C52224"/>
    <w:rsid w:val="00C52FC2"/>
    <w:rsid w:val="00C547FE"/>
    <w:rsid w:val="00C5755A"/>
    <w:rsid w:val="00C67CE0"/>
    <w:rsid w:val="00C74F11"/>
    <w:rsid w:val="00C7643D"/>
    <w:rsid w:val="00C76E10"/>
    <w:rsid w:val="00CB5D78"/>
    <w:rsid w:val="00CC3FBE"/>
    <w:rsid w:val="00CC58F8"/>
    <w:rsid w:val="00CD0A35"/>
    <w:rsid w:val="00CD5F91"/>
    <w:rsid w:val="00CD6927"/>
    <w:rsid w:val="00CE0B40"/>
    <w:rsid w:val="00CF3393"/>
    <w:rsid w:val="00CF4313"/>
    <w:rsid w:val="00D040A2"/>
    <w:rsid w:val="00D114C9"/>
    <w:rsid w:val="00D13C47"/>
    <w:rsid w:val="00D17D85"/>
    <w:rsid w:val="00D21685"/>
    <w:rsid w:val="00D30057"/>
    <w:rsid w:val="00D309E9"/>
    <w:rsid w:val="00D318A3"/>
    <w:rsid w:val="00D326DC"/>
    <w:rsid w:val="00D33928"/>
    <w:rsid w:val="00D353EC"/>
    <w:rsid w:val="00D354E8"/>
    <w:rsid w:val="00D44122"/>
    <w:rsid w:val="00D46072"/>
    <w:rsid w:val="00D554DA"/>
    <w:rsid w:val="00D60BFC"/>
    <w:rsid w:val="00D60FF3"/>
    <w:rsid w:val="00D655F5"/>
    <w:rsid w:val="00D660B1"/>
    <w:rsid w:val="00D67C46"/>
    <w:rsid w:val="00D70591"/>
    <w:rsid w:val="00D75CFB"/>
    <w:rsid w:val="00D77847"/>
    <w:rsid w:val="00D90077"/>
    <w:rsid w:val="00D907A2"/>
    <w:rsid w:val="00D91F76"/>
    <w:rsid w:val="00D93AE5"/>
    <w:rsid w:val="00DA2264"/>
    <w:rsid w:val="00DA6116"/>
    <w:rsid w:val="00DC76A3"/>
    <w:rsid w:val="00DD195D"/>
    <w:rsid w:val="00DD4976"/>
    <w:rsid w:val="00DE01A0"/>
    <w:rsid w:val="00DE0699"/>
    <w:rsid w:val="00DE4660"/>
    <w:rsid w:val="00DF3D2E"/>
    <w:rsid w:val="00DF4CC2"/>
    <w:rsid w:val="00DF6966"/>
    <w:rsid w:val="00E01570"/>
    <w:rsid w:val="00E04222"/>
    <w:rsid w:val="00E0503C"/>
    <w:rsid w:val="00E1281F"/>
    <w:rsid w:val="00E12E1F"/>
    <w:rsid w:val="00E16FFB"/>
    <w:rsid w:val="00E24932"/>
    <w:rsid w:val="00E2493A"/>
    <w:rsid w:val="00E34B8E"/>
    <w:rsid w:val="00E369B9"/>
    <w:rsid w:val="00E4365F"/>
    <w:rsid w:val="00E50F50"/>
    <w:rsid w:val="00E51E99"/>
    <w:rsid w:val="00E64B36"/>
    <w:rsid w:val="00E660F1"/>
    <w:rsid w:val="00E70731"/>
    <w:rsid w:val="00E7204F"/>
    <w:rsid w:val="00E74DBF"/>
    <w:rsid w:val="00E8008F"/>
    <w:rsid w:val="00E8413B"/>
    <w:rsid w:val="00E85DB1"/>
    <w:rsid w:val="00E87C87"/>
    <w:rsid w:val="00E94E65"/>
    <w:rsid w:val="00EA5FBF"/>
    <w:rsid w:val="00EB0782"/>
    <w:rsid w:val="00EB0DEC"/>
    <w:rsid w:val="00EB3CA8"/>
    <w:rsid w:val="00EB44F5"/>
    <w:rsid w:val="00EB669A"/>
    <w:rsid w:val="00EC126C"/>
    <w:rsid w:val="00EC13FB"/>
    <w:rsid w:val="00EC48D4"/>
    <w:rsid w:val="00ED5226"/>
    <w:rsid w:val="00ED780F"/>
    <w:rsid w:val="00EE2AA0"/>
    <w:rsid w:val="00EE3596"/>
    <w:rsid w:val="00EF1554"/>
    <w:rsid w:val="00EF1AC2"/>
    <w:rsid w:val="00F033FC"/>
    <w:rsid w:val="00F05F91"/>
    <w:rsid w:val="00F11F77"/>
    <w:rsid w:val="00F15E93"/>
    <w:rsid w:val="00F22657"/>
    <w:rsid w:val="00F45181"/>
    <w:rsid w:val="00F45972"/>
    <w:rsid w:val="00F53236"/>
    <w:rsid w:val="00F56917"/>
    <w:rsid w:val="00F576F6"/>
    <w:rsid w:val="00F60697"/>
    <w:rsid w:val="00F670CE"/>
    <w:rsid w:val="00F7634C"/>
    <w:rsid w:val="00F806F6"/>
    <w:rsid w:val="00F952B9"/>
    <w:rsid w:val="00FA13BA"/>
    <w:rsid w:val="00FA4548"/>
    <w:rsid w:val="00FA70E2"/>
    <w:rsid w:val="00FB5D49"/>
    <w:rsid w:val="00FC2A67"/>
    <w:rsid w:val="00FC7AE4"/>
    <w:rsid w:val="00FD1E1E"/>
    <w:rsid w:val="00FD3D5B"/>
    <w:rsid w:val="00FE0BBA"/>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4369"/>
    <o:shapelayout v:ext="edit">
      <o:idmap v:ext="edit" data="1"/>
    </o:shapelayout>
  </w:shapeDefaults>
  <w:decimalSymbol w:val="."/>
  <w:listSeparator w:val=","/>
  <w14:docId w14:val="3D8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character" w:styleId="ae">
    <w:name w:val="annotation reference"/>
    <w:basedOn w:val="a0"/>
    <w:semiHidden/>
    <w:unhideWhenUsed/>
    <w:rsid w:val="00D33928"/>
    <w:rPr>
      <w:sz w:val="16"/>
      <w:szCs w:val="16"/>
    </w:rPr>
  </w:style>
  <w:style w:type="paragraph" w:styleId="af">
    <w:name w:val="annotation text"/>
    <w:basedOn w:val="a"/>
    <w:link w:val="af0"/>
    <w:semiHidden/>
    <w:unhideWhenUsed/>
    <w:rsid w:val="00D33928"/>
    <w:rPr>
      <w:sz w:val="20"/>
      <w:szCs w:val="20"/>
    </w:rPr>
  </w:style>
  <w:style w:type="character" w:customStyle="1" w:styleId="af0">
    <w:name w:val="טקסט הערה תו"/>
    <w:basedOn w:val="a0"/>
    <w:link w:val="af"/>
    <w:semiHidden/>
    <w:rsid w:val="00D33928"/>
  </w:style>
  <w:style w:type="paragraph" w:styleId="af1">
    <w:name w:val="annotation subject"/>
    <w:basedOn w:val="af"/>
    <w:next w:val="af"/>
    <w:link w:val="af2"/>
    <w:semiHidden/>
    <w:unhideWhenUsed/>
    <w:rsid w:val="00D33928"/>
    <w:rPr>
      <w:b/>
      <w:bCs/>
    </w:rPr>
  </w:style>
  <w:style w:type="character" w:customStyle="1" w:styleId="af2">
    <w:name w:val="נושא הערה תו"/>
    <w:basedOn w:val="af0"/>
    <w:link w:val="af1"/>
    <w:semiHidden/>
    <w:rsid w:val="00D33928"/>
    <w:rPr>
      <w:b/>
      <w:bCs/>
    </w:rPr>
  </w:style>
  <w:style w:type="paragraph" w:styleId="af3">
    <w:name w:val="Revision"/>
    <w:hidden/>
    <w:uiPriority w:val="99"/>
    <w:semiHidden/>
    <w:rsid w:val="00503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E2BD-A64A-45E4-8382-CAFCCA99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2841</Words>
  <Characters>13883</Characters>
  <Application>Microsoft Office Word</Application>
  <DocSecurity>0</DocSecurity>
  <Lines>115</Lines>
  <Paragraphs>33</Paragraphs>
  <ScaleCrop>false</ScaleCrop>
  <LinksUpToDate>false</LinksUpToDate>
  <CharactersWithSpaces>16691</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2023-11-15T09:14:00Z</dcterms:created>
  <dcterms:modified xsi:type="dcterms:W3CDTF">2023-11-15T09:14:00Z</dcterms:modified>
</cp:coreProperties>
</file>