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26" w:rsidRPr="00E8008F" w:rsidRDefault="00101426" w:rsidP="00101426">
      <w:pPr>
        <w:jc w:val="center"/>
        <w:rPr>
          <w:rtl/>
        </w:rPr>
      </w:pPr>
      <w:r>
        <w:rPr>
          <w:noProof/>
        </w:rPr>
        <w:drawing>
          <wp:anchor distT="0" distB="0" distL="114300" distR="114300" simplePos="0" relativeHeight="251658240" behindDoc="0" locked="0" layoutInCell="1" allowOverlap="1">
            <wp:simplePos x="3457575" y="352425"/>
            <wp:positionH relativeFrom="margin">
              <wp:align>center</wp:align>
            </wp:positionH>
            <wp:positionV relativeFrom="margin">
              <wp:align>top</wp:align>
            </wp:positionV>
            <wp:extent cx="685800" cy="676275"/>
            <wp:effectExtent l="0" t="0" r="0" b="9525"/>
            <wp:wrapSquare wrapText="bothSides"/>
            <wp:docPr id="1" name="תמונה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logo.gif"/>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margin">
              <wp14:pctWidth>0</wp14:pctWidth>
            </wp14:sizeRelH>
          </wp:anchor>
        </w:drawing>
      </w:r>
    </w:p>
    <w:p w:rsidR="00101426" w:rsidRDefault="00101426" w:rsidP="00101426">
      <w:pPr>
        <w:pStyle w:val="regpar"/>
        <w:spacing w:line="300" w:lineRule="atLeast"/>
        <w:ind w:firstLine="0"/>
        <w:jc w:val="center"/>
        <w:rPr>
          <w:b/>
        </w:rPr>
      </w:pPr>
    </w:p>
    <w:p w:rsidR="00101426" w:rsidRDefault="00101426" w:rsidP="00101426">
      <w:pPr>
        <w:pStyle w:val="regpar"/>
        <w:spacing w:line="300" w:lineRule="atLeast"/>
        <w:ind w:firstLine="0"/>
        <w:jc w:val="center"/>
        <w:rPr>
          <w:rFonts w:ascii="Times New Roman" w:hAnsi="Times New Roman" w:cs="David"/>
          <w:bCs/>
        </w:rPr>
      </w:pPr>
    </w:p>
    <w:p w:rsidR="00101426" w:rsidRDefault="00101426" w:rsidP="00101426">
      <w:pPr>
        <w:pStyle w:val="regpar"/>
        <w:spacing w:line="300" w:lineRule="atLeast"/>
        <w:ind w:firstLine="0"/>
        <w:jc w:val="center"/>
        <w:rPr>
          <w:rFonts w:ascii="Times New Roman" w:hAnsi="Times New Roman" w:cs="David"/>
          <w:bCs/>
        </w:rPr>
      </w:pPr>
    </w:p>
    <w:p w:rsidR="00101426" w:rsidRPr="00000A06" w:rsidRDefault="00101426" w:rsidP="00101426">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101426" w:rsidRPr="00000A06" w:rsidRDefault="00101426" w:rsidP="00101426">
      <w:pPr>
        <w:pStyle w:val="regpar"/>
        <w:spacing w:line="300" w:lineRule="atLeast"/>
        <w:ind w:firstLine="0"/>
        <w:jc w:val="center"/>
        <w:rPr>
          <w:rFonts w:ascii="Times New Roman" w:hAnsi="Times New Roman" w:cs="Times New Roman"/>
          <w:b/>
        </w:rPr>
      </w:pPr>
      <w:r w:rsidRPr="00000A06">
        <w:rPr>
          <w:rFonts w:ascii="Times New Roman" w:hAnsi="Times New Roman" w:cs="Times New Roman"/>
        </w:rPr>
        <w:t>Office of the Spokes</w:t>
      </w:r>
      <w:r>
        <w:rPr>
          <w:rFonts w:ascii="Times New Roman" w:hAnsi="Times New Roman" w:cs="Times New Roman"/>
        </w:rPr>
        <w:t>person</w:t>
      </w:r>
      <w:r w:rsidRPr="00000A06">
        <w:rPr>
          <w:rFonts w:ascii="Times New Roman" w:hAnsi="Times New Roman" w:cs="Times New Roman"/>
        </w:rPr>
        <w:t xml:space="preserve"> and Economic Information</w:t>
      </w:r>
    </w:p>
    <w:p w:rsidR="00101426" w:rsidRDefault="00101426" w:rsidP="00101426">
      <w:pPr>
        <w:jc w:val="center"/>
        <w:rPr>
          <w:b/>
          <w:bCs/>
          <w:sz w:val="26"/>
          <w:szCs w:val="26"/>
        </w:rPr>
      </w:pPr>
    </w:p>
    <w:p w:rsidR="00101426" w:rsidRPr="0081026B" w:rsidRDefault="00101426" w:rsidP="00101426">
      <w:pPr>
        <w:jc w:val="center"/>
        <w:rPr>
          <w:rFonts w:cs="David"/>
          <w:b/>
          <w:bCs/>
          <w:sz w:val="26"/>
          <w:szCs w:val="26"/>
        </w:rPr>
      </w:pPr>
      <w:r w:rsidRPr="0081026B">
        <w:rPr>
          <w:rFonts w:cs="David"/>
          <w:b/>
          <w:bCs/>
          <w:sz w:val="26"/>
          <w:szCs w:val="26"/>
        </w:rPr>
        <w:t>Press Release</w:t>
      </w:r>
    </w:p>
    <w:p w:rsidR="00101426" w:rsidRDefault="00101426" w:rsidP="00101426">
      <w:pPr>
        <w:jc w:val="right"/>
      </w:pPr>
      <w:r>
        <w:t>July</w:t>
      </w:r>
      <w:r w:rsidRPr="00000A06">
        <w:t xml:space="preserve"> </w:t>
      </w:r>
      <w:r>
        <w:t>18</w:t>
      </w:r>
      <w:r w:rsidRPr="00000A06">
        <w:t>, 2013</w:t>
      </w:r>
    </w:p>
    <w:p w:rsidR="00101426" w:rsidRDefault="00101426" w:rsidP="00101426">
      <w:pPr>
        <w:jc w:val="center"/>
      </w:pPr>
    </w:p>
    <w:p w:rsidR="00D6764A" w:rsidRPr="00A57BBD" w:rsidRDefault="00750C02" w:rsidP="00243608">
      <w:pPr>
        <w:pStyle w:val="regpar"/>
        <w:spacing w:line="240" w:lineRule="auto"/>
        <w:ind w:firstLine="0"/>
        <w:jc w:val="center"/>
        <w:rPr>
          <w:b/>
          <w:bCs/>
          <w:sz w:val="28"/>
          <w:szCs w:val="28"/>
        </w:rPr>
      </w:pPr>
      <w:r w:rsidRPr="00A57BBD">
        <w:rPr>
          <w:b/>
          <w:bCs/>
          <w:sz w:val="28"/>
          <w:szCs w:val="28"/>
        </w:rPr>
        <w:t xml:space="preserve">Declaration of </w:t>
      </w:r>
      <w:r w:rsidR="0025375D" w:rsidRPr="00A57BBD">
        <w:rPr>
          <w:b/>
          <w:bCs/>
          <w:sz w:val="28"/>
          <w:szCs w:val="28"/>
        </w:rPr>
        <w:t xml:space="preserve">Controlled </w:t>
      </w:r>
      <w:r w:rsidRPr="00A57BBD">
        <w:rPr>
          <w:b/>
          <w:bCs/>
          <w:sz w:val="28"/>
          <w:szCs w:val="28"/>
        </w:rPr>
        <w:t>Payment Systems</w:t>
      </w:r>
    </w:p>
    <w:p w:rsidR="00750C02" w:rsidRDefault="00750C02" w:rsidP="00D6764A">
      <w:pPr>
        <w:pStyle w:val="regpar"/>
        <w:spacing w:line="240" w:lineRule="auto"/>
        <w:ind w:firstLine="0"/>
        <w:jc w:val="center"/>
        <w:rPr>
          <w:b/>
          <w:bCs/>
        </w:rPr>
      </w:pPr>
    </w:p>
    <w:p w:rsidR="00750C02" w:rsidRPr="00A57BBD" w:rsidRDefault="00750C02" w:rsidP="00A57BBD">
      <w:pPr>
        <w:pStyle w:val="regpar"/>
        <w:spacing w:line="240" w:lineRule="auto"/>
        <w:ind w:firstLine="0"/>
        <w:jc w:val="center"/>
        <w:rPr>
          <w:sz w:val="28"/>
          <w:szCs w:val="28"/>
        </w:rPr>
      </w:pPr>
      <w:r w:rsidRPr="00A57BBD">
        <w:rPr>
          <w:sz w:val="28"/>
          <w:szCs w:val="28"/>
        </w:rPr>
        <w:t xml:space="preserve">The Bank of Israel has declared </w:t>
      </w:r>
      <w:r w:rsidR="00FE4FA1" w:rsidRPr="00A57BBD">
        <w:rPr>
          <w:sz w:val="28"/>
          <w:szCs w:val="28"/>
        </w:rPr>
        <w:t xml:space="preserve">the following </w:t>
      </w:r>
      <w:r w:rsidRPr="00A57BBD">
        <w:rPr>
          <w:sz w:val="28"/>
          <w:szCs w:val="28"/>
        </w:rPr>
        <w:t xml:space="preserve">payment systems to be </w:t>
      </w:r>
      <w:r w:rsidR="00243608" w:rsidRPr="00A57BBD">
        <w:rPr>
          <w:sz w:val="28"/>
          <w:szCs w:val="28"/>
        </w:rPr>
        <w:t>controlled</w:t>
      </w:r>
      <w:r w:rsidRPr="00A57BBD">
        <w:rPr>
          <w:sz w:val="28"/>
          <w:szCs w:val="28"/>
        </w:rPr>
        <w:t xml:space="preserve"> systems </w:t>
      </w:r>
      <w:r w:rsidR="0025375D" w:rsidRPr="00A57BBD">
        <w:rPr>
          <w:sz w:val="28"/>
          <w:szCs w:val="28"/>
        </w:rPr>
        <w:t xml:space="preserve">pursuant </w:t>
      </w:r>
      <w:r w:rsidRPr="00A57BBD">
        <w:rPr>
          <w:sz w:val="28"/>
          <w:szCs w:val="28"/>
        </w:rPr>
        <w:t xml:space="preserve">to the Payment Systems Law: </w:t>
      </w:r>
      <w:r w:rsidR="00FE4FA1" w:rsidRPr="00A57BBD">
        <w:rPr>
          <w:sz w:val="28"/>
          <w:szCs w:val="28"/>
        </w:rPr>
        <w:t xml:space="preserve">the “credit, debit and transfer of payments” system, operated by the </w:t>
      </w:r>
      <w:proofErr w:type="spellStart"/>
      <w:r w:rsidR="00FE4FA1" w:rsidRPr="00A57BBD">
        <w:rPr>
          <w:sz w:val="28"/>
          <w:szCs w:val="28"/>
        </w:rPr>
        <w:t>Masav</w:t>
      </w:r>
      <w:proofErr w:type="spellEnd"/>
      <w:r w:rsidR="00FE4FA1" w:rsidRPr="00A57BBD">
        <w:rPr>
          <w:sz w:val="28"/>
          <w:szCs w:val="28"/>
        </w:rPr>
        <w:t xml:space="preserve"> company, and the “debit card services” and “</w:t>
      </w:r>
      <w:r w:rsidR="0032673C" w:rsidRPr="00A57BBD">
        <w:rPr>
          <w:sz w:val="28"/>
          <w:szCs w:val="28"/>
        </w:rPr>
        <w:t>automated teller machine</w:t>
      </w:r>
      <w:r w:rsidR="00FE4FA1" w:rsidRPr="00A57BBD">
        <w:rPr>
          <w:sz w:val="28"/>
          <w:szCs w:val="28"/>
        </w:rPr>
        <w:t xml:space="preserve">” systems operated by the </w:t>
      </w:r>
      <w:proofErr w:type="spellStart"/>
      <w:r w:rsidR="00FE4FA1" w:rsidRPr="00A57BBD">
        <w:rPr>
          <w:sz w:val="28"/>
          <w:szCs w:val="28"/>
        </w:rPr>
        <w:t>Shva</w:t>
      </w:r>
      <w:proofErr w:type="spellEnd"/>
      <w:r w:rsidR="00FE4FA1" w:rsidRPr="00A57BBD">
        <w:rPr>
          <w:sz w:val="28"/>
          <w:szCs w:val="28"/>
        </w:rPr>
        <w:t xml:space="preserve"> company</w:t>
      </w:r>
    </w:p>
    <w:p w:rsidR="007301AC" w:rsidRDefault="007301AC" w:rsidP="00B25A45">
      <w:pPr>
        <w:pStyle w:val="regpar"/>
        <w:spacing w:line="240" w:lineRule="auto"/>
        <w:ind w:firstLine="0"/>
      </w:pPr>
    </w:p>
    <w:p w:rsidR="00304A21" w:rsidRDefault="007301AC" w:rsidP="00B25A45">
      <w:pPr>
        <w:pStyle w:val="regpar"/>
        <w:spacing w:line="240" w:lineRule="auto"/>
        <w:ind w:firstLine="0"/>
      </w:pPr>
      <w:r>
        <w:t xml:space="preserve">Deputy Governor Dr. </w:t>
      </w:r>
      <w:proofErr w:type="spellStart"/>
      <w:r>
        <w:t>Karnit</w:t>
      </w:r>
      <w:proofErr w:type="spellEnd"/>
      <w:r>
        <w:t xml:space="preserve"> </w:t>
      </w:r>
      <w:proofErr w:type="spellStart"/>
      <w:r>
        <w:t>Flug</w:t>
      </w:r>
      <w:proofErr w:type="spellEnd"/>
      <w:r>
        <w:t xml:space="preserve">, who is authorized to exercise the Governor’s powers under Section 9 of the Bank of Israel Law, 5770–2010, </w:t>
      </w:r>
      <w:r w:rsidR="00304A21">
        <w:t>has declared the “credit, debit and transfer of payments” system operated by Banking Settlement Center Ltd. (</w:t>
      </w:r>
      <w:proofErr w:type="spellStart"/>
      <w:r w:rsidR="00304A21">
        <w:t>Masav</w:t>
      </w:r>
      <w:proofErr w:type="spellEnd"/>
      <w:r w:rsidR="00304A21">
        <w:t>) and the “debit card services” and “</w:t>
      </w:r>
      <w:r w:rsidR="0032673C">
        <w:t>automated teller machine</w:t>
      </w:r>
      <w:r w:rsidR="00304A21">
        <w:t>” systems operated by Automatic Bank Services Ltd. (</w:t>
      </w:r>
      <w:proofErr w:type="spellStart"/>
      <w:r w:rsidR="00304A21">
        <w:t>Shva</w:t>
      </w:r>
      <w:proofErr w:type="spellEnd"/>
      <w:r w:rsidR="00304A21">
        <w:t>)</w:t>
      </w:r>
      <w:r w:rsidR="002A42A7">
        <w:t xml:space="preserve"> to be </w:t>
      </w:r>
      <w:r w:rsidR="0025375D">
        <w:t>“</w:t>
      </w:r>
      <w:r w:rsidR="00243608">
        <w:t>controlled</w:t>
      </w:r>
      <w:r w:rsidR="002A42A7">
        <w:t xml:space="preserve"> systems</w:t>
      </w:r>
      <w:r w:rsidR="0025375D">
        <w:t>”</w:t>
      </w:r>
      <w:r w:rsidR="002A42A7">
        <w:t xml:space="preserve"> </w:t>
      </w:r>
      <w:r w:rsidR="0025375D">
        <w:t xml:space="preserve">in accordance with </w:t>
      </w:r>
      <w:r w:rsidR="002A42A7">
        <w:t>the Payment Systems Law, 5768–2008 (hereinafter: “the Law”)</w:t>
      </w:r>
      <w:r w:rsidR="00321719">
        <w:t xml:space="preserve">. </w:t>
      </w:r>
      <w:r w:rsidR="002A42A7">
        <w:t xml:space="preserve">Section 2(a) of the Law authorizes the Governor to declare a payment system </w:t>
      </w:r>
      <w:r w:rsidR="00243608">
        <w:t>a controlled system</w:t>
      </w:r>
      <w:r w:rsidR="002A42A7">
        <w:t xml:space="preserve"> if the conditions set forth in the law apply </w:t>
      </w:r>
      <w:r w:rsidR="009A3693">
        <w:t xml:space="preserve">to it, including that the system is essential to the </w:t>
      </w:r>
      <w:r w:rsidR="0025375D">
        <w:t xml:space="preserve">overall </w:t>
      </w:r>
      <w:r w:rsidR="009A3693">
        <w:t>payment</w:t>
      </w:r>
      <w:r w:rsidR="0025375D">
        <w:t>s</w:t>
      </w:r>
      <w:r w:rsidR="009A3693">
        <w:t xml:space="preserve"> system in </w:t>
      </w:r>
      <w:r w:rsidR="00A97345">
        <w:t>markets</w:t>
      </w:r>
      <w:r w:rsidR="009A3693">
        <w:t>, and that there is a concern that improper, inefficient or non-credible activity in the system will harm the payment</w:t>
      </w:r>
      <w:r w:rsidR="0025375D">
        <w:t>s</w:t>
      </w:r>
      <w:r w:rsidR="009A3693">
        <w:t xml:space="preserve"> system in the </w:t>
      </w:r>
      <w:r w:rsidR="00A97345">
        <w:t>markets</w:t>
      </w:r>
      <w:r w:rsidR="009A3693">
        <w:t>.</w:t>
      </w:r>
    </w:p>
    <w:p w:rsidR="009A3693" w:rsidRDefault="00A57BBD" w:rsidP="00321719">
      <w:pPr>
        <w:pStyle w:val="regpar"/>
        <w:spacing w:line="240" w:lineRule="auto"/>
        <w:ind w:firstLine="0"/>
      </w:pPr>
      <w:r>
        <w:br/>
      </w:r>
      <w:r w:rsidR="009A3693">
        <w:t xml:space="preserve">The declaration means that the Bank of Israel is </w:t>
      </w:r>
      <w:r w:rsidR="009A3693" w:rsidRPr="00435DCE">
        <w:t xml:space="preserve">able to </w:t>
      </w:r>
      <w:r w:rsidR="00435DCE" w:rsidRPr="004C69B4">
        <w:t>oversee</w:t>
      </w:r>
      <w:r w:rsidR="0025375D" w:rsidRPr="004C69B4">
        <w:t xml:space="preserve"> </w:t>
      </w:r>
      <w:r w:rsidR="003455DA" w:rsidRPr="00435DCE">
        <w:t>the systems</w:t>
      </w:r>
      <w:r w:rsidR="003455DA">
        <w:t xml:space="preserve"> in order to ascertain their stability, efficiency and proper activity.</w:t>
      </w:r>
    </w:p>
    <w:p w:rsidR="003455DA" w:rsidRDefault="00A57BBD" w:rsidP="00A97345">
      <w:pPr>
        <w:pStyle w:val="regpar"/>
        <w:spacing w:line="240" w:lineRule="auto"/>
        <w:ind w:firstLine="0"/>
      </w:pPr>
      <w:r>
        <w:br/>
      </w:r>
      <w:r w:rsidR="003455DA">
        <w:t xml:space="preserve">It is noted that </w:t>
      </w:r>
      <w:proofErr w:type="spellStart"/>
      <w:r w:rsidR="003455DA">
        <w:t>Shva</w:t>
      </w:r>
      <w:proofErr w:type="spellEnd"/>
      <w:r w:rsidR="003455DA">
        <w:t xml:space="preserve"> and </w:t>
      </w:r>
      <w:proofErr w:type="spellStart"/>
      <w:r w:rsidR="003455DA">
        <w:t>Masav</w:t>
      </w:r>
      <w:proofErr w:type="spellEnd"/>
      <w:r w:rsidR="003455DA">
        <w:t xml:space="preserve"> are also regulated in accordance with the Banking </w:t>
      </w:r>
      <w:r w:rsidR="0025375D">
        <w:t>Law</w:t>
      </w:r>
      <w:r w:rsidR="00A97345">
        <w:t xml:space="preserve"> (Licensing)</w:t>
      </w:r>
      <w:r w:rsidR="003455DA">
        <w:t>, 5741–1981.</w:t>
      </w:r>
    </w:p>
    <w:p w:rsidR="003455DA" w:rsidRDefault="00A57BBD" w:rsidP="00321719">
      <w:pPr>
        <w:pStyle w:val="regpar"/>
        <w:spacing w:line="240" w:lineRule="auto"/>
        <w:ind w:firstLine="0"/>
        <w:rPr>
          <w:b/>
          <w:bCs/>
        </w:rPr>
      </w:pPr>
      <w:r>
        <w:rPr>
          <w:b/>
          <w:bCs/>
        </w:rPr>
        <w:br/>
      </w:r>
      <w:r w:rsidR="004C4997">
        <w:rPr>
          <w:b/>
          <w:bCs/>
        </w:rPr>
        <w:t xml:space="preserve">The “credit, debit and transfer of payments” system operated by </w:t>
      </w:r>
      <w:proofErr w:type="spellStart"/>
      <w:r w:rsidR="004C4997">
        <w:rPr>
          <w:b/>
          <w:bCs/>
        </w:rPr>
        <w:t>Masav</w:t>
      </w:r>
      <w:proofErr w:type="spellEnd"/>
    </w:p>
    <w:p w:rsidR="004C4997" w:rsidRDefault="00A57BBD" w:rsidP="00321719">
      <w:pPr>
        <w:pStyle w:val="regpar"/>
        <w:spacing w:line="240" w:lineRule="auto"/>
        <w:ind w:firstLine="0"/>
      </w:pPr>
      <w:r>
        <w:br/>
      </w:r>
      <w:r w:rsidR="00273DA1">
        <w:t xml:space="preserve">This is a </w:t>
      </w:r>
      <w:r w:rsidR="004C4997">
        <w:t xml:space="preserve">retail payment system that provides settlement services and a variety of </w:t>
      </w:r>
      <w:r w:rsidR="00273DA1" w:rsidRPr="002D037D">
        <w:t>other</w:t>
      </w:r>
      <w:r w:rsidR="00273DA1">
        <w:t xml:space="preserve"> </w:t>
      </w:r>
      <w:r w:rsidR="004C4997">
        <w:t>services to a broad number of parties</w:t>
      </w:r>
      <w:r w:rsidR="00321719">
        <w:t xml:space="preserve">. </w:t>
      </w:r>
      <w:r w:rsidR="004C4997">
        <w:t>Among other things, the system carries out intra-bank transfers, inter-bank transfers, and various payments.</w:t>
      </w:r>
    </w:p>
    <w:p w:rsidR="004C4997" w:rsidRDefault="00A57BBD" w:rsidP="00A97345">
      <w:pPr>
        <w:pStyle w:val="regpar"/>
        <w:spacing w:line="240" w:lineRule="auto"/>
        <w:ind w:firstLine="0"/>
      </w:pPr>
      <w:r>
        <w:br/>
      </w:r>
      <w:r w:rsidR="004C4997">
        <w:t>The system is a main payment system within the payments array in Israel, both due to its volume of activity and the amounts transferred through it, and due to the uniqueness of the services it provides</w:t>
      </w:r>
      <w:r w:rsidR="0032673C">
        <w:t xml:space="preserve"> and which serve as a central element of financial activity in the </w:t>
      </w:r>
      <w:r w:rsidR="00A97345">
        <w:t>markets</w:t>
      </w:r>
      <w:r w:rsidR="00321719">
        <w:t xml:space="preserve">. </w:t>
      </w:r>
      <w:r w:rsidR="0032673C">
        <w:t xml:space="preserve">The system is operated by </w:t>
      </w:r>
      <w:proofErr w:type="spellStart"/>
      <w:r w:rsidR="0032673C">
        <w:t>Masav</w:t>
      </w:r>
      <w:proofErr w:type="spellEnd"/>
      <w:r w:rsidR="0032673C">
        <w:t>, a company owned by the five bank</w:t>
      </w:r>
      <w:r w:rsidR="00A97345">
        <w:t>s</w:t>
      </w:r>
      <w:r w:rsidR="0032673C">
        <w:t xml:space="preserve"> (</w:t>
      </w:r>
      <w:proofErr w:type="spellStart"/>
      <w:r w:rsidR="0032673C">
        <w:t>Leumi</w:t>
      </w:r>
      <w:proofErr w:type="spellEnd"/>
      <w:r w:rsidR="0032673C">
        <w:t xml:space="preserve">, </w:t>
      </w:r>
      <w:proofErr w:type="spellStart"/>
      <w:r w:rsidR="0032673C">
        <w:t>Hapoalim</w:t>
      </w:r>
      <w:proofErr w:type="spellEnd"/>
      <w:r w:rsidR="0032673C">
        <w:t xml:space="preserve">, Discount, </w:t>
      </w:r>
      <w:r w:rsidR="000A5422">
        <w:t>First International and Mizrahi-</w:t>
      </w:r>
      <w:proofErr w:type="spellStart"/>
      <w:r w:rsidR="000A5422">
        <w:t>Tefahot</w:t>
      </w:r>
      <w:proofErr w:type="spellEnd"/>
      <w:r w:rsidR="000A5422">
        <w:t>).</w:t>
      </w:r>
    </w:p>
    <w:p w:rsidR="000A5422" w:rsidRDefault="000A5422" w:rsidP="00321719">
      <w:pPr>
        <w:pStyle w:val="regpar"/>
        <w:spacing w:line="240" w:lineRule="auto"/>
        <w:ind w:firstLine="0"/>
      </w:pPr>
    </w:p>
    <w:p w:rsidR="000A5422" w:rsidRDefault="00A57BBD" w:rsidP="00321719">
      <w:pPr>
        <w:pStyle w:val="regpar"/>
        <w:spacing w:line="240" w:lineRule="auto"/>
        <w:ind w:firstLine="0"/>
        <w:rPr>
          <w:b/>
          <w:bCs/>
        </w:rPr>
      </w:pPr>
      <w:r>
        <w:rPr>
          <w:b/>
          <w:bCs/>
        </w:rPr>
        <w:lastRenderedPageBreak/>
        <w:br/>
      </w:r>
      <w:r w:rsidR="000A5422">
        <w:rPr>
          <w:b/>
          <w:bCs/>
        </w:rPr>
        <w:t>The “</w:t>
      </w:r>
      <w:r w:rsidR="000A5422" w:rsidRPr="002D037D">
        <w:rPr>
          <w:b/>
          <w:bCs/>
        </w:rPr>
        <w:t>debit</w:t>
      </w:r>
      <w:r w:rsidR="000A5422">
        <w:rPr>
          <w:b/>
          <w:bCs/>
        </w:rPr>
        <w:t xml:space="preserve"> card services” system operated by </w:t>
      </w:r>
      <w:proofErr w:type="spellStart"/>
      <w:r w:rsidR="000A5422">
        <w:rPr>
          <w:b/>
          <w:bCs/>
        </w:rPr>
        <w:t>Shva</w:t>
      </w:r>
      <w:proofErr w:type="spellEnd"/>
    </w:p>
    <w:p w:rsidR="000A5422" w:rsidRDefault="00A57BBD" w:rsidP="00321719">
      <w:pPr>
        <w:pStyle w:val="regpar"/>
        <w:spacing w:line="240" w:lineRule="auto"/>
        <w:ind w:firstLine="0"/>
      </w:pPr>
      <w:r>
        <w:br/>
      </w:r>
      <w:r w:rsidR="00273DA1">
        <w:t xml:space="preserve">This </w:t>
      </w:r>
      <w:r w:rsidR="000A5422">
        <w:t xml:space="preserve">system serves as the infrastructure for the </w:t>
      </w:r>
      <w:r w:rsidR="000A5422" w:rsidRPr="00435DCE">
        <w:t>two-way</w:t>
      </w:r>
      <w:r w:rsidR="000A5422">
        <w:t xml:space="preserve"> transfer of </w:t>
      </w:r>
      <w:r w:rsidR="000A5422" w:rsidRPr="002D037D">
        <w:t>messages</w:t>
      </w:r>
      <w:r w:rsidR="000A5422">
        <w:t xml:space="preserve"> between </w:t>
      </w:r>
      <w:r w:rsidR="00A95478" w:rsidRPr="00A95478">
        <w:t xml:space="preserve">merchant acquirers </w:t>
      </w:r>
      <w:r w:rsidR="000A5422">
        <w:t xml:space="preserve">and </w:t>
      </w:r>
      <w:r w:rsidR="00A95478">
        <w:t xml:space="preserve">merchant </w:t>
      </w:r>
      <w:r w:rsidR="000A5422">
        <w:t>businesses</w:t>
      </w:r>
      <w:r w:rsidR="00321719">
        <w:t xml:space="preserve">. </w:t>
      </w:r>
      <w:r w:rsidR="000A5422">
        <w:t>The system collects and transfers transactions, approvals, and other details</w:t>
      </w:r>
      <w:r w:rsidR="00BD1A52">
        <w:t xml:space="preserve"> that are necessary for executing settlements and transactions via </w:t>
      </w:r>
      <w:r w:rsidR="00BD1A52" w:rsidRPr="002D037D">
        <w:t>debit</w:t>
      </w:r>
      <w:r w:rsidR="00BD1A52">
        <w:t xml:space="preserve"> cards, and sorts and attributes the transactions to various </w:t>
      </w:r>
      <w:r w:rsidR="00A95478">
        <w:t>merchant acquirers</w:t>
      </w:r>
      <w:r w:rsidR="00BD1A52">
        <w:t>.</w:t>
      </w:r>
    </w:p>
    <w:p w:rsidR="00BD1A52" w:rsidRPr="000A5422" w:rsidRDefault="00A57BBD" w:rsidP="00A97345">
      <w:pPr>
        <w:pStyle w:val="regpar"/>
        <w:spacing w:line="240" w:lineRule="auto"/>
        <w:ind w:firstLine="0"/>
      </w:pPr>
      <w:r>
        <w:br/>
      </w:r>
      <w:r w:rsidR="00BD1A52">
        <w:t>The system is a main payment system in the Israeli payments array, and brings together services that enable the execution of a wide variety of transactions by way of debit cards</w:t>
      </w:r>
      <w:r w:rsidR="00321719">
        <w:t xml:space="preserve">. </w:t>
      </w:r>
      <w:r w:rsidR="00BD1A52">
        <w:t xml:space="preserve">The importance of the system’s operation is derived from the marked expansion </w:t>
      </w:r>
      <w:r w:rsidR="005C4BDA">
        <w:t xml:space="preserve">in the </w:t>
      </w:r>
      <w:r w:rsidR="005C4BDA" w:rsidRPr="002D037D">
        <w:t xml:space="preserve">volume and </w:t>
      </w:r>
      <w:r w:rsidR="002D037D" w:rsidRPr="002D037D">
        <w:t xml:space="preserve">value </w:t>
      </w:r>
      <w:r w:rsidR="005C4BDA" w:rsidRPr="002D037D">
        <w:t>of debit</w:t>
      </w:r>
      <w:r w:rsidR="005C4BDA">
        <w:t xml:space="preserve"> card activity that has taken place in the economy in recent years</w:t>
      </w:r>
      <w:r w:rsidR="00321719">
        <w:t xml:space="preserve">. </w:t>
      </w:r>
      <w:r w:rsidR="005C4BDA">
        <w:t xml:space="preserve">The system is operated by </w:t>
      </w:r>
      <w:proofErr w:type="spellStart"/>
      <w:r w:rsidR="005C4BDA">
        <w:t>Shva</w:t>
      </w:r>
      <w:proofErr w:type="spellEnd"/>
      <w:r w:rsidR="005C4BDA">
        <w:t>, a company owned by four bank</w:t>
      </w:r>
      <w:r w:rsidR="00A97345">
        <w:t>s</w:t>
      </w:r>
      <w:r w:rsidR="002D037D">
        <w:t xml:space="preserve"> </w:t>
      </w:r>
      <w:r w:rsidR="005C4BDA">
        <w:t>(</w:t>
      </w:r>
      <w:proofErr w:type="spellStart"/>
      <w:r w:rsidR="005C4BDA">
        <w:t>Leumi</w:t>
      </w:r>
      <w:proofErr w:type="spellEnd"/>
      <w:r w:rsidR="005C4BDA">
        <w:t xml:space="preserve">, </w:t>
      </w:r>
      <w:proofErr w:type="spellStart"/>
      <w:r w:rsidR="005C4BDA">
        <w:t>Hapoalim</w:t>
      </w:r>
      <w:proofErr w:type="spellEnd"/>
      <w:r w:rsidR="005C4BDA">
        <w:t>, Discount and First International).</w:t>
      </w:r>
    </w:p>
    <w:p w:rsidR="00BD1A52" w:rsidRDefault="00A57BBD" w:rsidP="00321719">
      <w:pPr>
        <w:pStyle w:val="regpar"/>
        <w:spacing w:line="240" w:lineRule="auto"/>
        <w:ind w:firstLine="0"/>
        <w:rPr>
          <w:b/>
          <w:bCs/>
        </w:rPr>
      </w:pPr>
      <w:r>
        <w:rPr>
          <w:b/>
          <w:bCs/>
        </w:rPr>
        <w:br/>
      </w:r>
      <w:r w:rsidR="00BD1A52">
        <w:rPr>
          <w:b/>
          <w:bCs/>
        </w:rPr>
        <w:t xml:space="preserve">The “automatic teller machine” system operated by </w:t>
      </w:r>
      <w:proofErr w:type="spellStart"/>
      <w:r w:rsidR="00BD1A52">
        <w:rPr>
          <w:b/>
          <w:bCs/>
        </w:rPr>
        <w:t>Shva</w:t>
      </w:r>
      <w:proofErr w:type="spellEnd"/>
    </w:p>
    <w:p w:rsidR="005C4BDA" w:rsidRDefault="00A57BBD" w:rsidP="00A97345">
      <w:pPr>
        <w:pStyle w:val="regpar"/>
        <w:spacing w:line="240" w:lineRule="auto"/>
        <w:ind w:firstLine="0"/>
      </w:pPr>
      <w:r>
        <w:br/>
      </w:r>
      <w:r w:rsidR="005C4BDA">
        <w:t xml:space="preserve">The system provides banking corporations with an interface </w:t>
      </w:r>
      <w:r w:rsidR="00CA0DC2">
        <w:t>for branding the networks of automatic teller machines</w:t>
      </w:r>
      <w:r w:rsidR="00321719">
        <w:t xml:space="preserve">. </w:t>
      </w:r>
      <w:r w:rsidR="00CA0DC2">
        <w:t xml:space="preserve">The system serves for the transfer of information regarding activities executed by customers via automatic teller machines that are not operated by the banking corporation with which the customer manages his account, and enables </w:t>
      </w:r>
      <w:r w:rsidR="00273DA1">
        <w:t xml:space="preserve">customers </w:t>
      </w:r>
      <w:r w:rsidR="00CA0DC2">
        <w:t>to withdraw cash efficiently and securely</w:t>
      </w:r>
      <w:r w:rsidR="00321719">
        <w:t xml:space="preserve">. </w:t>
      </w:r>
      <w:r w:rsidR="00CA0DC2">
        <w:t xml:space="preserve">The system is operated by </w:t>
      </w:r>
      <w:proofErr w:type="spellStart"/>
      <w:r w:rsidR="00CA0DC2">
        <w:t>Shva</w:t>
      </w:r>
      <w:proofErr w:type="spellEnd"/>
      <w:r w:rsidR="00CA0DC2">
        <w:t>, a company owned by four bank</w:t>
      </w:r>
      <w:r w:rsidR="00A97345">
        <w:t>s</w:t>
      </w:r>
      <w:r w:rsidR="00B65A83">
        <w:t xml:space="preserve"> </w:t>
      </w:r>
      <w:r w:rsidR="00CA0DC2">
        <w:t>(</w:t>
      </w:r>
      <w:proofErr w:type="spellStart"/>
      <w:r w:rsidR="00CA0DC2">
        <w:t>Leumi</w:t>
      </w:r>
      <w:proofErr w:type="spellEnd"/>
      <w:r w:rsidR="00CA0DC2">
        <w:t xml:space="preserve">, </w:t>
      </w:r>
      <w:proofErr w:type="spellStart"/>
      <w:r w:rsidR="00CA0DC2">
        <w:t>Hapoalim</w:t>
      </w:r>
      <w:proofErr w:type="spellEnd"/>
      <w:r w:rsidR="00CA0DC2">
        <w:t>, Discount and First International).</w:t>
      </w:r>
    </w:p>
    <w:p w:rsidR="00A8414E" w:rsidRPr="00D6764A" w:rsidRDefault="00A8414E" w:rsidP="00930114">
      <w:pPr>
        <w:pStyle w:val="regpar"/>
        <w:spacing w:line="240" w:lineRule="auto"/>
        <w:ind w:firstLine="0"/>
      </w:pPr>
      <w:bookmarkStart w:id="0" w:name="_GoBack"/>
      <w:bookmarkEnd w:id="0"/>
    </w:p>
    <w:sectPr w:rsidR="00A8414E" w:rsidRPr="00D6764A" w:rsidSect="00F2104A">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1400" w:right="1741" w:bottom="1400" w:left="1741" w:header="998" w:footer="998" w:gutter="0"/>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8F" w:rsidRDefault="00870B8F">
      <w:r>
        <w:separator/>
      </w:r>
    </w:p>
  </w:endnote>
  <w:endnote w:type="continuationSeparator" w:id="0">
    <w:p w:rsidR="00870B8F" w:rsidRDefault="008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3" w:rsidRDefault="002D1C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3" w:rsidRDefault="002D1C83" w:rsidP="000705AF">
    <w:pPr>
      <w:pStyle w:val="a3"/>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3" w:rsidRDefault="002D1C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8F" w:rsidRDefault="00870B8F">
      <w:r>
        <w:separator/>
      </w:r>
    </w:p>
  </w:footnote>
  <w:footnote w:type="continuationSeparator" w:id="0">
    <w:p w:rsidR="00870B8F" w:rsidRDefault="0087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CA" w:rsidRDefault="00B337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CA" w:rsidRDefault="00B337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3" w:rsidRDefault="002D1C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BCF"/>
    <w:multiLevelType w:val="hybridMultilevel"/>
    <w:tmpl w:val="9AA2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80953"/>
    <w:multiLevelType w:val="hybridMultilevel"/>
    <w:tmpl w:val="CCEC28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52BE7BF2"/>
    <w:multiLevelType w:val="hybridMultilevel"/>
    <w:tmpl w:val="B204F07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63F4534D"/>
    <w:multiLevelType w:val="hybridMultilevel"/>
    <w:tmpl w:val="0B68D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numFmt w:val="hebrew2"/>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19"/>
    <w:rsid w:val="00013A10"/>
    <w:rsid w:val="000212C8"/>
    <w:rsid w:val="00030DDC"/>
    <w:rsid w:val="00045C9C"/>
    <w:rsid w:val="000705AF"/>
    <w:rsid w:val="00085B0E"/>
    <w:rsid w:val="000A5422"/>
    <w:rsid w:val="000B5994"/>
    <w:rsid w:val="000E6DCA"/>
    <w:rsid w:val="00101426"/>
    <w:rsid w:val="00134359"/>
    <w:rsid w:val="00154D93"/>
    <w:rsid w:val="00166AC5"/>
    <w:rsid w:val="0017216B"/>
    <w:rsid w:val="00182A3B"/>
    <w:rsid w:val="001874CE"/>
    <w:rsid w:val="001A1040"/>
    <w:rsid w:val="001E6B5B"/>
    <w:rsid w:val="00243608"/>
    <w:rsid w:val="0025375D"/>
    <w:rsid w:val="00273DA1"/>
    <w:rsid w:val="0028213C"/>
    <w:rsid w:val="002A42A7"/>
    <w:rsid w:val="002C4B3E"/>
    <w:rsid w:val="002D037D"/>
    <w:rsid w:val="002D1C83"/>
    <w:rsid w:val="00304A21"/>
    <w:rsid w:val="00305CD8"/>
    <w:rsid w:val="00321719"/>
    <w:rsid w:val="0032673C"/>
    <w:rsid w:val="00327270"/>
    <w:rsid w:val="003455DA"/>
    <w:rsid w:val="00352F47"/>
    <w:rsid w:val="003728E6"/>
    <w:rsid w:val="00374236"/>
    <w:rsid w:val="003C0743"/>
    <w:rsid w:val="003D1F67"/>
    <w:rsid w:val="003E2B83"/>
    <w:rsid w:val="004003BC"/>
    <w:rsid w:val="00405489"/>
    <w:rsid w:val="00410BFB"/>
    <w:rsid w:val="00415EAC"/>
    <w:rsid w:val="00435DCE"/>
    <w:rsid w:val="00446D80"/>
    <w:rsid w:val="00454E20"/>
    <w:rsid w:val="00456D6E"/>
    <w:rsid w:val="00472229"/>
    <w:rsid w:val="004A58F8"/>
    <w:rsid w:val="004C4997"/>
    <w:rsid w:val="004C69B4"/>
    <w:rsid w:val="004D1A39"/>
    <w:rsid w:val="004E00CD"/>
    <w:rsid w:val="0058171E"/>
    <w:rsid w:val="00592800"/>
    <w:rsid w:val="005947F0"/>
    <w:rsid w:val="005C4BDA"/>
    <w:rsid w:val="00614E22"/>
    <w:rsid w:val="00653DD8"/>
    <w:rsid w:val="006635B4"/>
    <w:rsid w:val="00667D9A"/>
    <w:rsid w:val="00674B6F"/>
    <w:rsid w:val="006A4BAF"/>
    <w:rsid w:val="006A7C72"/>
    <w:rsid w:val="006E4671"/>
    <w:rsid w:val="00705402"/>
    <w:rsid w:val="00712274"/>
    <w:rsid w:val="00716785"/>
    <w:rsid w:val="007301AC"/>
    <w:rsid w:val="00750C02"/>
    <w:rsid w:val="00756633"/>
    <w:rsid w:val="0079281B"/>
    <w:rsid w:val="007A434A"/>
    <w:rsid w:val="007B0926"/>
    <w:rsid w:val="007D4788"/>
    <w:rsid w:val="00804442"/>
    <w:rsid w:val="00824ECF"/>
    <w:rsid w:val="0083198F"/>
    <w:rsid w:val="0085722D"/>
    <w:rsid w:val="00861C7B"/>
    <w:rsid w:val="00870B8F"/>
    <w:rsid w:val="008A1C5C"/>
    <w:rsid w:val="008A2511"/>
    <w:rsid w:val="008B469D"/>
    <w:rsid w:val="008E609A"/>
    <w:rsid w:val="008E71B3"/>
    <w:rsid w:val="0091129E"/>
    <w:rsid w:val="009245CC"/>
    <w:rsid w:val="00930114"/>
    <w:rsid w:val="00951FE6"/>
    <w:rsid w:val="0096474C"/>
    <w:rsid w:val="009A26CA"/>
    <w:rsid w:val="009A3693"/>
    <w:rsid w:val="009B1D20"/>
    <w:rsid w:val="00A00BA0"/>
    <w:rsid w:val="00A1434D"/>
    <w:rsid w:val="00A57BBD"/>
    <w:rsid w:val="00A8414E"/>
    <w:rsid w:val="00A95478"/>
    <w:rsid w:val="00A97345"/>
    <w:rsid w:val="00AB7B97"/>
    <w:rsid w:val="00AE5DBD"/>
    <w:rsid w:val="00AF3AEE"/>
    <w:rsid w:val="00B12E32"/>
    <w:rsid w:val="00B14746"/>
    <w:rsid w:val="00B25A45"/>
    <w:rsid w:val="00B337CA"/>
    <w:rsid w:val="00B358AC"/>
    <w:rsid w:val="00B65A83"/>
    <w:rsid w:val="00B8332F"/>
    <w:rsid w:val="00B97345"/>
    <w:rsid w:val="00BD1A52"/>
    <w:rsid w:val="00BE3444"/>
    <w:rsid w:val="00C1031A"/>
    <w:rsid w:val="00C11740"/>
    <w:rsid w:val="00C27C2E"/>
    <w:rsid w:val="00C50C71"/>
    <w:rsid w:val="00C8128D"/>
    <w:rsid w:val="00CA0DC2"/>
    <w:rsid w:val="00CD3548"/>
    <w:rsid w:val="00CD694D"/>
    <w:rsid w:val="00CF0D1C"/>
    <w:rsid w:val="00D00732"/>
    <w:rsid w:val="00D12AFD"/>
    <w:rsid w:val="00D50C23"/>
    <w:rsid w:val="00D6764A"/>
    <w:rsid w:val="00D75D66"/>
    <w:rsid w:val="00D762DC"/>
    <w:rsid w:val="00D80EC4"/>
    <w:rsid w:val="00D84716"/>
    <w:rsid w:val="00D85775"/>
    <w:rsid w:val="00DA3F03"/>
    <w:rsid w:val="00DB7C69"/>
    <w:rsid w:val="00DC50EE"/>
    <w:rsid w:val="00DC6114"/>
    <w:rsid w:val="00DC751C"/>
    <w:rsid w:val="00DF1093"/>
    <w:rsid w:val="00E10BE6"/>
    <w:rsid w:val="00E12451"/>
    <w:rsid w:val="00E172BA"/>
    <w:rsid w:val="00E2459F"/>
    <w:rsid w:val="00E25CB9"/>
    <w:rsid w:val="00E46FEA"/>
    <w:rsid w:val="00E82531"/>
    <w:rsid w:val="00EC30CA"/>
    <w:rsid w:val="00EE23AD"/>
    <w:rsid w:val="00F06039"/>
    <w:rsid w:val="00F2104A"/>
    <w:rsid w:val="00F50978"/>
    <w:rsid w:val="00F67FD4"/>
    <w:rsid w:val="00F745AB"/>
    <w:rsid w:val="00F83319"/>
    <w:rsid w:val="00FC3998"/>
    <w:rsid w:val="00FE4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regpar"/>
    <w:qFormat/>
    <w:rsid w:val="000705AF"/>
    <w:pPr>
      <w:spacing w:line="300" w:lineRule="exact"/>
      <w:jc w:val="both"/>
    </w:pPr>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0705AF"/>
    <w:pPr>
      <w:ind w:firstLine="240"/>
    </w:pPr>
  </w:style>
  <w:style w:type="paragraph" w:styleId="a3">
    <w:name w:val="footer"/>
    <w:basedOn w:val="a"/>
    <w:rsid w:val="000705AF"/>
    <w:pPr>
      <w:tabs>
        <w:tab w:val="center" w:pos="4320"/>
        <w:tab w:val="right" w:pos="8640"/>
      </w:tabs>
    </w:pPr>
  </w:style>
  <w:style w:type="paragraph" w:styleId="a4">
    <w:name w:val="header"/>
    <w:basedOn w:val="a"/>
    <w:rsid w:val="000705AF"/>
    <w:pPr>
      <w:tabs>
        <w:tab w:val="center" w:pos="4200"/>
        <w:tab w:val="right" w:pos="8400"/>
      </w:tabs>
    </w:pPr>
  </w:style>
  <w:style w:type="character" w:styleId="Hyperlink">
    <w:name w:val="Hyperlink"/>
    <w:rsid w:val="000705AF"/>
    <w:rPr>
      <w:color w:val="0000FF"/>
      <w:u w:val="single"/>
    </w:rPr>
  </w:style>
  <w:style w:type="paragraph" w:styleId="a5">
    <w:name w:val="footnote text"/>
    <w:basedOn w:val="a"/>
    <w:semiHidden/>
    <w:rsid w:val="00BE3444"/>
    <w:rPr>
      <w:sz w:val="20"/>
      <w:szCs w:val="20"/>
    </w:rPr>
  </w:style>
  <w:style w:type="character" w:styleId="a6">
    <w:name w:val="footnote reference"/>
    <w:semiHidden/>
    <w:rsid w:val="00BE3444"/>
    <w:rPr>
      <w:vertAlign w:val="superscript"/>
    </w:rPr>
  </w:style>
  <w:style w:type="paragraph" w:styleId="a7">
    <w:name w:val="Date"/>
    <w:basedOn w:val="a"/>
    <w:next w:val="a"/>
    <w:rsid w:val="00E82531"/>
  </w:style>
  <w:style w:type="paragraph" w:styleId="a8">
    <w:name w:val="Balloon Text"/>
    <w:basedOn w:val="a"/>
    <w:link w:val="a9"/>
    <w:rsid w:val="0025375D"/>
    <w:pPr>
      <w:spacing w:line="240" w:lineRule="auto"/>
    </w:pPr>
    <w:rPr>
      <w:rFonts w:ascii="Tahoma" w:hAnsi="Tahoma" w:cs="Tahoma"/>
      <w:sz w:val="16"/>
      <w:szCs w:val="16"/>
    </w:rPr>
  </w:style>
  <w:style w:type="character" w:customStyle="1" w:styleId="a9">
    <w:name w:val="טקסט בלונים תו"/>
    <w:basedOn w:val="a0"/>
    <w:link w:val="a8"/>
    <w:rsid w:val="0025375D"/>
    <w:rPr>
      <w:rFonts w:ascii="Tahoma" w:eastAsia="Times New Roman" w:hAnsi="Tahoma" w:cs="Tahoma"/>
      <w:sz w:val="16"/>
      <w:szCs w:val="16"/>
    </w:rPr>
  </w:style>
  <w:style w:type="character" w:styleId="aa">
    <w:name w:val="annotation reference"/>
    <w:basedOn w:val="a0"/>
    <w:rsid w:val="00273DA1"/>
    <w:rPr>
      <w:sz w:val="16"/>
      <w:szCs w:val="16"/>
    </w:rPr>
  </w:style>
  <w:style w:type="paragraph" w:styleId="ab">
    <w:name w:val="annotation text"/>
    <w:basedOn w:val="a"/>
    <w:link w:val="ac"/>
    <w:rsid w:val="00273DA1"/>
    <w:pPr>
      <w:spacing w:line="240" w:lineRule="auto"/>
    </w:pPr>
    <w:rPr>
      <w:sz w:val="20"/>
      <w:szCs w:val="20"/>
    </w:rPr>
  </w:style>
  <w:style w:type="character" w:customStyle="1" w:styleId="ac">
    <w:name w:val="טקסט הערה תו"/>
    <w:basedOn w:val="a0"/>
    <w:link w:val="ab"/>
    <w:rsid w:val="00273DA1"/>
    <w:rPr>
      <w:rFonts w:ascii="Times" w:eastAsia="Times New Roman" w:hAnsi="Times" w:cs="Times"/>
    </w:rPr>
  </w:style>
  <w:style w:type="paragraph" w:styleId="ad">
    <w:name w:val="annotation subject"/>
    <w:basedOn w:val="ab"/>
    <w:next w:val="ab"/>
    <w:link w:val="ae"/>
    <w:rsid w:val="00273DA1"/>
    <w:rPr>
      <w:b/>
      <w:bCs/>
    </w:rPr>
  </w:style>
  <w:style w:type="character" w:customStyle="1" w:styleId="ae">
    <w:name w:val="נושא הערה תו"/>
    <w:basedOn w:val="ac"/>
    <w:link w:val="ad"/>
    <w:rsid w:val="00273DA1"/>
    <w:rPr>
      <w:rFonts w:ascii="Times" w:eastAsia="Times New Roman" w:hAnsi="Times" w:cs="Times"/>
      <w:b/>
      <w:bCs/>
    </w:rPr>
  </w:style>
  <w:style w:type="paragraph" w:styleId="af">
    <w:name w:val="Revision"/>
    <w:hidden/>
    <w:uiPriority w:val="99"/>
    <w:semiHidden/>
    <w:rsid w:val="00101426"/>
    <w:rPr>
      <w:rFonts w:ascii="Times" w:eastAsia="Times New Roman"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regpar"/>
    <w:qFormat/>
    <w:rsid w:val="000705AF"/>
    <w:pPr>
      <w:spacing w:line="300" w:lineRule="exact"/>
      <w:jc w:val="both"/>
    </w:pPr>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0705AF"/>
    <w:pPr>
      <w:ind w:firstLine="240"/>
    </w:pPr>
  </w:style>
  <w:style w:type="paragraph" w:styleId="a3">
    <w:name w:val="footer"/>
    <w:basedOn w:val="a"/>
    <w:rsid w:val="000705AF"/>
    <w:pPr>
      <w:tabs>
        <w:tab w:val="center" w:pos="4320"/>
        <w:tab w:val="right" w:pos="8640"/>
      </w:tabs>
    </w:pPr>
  </w:style>
  <w:style w:type="paragraph" w:styleId="a4">
    <w:name w:val="header"/>
    <w:basedOn w:val="a"/>
    <w:rsid w:val="000705AF"/>
    <w:pPr>
      <w:tabs>
        <w:tab w:val="center" w:pos="4200"/>
        <w:tab w:val="right" w:pos="8400"/>
      </w:tabs>
    </w:pPr>
  </w:style>
  <w:style w:type="character" w:styleId="Hyperlink">
    <w:name w:val="Hyperlink"/>
    <w:rsid w:val="000705AF"/>
    <w:rPr>
      <w:color w:val="0000FF"/>
      <w:u w:val="single"/>
    </w:rPr>
  </w:style>
  <w:style w:type="paragraph" w:styleId="a5">
    <w:name w:val="footnote text"/>
    <w:basedOn w:val="a"/>
    <w:semiHidden/>
    <w:rsid w:val="00BE3444"/>
    <w:rPr>
      <w:sz w:val="20"/>
      <w:szCs w:val="20"/>
    </w:rPr>
  </w:style>
  <w:style w:type="character" w:styleId="a6">
    <w:name w:val="footnote reference"/>
    <w:semiHidden/>
    <w:rsid w:val="00BE3444"/>
    <w:rPr>
      <w:vertAlign w:val="superscript"/>
    </w:rPr>
  </w:style>
  <w:style w:type="paragraph" w:styleId="a7">
    <w:name w:val="Date"/>
    <w:basedOn w:val="a"/>
    <w:next w:val="a"/>
    <w:rsid w:val="00E82531"/>
  </w:style>
  <w:style w:type="paragraph" w:styleId="a8">
    <w:name w:val="Balloon Text"/>
    <w:basedOn w:val="a"/>
    <w:link w:val="a9"/>
    <w:rsid w:val="0025375D"/>
    <w:pPr>
      <w:spacing w:line="240" w:lineRule="auto"/>
    </w:pPr>
    <w:rPr>
      <w:rFonts w:ascii="Tahoma" w:hAnsi="Tahoma" w:cs="Tahoma"/>
      <w:sz w:val="16"/>
      <w:szCs w:val="16"/>
    </w:rPr>
  </w:style>
  <w:style w:type="character" w:customStyle="1" w:styleId="a9">
    <w:name w:val="טקסט בלונים תו"/>
    <w:basedOn w:val="a0"/>
    <w:link w:val="a8"/>
    <w:rsid w:val="0025375D"/>
    <w:rPr>
      <w:rFonts w:ascii="Tahoma" w:eastAsia="Times New Roman" w:hAnsi="Tahoma" w:cs="Tahoma"/>
      <w:sz w:val="16"/>
      <w:szCs w:val="16"/>
    </w:rPr>
  </w:style>
  <w:style w:type="character" w:styleId="aa">
    <w:name w:val="annotation reference"/>
    <w:basedOn w:val="a0"/>
    <w:rsid w:val="00273DA1"/>
    <w:rPr>
      <w:sz w:val="16"/>
      <w:szCs w:val="16"/>
    </w:rPr>
  </w:style>
  <w:style w:type="paragraph" w:styleId="ab">
    <w:name w:val="annotation text"/>
    <w:basedOn w:val="a"/>
    <w:link w:val="ac"/>
    <w:rsid w:val="00273DA1"/>
    <w:pPr>
      <w:spacing w:line="240" w:lineRule="auto"/>
    </w:pPr>
    <w:rPr>
      <w:sz w:val="20"/>
      <w:szCs w:val="20"/>
    </w:rPr>
  </w:style>
  <w:style w:type="character" w:customStyle="1" w:styleId="ac">
    <w:name w:val="טקסט הערה תו"/>
    <w:basedOn w:val="a0"/>
    <w:link w:val="ab"/>
    <w:rsid w:val="00273DA1"/>
    <w:rPr>
      <w:rFonts w:ascii="Times" w:eastAsia="Times New Roman" w:hAnsi="Times" w:cs="Times"/>
    </w:rPr>
  </w:style>
  <w:style w:type="paragraph" w:styleId="ad">
    <w:name w:val="annotation subject"/>
    <w:basedOn w:val="ab"/>
    <w:next w:val="ab"/>
    <w:link w:val="ae"/>
    <w:rsid w:val="00273DA1"/>
    <w:rPr>
      <w:b/>
      <w:bCs/>
    </w:rPr>
  </w:style>
  <w:style w:type="character" w:customStyle="1" w:styleId="ae">
    <w:name w:val="נושא הערה תו"/>
    <w:basedOn w:val="ac"/>
    <w:link w:val="ad"/>
    <w:rsid w:val="00273DA1"/>
    <w:rPr>
      <w:rFonts w:ascii="Times" w:eastAsia="Times New Roman" w:hAnsi="Times" w:cs="Times"/>
      <w:b/>
      <w:bCs/>
    </w:rPr>
  </w:style>
  <w:style w:type="paragraph" w:styleId="af">
    <w:name w:val="Revision"/>
    <w:hidden/>
    <w:uiPriority w:val="99"/>
    <w:semiHidden/>
    <w:rsid w:val="00101426"/>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F4C0C-9C79-4E05-BC66-56593E611941}"/>
</file>

<file path=customXml/itemProps2.xml><?xml version="1.0" encoding="utf-8"?>
<ds:datastoreItem xmlns:ds="http://schemas.openxmlformats.org/officeDocument/2006/customXml" ds:itemID="{7A153066-1BCC-44F0-BEBE-2329BCAB8564}"/>
</file>

<file path=customXml/itemProps3.xml><?xml version="1.0" encoding="utf-8"?>
<ds:datastoreItem xmlns:ds="http://schemas.openxmlformats.org/officeDocument/2006/customXml" ds:itemID="{D4FF622E-BD73-4E72-BF62-83FDDEDA35C3}"/>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3156</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3733</CharactersWithSpaces>
  <SharedDoc>false</SharedDoc>
  <HLinks>
    <vt:vector size="12" baseType="variant">
      <vt:variant>
        <vt:i4>7208993</vt:i4>
      </vt:variant>
      <vt:variant>
        <vt:i4>6</vt:i4>
      </vt:variant>
      <vt:variant>
        <vt:i4>0</vt:i4>
      </vt:variant>
      <vt:variant>
        <vt:i4>5</vt:i4>
      </vt:variant>
      <vt:variant>
        <vt:lpwstr>http://www.boi.org.il/</vt:lpwstr>
      </vt:variant>
      <vt:variant>
        <vt:lpwstr/>
      </vt:variant>
      <vt:variant>
        <vt:i4>5898332</vt:i4>
      </vt:variant>
      <vt:variant>
        <vt:i4>3</vt:i4>
      </vt:variant>
      <vt:variant>
        <vt:i4>0</vt:i4>
      </vt:variant>
      <vt:variant>
        <vt:i4>5</vt:i4>
      </vt:variant>
      <vt:variant>
        <vt:lpwstr>http://www.bankisrael.gov.il/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2013-07-18T06:19:00Z</dcterms:created>
  <dcterms:modified xsi:type="dcterms:W3CDTF">2013-07-18T10:41:00Z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