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3410"/>
        <w:gridCol w:w="3025"/>
      </w:tblGrid>
      <w:tr w:rsidR="009617E0" w:rsidRPr="00DB1CBC" w:rsidTr="00556802">
        <w:trPr>
          <w:tblHeader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7E0" w:rsidRDefault="009617E0" w:rsidP="00556802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9617E0" w:rsidRDefault="009617E0" w:rsidP="00556802">
            <w:pPr>
              <w:spacing w:line="360" w:lineRule="auto"/>
              <w:ind w:right="-101"/>
              <w:jc w:val="center"/>
            </w:pPr>
            <w:r>
              <w:rPr>
                <w:rFonts w:cs="David"/>
                <w:rtl/>
              </w:rPr>
              <w:t>דו</w:t>
            </w:r>
            <w:r>
              <w:rPr>
                <w:rFonts w:cs="David" w:hint="cs"/>
                <w:rtl/>
              </w:rPr>
              <w:t>בר</w:t>
            </w:r>
            <w:r>
              <w:rPr>
                <w:rFonts w:cs="David"/>
                <w:rtl/>
              </w:rPr>
              <w:t>ות</w:t>
            </w:r>
            <w:r>
              <w:rPr>
                <w:rFonts w:cs="David" w:hint="cs"/>
                <w:rtl/>
              </w:rPr>
              <w:t xml:space="preserve"> והסברה כלכלית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:rsidR="009617E0" w:rsidRDefault="009617E0" w:rsidP="00556802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19EA3E0D" wp14:editId="4A5B3796">
                  <wp:extent cx="1200150" cy="666750"/>
                  <wp:effectExtent l="0" t="0" r="0" b="0"/>
                  <wp:docPr id="15" name="תמונה 15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0Y+bank_Color_RGB_300DPI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7E0" w:rsidRDefault="009617E0" w:rsidP="008067F2">
            <w:pPr>
              <w:spacing w:line="480" w:lineRule="auto"/>
              <w:jc w:val="right"/>
              <w:rPr>
                <w:rFonts w:cs="David"/>
              </w:rPr>
            </w:pPr>
            <w:r>
              <w:rPr>
                <w:rFonts w:cs="David" w:hint="eastAsia"/>
                <w:rtl/>
              </w:rPr>
              <w:t>‏</w:t>
            </w:r>
            <w:r>
              <w:rPr>
                <w:rFonts w:cs="David" w:hint="cs"/>
                <w:rtl/>
              </w:rPr>
              <w:t>ירושלים, י"</w:t>
            </w:r>
            <w:r w:rsidR="008067F2">
              <w:rPr>
                <w:rFonts w:cs="David" w:hint="cs"/>
                <w:rtl/>
              </w:rPr>
              <w:t>ט</w:t>
            </w:r>
            <w:r>
              <w:rPr>
                <w:rFonts w:cs="David" w:hint="cs"/>
                <w:rtl/>
              </w:rPr>
              <w:t xml:space="preserve"> </w:t>
            </w:r>
            <w:r w:rsidR="008067F2">
              <w:rPr>
                <w:rFonts w:cs="David" w:hint="cs"/>
                <w:rtl/>
              </w:rPr>
              <w:t>בשבט</w:t>
            </w:r>
            <w:r>
              <w:rPr>
                <w:rFonts w:cs="David" w:hint="cs"/>
                <w:rtl/>
              </w:rPr>
              <w:t xml:space="preserve"> </w:t>
            </w:r>
            <w:proofErr w:type="spellStart"/>
            <w:r>
              <w:rPr>
                <w:rFonts w:cs="David" w:hint="cs"/>
                <w:rtl/>
              </w:rPr>
              <w:t>ה</w:t>
            </w:r>
            <w:r>
              <w:rPr>
                <w:rFonts w:cs="David"/>
                <w:rtl/>
              </w:rPr>
              <w:t>תשע"</w:t>
            </w:r>
            <w:r>
              <w:rPr>
                <w:rFonts w:cs="David" w:hint="cs"/>
                <w:rtl/>
              </w:rPr>
              <w:t>ה</w:t>
            </w:r>
            <w:proofErr w:type="spellEnd"/>
          </w:p>
          <w:p w:rsidR="009617E0" w:rsidRPr="00DF107C" w:rsidRDefault="009617E0" w:rsidP="009617E0">
            <w:pPr>
              <w:spacing w:line="480" w:lineRule="auto"/>
              <w:jc w:val="right"/>
              <w:rPr>
                <w:rFonts w:cs="David"/>
              </w:rPr>
            </w:pPr>
            <w:r>
              <w:rPr>
                <w:rFonts w:cs="David" w:hint="cs"/>
                <w:rtl/>
              </w:rPr>
              <w:t>8 ב</w:t>
            </w:r>
            <w:r>
              <w:rPr>
                <w:rFonts w:cs="David" w:hint="cs"/>
                <w:rtl/>
              </w:rPr>
              <w:t>פברואר</w:t>
            </w:r>
            <w:r>
              <w:rPr>
                <w:rFonts w:cs="David" w:hint="cs"/>
                <w:rtl/>
              </w:rPr>
              <w:t xml:space="preserve"> 2015</w:t>
            </w:r>
          </w:p>
        </w:tc>
      </w:tr>
    </w:tbl>
    <w:p w:rsidR="009617E0" w:rsidRDefault="009617E0" w:rsidP="009617E0">
      <w:pPr>
        <w:spacing w:before="240" w:after="240" w:line="360" w:lineRule="auto"/>
        <w:ind w:right="-102"/>
        <w:rPr>
          <w:rFonts w:cs="David"/>
          <w:rtl/>
        </w:rPr>
      </w:pPr>
      <w:r w:rsidRPr="007E18EE">
        <w:rPr>
          <w:rFonts w:cs="David" w:hint="cs"/>
          <w:rtl/>
        </w:rPr>
        <w:t>הודעה לעיתונות:</w:t>
      </w:r>
    </w:p>
    <w:p w:rsidR="009617E0" w:rsidRPr="00BC3E66" w:rsidRDefault="009617E0" w:rsidP="009617E0">
      <w:pPr>
        <w:pStyle w:val="a6"/>
        <w:rPr>
          <w:rtl/>
        </w:rPr>
      </w:pPr>
      <w:r w:rsidRPr="00BC3E66">
        <w:rPr>
          <w:rtl/>
        </w:rPr>
        <w:t xml:space="preserve">השקעות תושבי חוץ בישראל ותושבי ישראל בחו"ל בחודש </w:t>
      </w:r>
      <w:r>
        <w:rPr>
          <w:rFonts w:hint="cs"/>
          <w:rtl/>
        </w:rPr>
        <w:t>דצמבר 2</w:t>
      </w:r>
      <w:r w:rsidRPr="00BC3E66">
        <w:rPr>
          <w:rFonts w:hint="cs"/>
          <w:rtl/>
        </w:rPr>
        <w:t>01</w:t>
      </w:r>
      <w:r>
        <w:rPr>
          <w:rFonts w:hint="cs"/>
          <w:rtl/>
        </w:rPr>
        <w:t>4</w:t>
      </w:r>
    </w:p>
    <w:p w:rsidR="009617E0" w:rsidRPr="009617E0" w:rsidRDefault="009617E0" w:rsidP="009617E0">
      <w:pPr>
        <w:pStyle w:val="1"/>
      </w:pPr>
      <w:r w:rsidRPr="009617E0">
        <w:rPr>
          <w:rFonts w:hint="cs"/>
          <w:rtl/>
        </w:rPr>
        <w:t>תושבי חוץ</w:t>
      </w:r>
      <w:r w:rsidRPr="009617E0">
        <w:rPr>
          <w:rFonts w:hint="cs"/>
        </w:rPr>
        <w:t xml:space="preserve"> –  </w:t>
      </w:r>
      <w:r w:rsidRPr="009617E0">
        <w:rPr>
          <w:rFonts w:hint="cs"/>
          <w:rtl/>
        </w:rPr>
        <w:t xml:space="preserve">התמתנות בהשקעות תושבי חוץ באג"ח ממשלתיות לצד מימושים </w:t>
      </w:r>
      <w:proofErr w:type="spellStart"/>
      <w:r w:rsidRPr="009617E0">
        <w:rPr>
          <w:rFonts w:hint="cs"/>
          <w:rtl/>
        </w:rPr>
        <w:t>במק"ם</w:t>
      </w:r>
      <w:proofErr w:type="spellEnd"/>
    </w:p>
    <w:p w:rsidR="009617E0" w:rsidRPr="009617E0" w:rsidRDefault="009617E0" w:rsidP="009617E0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617E0">
        <w:rPr>
          <w:rFonts w:ascii="Arial" w:eastAsia="Times New Roman" w:hAnsi="Arial" w:cs="David" w:hint="cs"/>
          <w:b/>
          <w:bCs/>
          <w:color w:val="333333"/>
          <w:sz w:val="20"/>
          <w:szCs w:val="20"/>
          <w:rtl/>
        </w:rPr>
        <w:t>אגרות חוב</w:t>
      </w:r>
      <w:r w:rsidRPr="009617E0">
        <w:rPr>
          <w:rFonts w:ascii="Arial" w:eastAsia="Times New Roman" w:hAnsi="Arial" w:cs="David" w:hint="cs"/>
          <w:color w:val="333333"/>
          <w:sz w:val="20"/>
          <w:szCs w:val="20"/>
        </w:rPr>
        <w:t> </w:t>
      </w:r>
      <w:r w:rsidRPr="009617E0">
        <w:rPr>
          <w:rFonts w:ascii="Arial" w:eastAsia="Times New Roman" w:hAnsi="Arial" w:cs="David" w:hint="cs"/>
          <w:b/>
          <w:bCs/>
          <w:color w:val="333333"/>
          <w:sz w:val="20"/>
          <w:szCs w:val="20"/>
          <w:rtl/>
        </w:rPr>
        <w:t>ומק"מ</w:t>
      </w:r>
      <w:r w:rsidRPr="009617E0">
        <w:rPr>
          <w:rFonts w:ascii="Arial" w:eastAsia="Times New Roman" w:hAnsi="Arial" w:cs="David" w:hint="cs"/>
          <w:color w:val="333333"/>
          <w:sz w:val="20"/>
          <w:szCs w:val="20"/>
        </w:rPr>
        <w:t> </w:t>
      </w:r>
      <w:r w:rsidRPr="009617E0">
        <w:rPr>
          <w:rFonts w:ascii="Arial" w:eastAsia="Times New Roman" w:hAnsi="Arial" w:cs="David" w:hint="cs"/>
          <w:b/>
          <w:bCs/>
          <w:color w:val="333333"/>
          <w:sz w:val="20"/>
          <w:szCs w:val="20"/>
          <w:rtl/>
        </w:rPr>
        <w:t>הנסחרים בת"א</w:t>
      </w:r>
      <w:r w:rsidRPr="009617E0">
        <w:rPr>
          <w:rFonts w:ascii="Arial" w:eastAsia="Times New Roman" w:hAnsi="Arial" w:cs="David" w:hint="cs"/>
          <w:b/>
          <w:bCs/>
          <w:color w:val="333333"/>
          <w:sz w:val="20"/>
          <w:szCs w:val="20"/>
        </w:rPr>
        <w:t> </w:t>
      </w:r>
      <w:r w:rsidRPr="009617E0">
        <w:rPr>
          <w:rFonts w:ascii="Arial" w:eastAsia="Times New Roman" w:hAnsi="Arial" w:cs="David" w:hint="cs"/>
          <w:color w:val="333333"/>
          <w:sz w:val="20"/>
          <w:szCs w:val="20"/>
        </w:rPr>
        <w:t>– </w:t>
      </w:r>
      <w:r w:rsidRPr="009617E0">
        <w:rPr>
          <w:rFonts w:ascii="Arial" w:eastAsia="Times New Roman" w:hAnsi="Arial" w:cs="David" w:hint="cs"/>
          <w:color w:val="FF0000"/>
          <w:sz w:val="20"/>
          <w:szCs w:val="20"/>
        </w:rPr>
        <w:t> </w:t>
      </w:r>
      <w:r w:rsidRPr="009617E0">
        <w:rPr>
          <w:rFonts w:ascii="Arial" w:eastAsia="Times New Roman" w:hAnsi="Arial" w:cs="David" w:hint="cs"/>
          <w:color w:val="333333"/>
          <w:sz w:val="20"/>
          <w:szCs w:val="20"/>
          <w:rtl/>
        </w:rPr>
        <w:t xml:space="preserve">בחודש דצמבר תושבי חוץ מימשו נטו כ-20 מיליוני דולרים </w:t>
      </w:r>
      <w:proofErr w:type="spellStart"/>
      <w:r w:rsidRPr="009617E0">
        <w:rPr>
          <w:rFonts w:ascii="Arial" w:eastAsia="Times New Roman" w:hAnsi="Arial" w:cs="David" w:hint="cs"/>
          <w:color w:val="333333"/>
          <w:sz w:val="20"/>
          <w:szCs w:val="20"/>
          <w:rtl/>
        </w:rPr>
        <w:t>במק"ם</w:t>
      </w:r>
      <w:proofErr w:type="spellEnd"/>
      <w:r w:rsidRPr="009617E0">
        <w:rPr>
          <w:rFonts w:ascii="Arial" w:eastAsia="Times New Roman" w:hAnsi="Arial" w:cs="David" w:hint="cs"/>
          <w:color w:val="333333"/>
          <w:sz w:val="20"/>
          <w:szCs w:val="20"/>
          <w:rtl/>
        </w:rPr>
        <w:t>, זאת בניגוד להשקעה נטו בהיקף ממוצע של 310 מיליוני דולרים בארבעת החודשים הקודמים, כך נמסר היום מהחטיבה למידע ולסטטיסטיקה בבנק ישראל. באג"ח ממשלתיות ההשקעות בדצמבר היו אפסיות. קיטון בהשוואה</w:t>
      </w:r>
      <w:r w:rsidRPr="009617E0">
        <w:rPr>
          <w:rFonts w:ascii="Arial" w:eastAsia="Times New Roman" w:hAnsi="Arial" w:cs="David" w:hint="cs"/>
          <w:color w:val="333333"/>
          <w:sz w:val="20"/>
          <w:szCs w:val="20"/>
        </w:rPr>
        <w:t>  </w:t>
      </w:r>
      <w:r w:rsidRPr="009617E0">
        <w:rPr>
          <w:rFonts w:ascii="Arial" w:eastAsia="Times New Roman" w:hAnsi="Arial" w:cs="David" w:hint="cs"/>
          <w:color w:val="333333"/>
          <w:sz w:val="20"/>
          <w:szCs w:val="20"/>
          <w:rtl/>
        </w:rPr>
        <w:t>להשקעות באג"ח ממשלתיות בחודשים הקודמים</w:t>
      </w:r>
      <w:r w:rsidRPr="009617E0">
        <w:rPr>
          <w:rFonts w:ascii="Arial" w:eastAsia="Times New Roman" w:hAnsi="Arial" w:cs="David" w:hint="cs"/>
          <w:color w:val="333333"/>
          <w:sz w:val="20"/>
          <w:szCs w:val="20"/>
        </w:rPr>
        <w:t>.</w:t>
      </w:r>
    </w:p>
    <w:p w:rsidR="009617E0" w:rsidRPr="009617E0" w:rsidRDefault="009617E0" w:rsidP="009617E0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617E0">
        <w:rPr>
          <w:rFonts w:ascii="Arial" w:eastAsia="Times New Roman" w:hAnsi="Arial" w:cs="David" w:hint="cs"/>
          <w:color w:val="333333"/>
          <w:sz w:val="20"/>
          <w:szCs w:val="20"/>
          <w:rtl/>
        </w:rPr>
        <w:t>באג"ח הממשלתיות הנסחרות בחו"ל, נרשמו מימושים נטו של תושבי חוץ בהיקף של כ-20 מיליוני דולרים</w:t>
      </w:r>
      <w:r w:rsidRPr="009617E0">
        <w:rPr>
          <w:rFonts w:ascii="Arial" w:eastAsia="Times New Roman" w:hAnsi="Arial" w:cs="David" w:hint="cs"/>
          <w:color w:val="333333"/>
          <w:sz w:val="20"/>
          <w:szCs w:val="20"/>
        </w:rPr>
        <w:t>.</w:t>
      </w:r>
    </w:p>
    <w:p w:rsidR="009617E0" w:rsidRPr="009617E0" w:rsidRDefault="009617E0" w:rsidP="009617E0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617E0">
        <w:rPr>
          <w:rFonts w:ascii="Arial" w:eastAsia="Times New Roman" w:hAnsi="Arial" w:cs="David" w:hint="cs"/>
          <w:b/>
          <w:bCs/>
          <w:color w:val="333333"/>
          <w:sz w:val="20"/>
          <w:szCs w:val="20"/>
          <w:rtl/>
        </w:rPr>
        <w:t>השקעות במניות ישראליות</w:t>
      </w:r>
      <w:r w:rsidRPr="009617E0">
        <w:rPr>
          <w:rFonts w:ascii="Arial" w:eastAsia="Times New Roman" w:hAnsi="Arial" w:cs="David" w:hint="cs"/>
          <w:color w:val="333333"/>
          <w:sz w:val="20"/>
          <w:szCs w:val="20"/>
        </w:rPr>
        <w:t> –</w:t>
      </w:r>
      <w:r w:rsidRPr="009617E0">
        <w:rPr>
          <w:rFonts w:ascii="Arial" w:eastAsia="Times New Roman" w:hAnsi="Arial" w:cs="David" w:hint="cs"/>
          <w:color w:val="FF0000"/>
          <w:sz w:val="20"/>
          <w:szCs w:val="20"/>
        </w:rPr>
        <w:t> </w:t>
      </w:r>
      <w:r w:rsidRPr="009617E0">
        <w:rPr>
          <w:rFonts w:ascii="Arial" w:eastAsia="Times New Roman" w:hAnsi="Arial" w:cs="David" w:hint="cs"/>
          <w:color w:val="333333"/>
          <w:sz w:val="20"/>
          <w:szCs w:val="20"/>
          <w:rtl/>
        </w:rPr>
        <w:t>בחודש דצמבר</w:t>
      </w:r>
      <w:r w:rsidRPr="009617E0">
        <w:rPr>
          <w:rFonts w:ascii="Arial" w:eastAsia="Times New Roman" w:hAnsi="Arial" w:cs="David" w:hint="cs"/>
          <w:b/>
          <w:bCs/>
          <w:color w:val="333333"/>
          <w:sz w:val="20"/>
          <w:szCs w:val="20"/>
        </w:rPr>
        <w:t> </w:t>
      </w:r>
      <w:r w:rsidRPr="009617E0">
        <w:rPr>
          <w:rFonts w:ascii="Arial" w:eastAsia="Times New Roman" w:hAnsi="Arial" w:cs="David" w:hint="cs"/>
          <w:color w:val="333333"/>
          <w:sz w:val="20"/>
          <w:szCs w:val="20"/>
          <w:rtl/>
        </w:rPr>
        <w:t>השקיעו תושבי חוץ בבורסה לני"ע בתל-אביב כ-120 מיליוני דולרים נטו. מנגד, תושבי חוץ ביצעו מימושים נטו בהיקף של כ-160 מיליוני דולרים במניות ישראליות הנסחרות בחו"ל</w:t>
      </w:r>
      <w:r w:rsidRPr="009617E0">
        <w:rPr>
          <w:rFonts w:ascii="Arial" w:eastAsia="Times New Roman" w:hAnsi="Arial" w:cs="David" w:hint="cs"/>
          <w:color w:val="333333"/>
          <w:sz w:val="20"/>
          <w:szCs w:val="20"/>
        </w:rPr>
        <w:t>.</w:t>
      </w:r>
    </w:p>
    <w:p w:rsidR="009617E0" w:rsidRPr="009617E0" w:rsidRDefault="009617E0" w:rsidP="009617E0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617E0">
        <w:rPr>
          <w:rFonts w:ascii="Arial" w:eastAsia="Times New Roman" w:hAnsi="Arial" w:cs="David" w:hint="cs"/>
          <w:b/>
          <w:bCs/>
          <w:color w:val="333333"/>
          <w:sz w:val="20"/>
          <w:szCs w:val="20"/>
          <w:rtl/>
        </w:rPr>
        <w:t>ההשקעות הישירות בישראל</w:t>
      </w:r>
      <w:r w:rsidRPr="009617E0">
        <w:rPr>
          <w:rFonts w:ascii="Arial" w:eastAsia="Times New Roman" w:hAnsi="Arial" w:cs="David" w:hint="cs"/>
          <w:b/>
          <w:bCs/>
          <w:color w:val="333333"/>
          <w:sz w:val="20"/>
          <w:szCs w:val="20"/>
        </w:rPr>
        <w:t> </w:t>
      </w:r>
      <w:r w:rsidRPr="009617E0">
        <w:rPr>
          <w:rFonts w:ascii="Arial" w:eastAsia="Times New Roman" w:hAnsi="Arial" w:cs="David" w:hint="cs"/>
          <w:color w:val="333333"/>
          <w:sz w:val="20"/>
          <w:szCs w:val="20"/>
        </w:rPr>
        <w:t>–</w:t>
      </w:r>
      <w:r w:rsidRPr="009617E0">
        <w:rPr>
          <w:rFonts w:ascii="Arial" w:eastAsia="Times New Roman" w:hAnsi="Arial" w:cs="David" w:hint="cs"/>
          <w:color w:val="FF0000"/>
          <w:sz w:val="20"/>
          <w:szCs w:val="20"/>
        </w:rPr>
        <w:t> </w:t>
      </w:r>
      <w:r w:rsidRPr="009617E0">
        <w:rPr>
          <w:rFonts w:ascii="Arial" w:eastAsia="Times New Roman" w:hAnsi="Arial" w:cs="David" w:hint="cs"/>
          <w:color w:val="333333"/>
          <w:sz w:val="20"/>
          <w:szCs w:val="20"/>
          <w:rtl/>
        </w:rPr>
        <w:t>ההשקעות</w:t>
      </w:r>
      <w:r w:rsidRPr="009617E0">
        <w:rPr>
          <w:rFonts w:ascii="Arial" w:eastAsia="Times New Roman" w:hAnsi="Arial" w:cs="David" w:hint="cs"/>
          <w:color w:val="FF0000"/>
          <w:sz w:val="20"/>
          <w:szCs w:val="20"/>
        </w:rPr>
        <w:t> </w:t>
      </w:r>
      <w:r w:rsidRPr="009617E0">
        <w:rPr>
          <w:rFonts w:ascii="Arial" w:eastAsia="Times New Roman" w:hAnsi="Arial" w:cs="David" w:hint="cs"/>
          <w:color w:val="333333"/>
          <w:sz w:val="20"/>
          <w:szCs w:val="20"/>
          <w:rtl/>
        </w:rPr>
        <w:t>הישירות במשק, באמצעות מערכת הבנקאות המקומית, הסתכמו בחודש דצמבר</w:t>
      </w:r>
      <w:r w:rsidRPr="009617E0">
        <w:rPr>
          <w:rFonts w:ascii="Arial" w:eastAsia="Times New Roman" w:hAnsi="Arial" w:cs="David" w:hint="cs"/>
          <w:b/>
          <w:bCs/>
          <w:color w:val="333333"/>
          <w:sz w:val="20"/>
          <w:szCs w:val="20"/>
        </w:rPr>
        <w:t> </w:t>
      </w:r>
      <w:r w:rsidRPr="009617E0">
        <w:rPr>
          <w:rFonts w:ascii="Arial" w:eastAsia="Times New Roman" w:hAnsi="Arial" w:cs="David" w:hint="cs"/>
          <w:color w:val="333333"/>
          <w:sz w:val="20"/>
          <w:szCs w:val="20"/>
          <w:rtl/>
        </w:rPr>
        <w:t>בכ-570 מיליוני דולרים, עיקר הפעילות התרכזה בענף הטכנולוגיה העילית ובענף המידע והתקשורת</w:t>
      </w:r>
      <w:r w:rsidRPr="009617E0">
        <w:rPr>
          <w:rFonts w:ascii="Arial" w:eastAsia="Times New Roman" w:hAnsi="Arial" w:cs="David" w:hint="cs"/>
          <w:color w:val="333333"/>
          <w:sz w:val="20"/>
          <w:szCs w:val="20"/>
        </w:rPr>
        <w:t>.</w:t>
      </w:r>
    </w:p>
    <w:p w:rsidR="009617E0" w:rsidRPr="009617E0" w:rsidRDefault="009617E0" w:rsidP="009617E0">
      <w:pPr>
        <w:pStyle w:val="1"/>
        <w:rPr>
          <w:rFonts w:cs="Arial"/>
        </w:rPr>
      </w:pPr>
      <w:r w:rsidRPr="009617E0">
        <w:rPr>
          <w:rFonts w:hint="cs"/>
          <w:rtl/>
        </w:rPr>
        <w:t>תושבי ישראל – המשך מימושים נטו של המשקיעים המוסדיים במניות זרות</w:t>
      </w:r>
    </w:p>
    <w:p w:rsidR="009617E0" w:rsidRPr="009617E0" w:rsidRDefault="009617E0" w:rsidP="009617E0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617E0">
        <w:rPr>
          <w:rFonts w:ascii="Arial" w:eastAsia="Times New Roman" w:hAnsi="Arial" w:cs="David" w:hint="cs"/>
          <w:color w:val="333333"/>
          <w:sz w:val="20"/>
          <w:szCs w:val="20"/>
          <w:rtl/>
        </w:rPr>
        <w:t>בחודש דצמבר, תושבי ישראל מימשו נטו בחו"ל השקעות פיננסיות (אג"ח ומניות) בהיקף של כמיליארד דולרים, בעיקר מימושים של המוסדיים במניות זרות</w:t>
      </w:r>
      <w:r w:rsidRPr="009617E0">
        <w:rPr>
          <w:rFonts w:ascii="Arial" w:eastAsia="Times New Roman" w:hAnsi="Arial" w:cs="David" w:hint="cs"/>
          <w:color w:val="333333"/>
          <w:sz w:val="20"/>
          <w:szCs w:val="20"/>
        </w:rPr>
        <w:t>.</w:t>
      </w:r>
    </w:p>
    <w:p w:rsidR="009617E0" w:rsidRPr="009617E0" w:rsidRDefault="009617E0" w:rsidP="009617E0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617E0">
        <w:rPr>
          <w:rFonts w:ascii="Arial" w:eastAsia="Times New Roman" w:hAnsi="Arial" w:cs="David" w:hint="cs"/>
          <w:b/>
          <w:bCs/>
          <w:color w:val="333333"/>
          <w:sz w:val="20"/>
          <w:szCs w:val="20"/>
          <w:rtl/>
        </w:rPr>
        <w:t>מניות</w:t>
      </w:r>
      <w:r w:rsidRPr="009617E0">
        <w:rPr>
          <w:rFonts w:ascii="Arial" w:eastAsia="Times New Roman" w:hAnsi="Arial" w:cs="David" w:hint="cs"/>
          <w:color w:val="333333"/>
          <w:sz w:val="20"/>
          <w:szCs w:val="20"/>
        </w:rPr>
        <w:t xml:space="preserve"> – </w:t>
      </w:r>
      <w:r w:rsidRPr="009617E0">
        <w:rPr>
          <w:rFonts w:ascii="Arial" w:eastAsia="Times New Roman" w:hAnsi="Arial" w:cs="David" w:hint="cs"/>
          <w:color w:val="333333"/>
          <w:sz w:val="20"/>
          <w:szCs w:val="20"/>
          <w:rtl/>
        </w:rPr>
        <w:t>בחודש דצמבר נרשמו מימושים נטו של תושבי ישראל במניות זרות בחו"ל: מימושים נטו של כ-1.2 מיליארדי דולרים על ידי המשקיעים המוסדיים, בעיקר ע"י קופות הגמל וקרנות ההשתלמות, ושל כ-130 מיליוני דולרים על ידי המגזר העסקי. מנגד, משקי הבית השקיעו נטו כ-80 מיליונים במניות זרות. במהלך שנת 2014 תושבי ישראל השקיעו היקף של 3.6 מיליארדי דולרים במניות זרות</w:t>
      </w:r>
      <w:r w:rsidRPr="009617E0">
        <w:rPr>
          <w:rFonts w:ascii="Arial" w:eastAsia="Times New Roman" w:hAnsi="Arial" w:cs="David" w:hint="cs"/>
          <w:color w:val="333333"/>
          <w:sz w:val="20"/>
          <w:szCs w:val="20"/>
        </w:rPr>
        <w:t>.</w:t>
      </w:r>
    </w:p>
    <w:p w:rsidR="009617E0" w:rsidRPr="009617E0" w:rsidRDefault="009617E0" w:rsidP="009617E0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617E0">
        <w:rPr>
          <w:rFonts w:ascii="Arial" w:eastAsia="Times New Roman" w:hAnsi="Arial" w:cs="David" w:hint="cs"/>
          <w:b/>
          <w:bCs/>
          <w:color w:val="333333"/>
          <w:sz w:val="20"/>
          <w:szCs w:val="20"/>
          <w:rtl/>
        </w:rPr>
        <w:t>אג"ח</w:t>
      </w:r>
      <w:r w:rsidRPr="009617E0">
        <w:rPr>
          <w:rFonts w:ascii="Arial" w:eastAsia="Times New Roman" w:hAnsi="Arial" w:cs="David" w:hint="cs"/>
          <w:color w:val="333333"/>
          <w:sz w:val="20"/>
          <w:szCs w:val="20"/>
        </w:rPr>
        <w:t> –</w:t>
      </w:r>
      <w:r w:rsidRPr="009617E0">
        <w:rPr>
          <w:rFonts w:ascii="Arial" w:eastAsia="Times New Roman" w:hAnsi="Arial" w:cs="David" w:hint="cs"/>
          <w:color w:val="333333"/>
          <w:sz w:val="20"/>
          <w:szCs w:val="20"/>
          <w:rtl/>
        </w:rPr>
        <w:t>תושבי ישראל</w:t>
      </w:r>
      <w:r w:rsidRPr="009617E0">
        <w:rPr>
          <w:rFonts w:ascii="Arial" w:eastAsia="Times New Roman" w:hAnsi="Arial" w:cs="David" w:hint="cs"/>
          <w:b/>
          <w:bCs/>
          <w:color w:val="333333"/>
          <w:sz w:val="20"/>
          <w:szCs w:val="20"/>
        </w:rPr>
        <w:t> </w:t>
      </w:r>
      <w:r w:rsidRPr="009617E0">
        <w:rPr>
          <w:rFonts w:ascii="Arial" w:eastAsia="Times New Roman" w:hAnsi="Arial" w:cs="David" w:hint="cs"/>
          <w:color w:val="333333"/>
          <w:sz w:val="20"/>
          <w:szCs w:val="20"/>
          <w:rtl/>
        </w:rPr>
        <w:t>השקיעו נטו באג"ח זרות כ-230 מיליוני דולרים: השקעות נטו בהיקף של כ-320 מיליונים על ידי משקי הבית קוזזו בחלקם ע"י מימושים נטו בהיקף של כ-140 מיליונים של המשקיעים המוסדיים. במהלך שנת 2014 תושבי ישראל השקיעו היקף של 5.4 מיליארדי דולרים באג"ח זרות</w:t>
      </w:r>
      <w:r w:rsidRPr="009617E0">
        <w:rPr>
          <w:rFonts w:ascii="Arial" w:eastAsia="Times New Roman" w:hAnsi="Arial" w:cs="David" w:hint="cs"/>
          <w:color w:val="333333"/>
          <w:sz w:val="20"/>
          <w:szCs w:val="20"/>
        </w:rPr>
        <w:t>.</w:t>
      </w:r>
    </w:p>
    <w:p w:rsidR="009617E0" w:rsidRPr="009617E0" w:rsidRDefault="009617E0" w:rsidP="009617E0">
      <w:pPr>
        <w:shd w:val="clear" w:color="auto" w:fill="FFFFFF"/>
        <w:spacing w:after="480" w:line="240" w:lineRule="atLeast"/>
        <w:jc w:val="both"/>
        <w:rPr>
          <w:rFonts w:ascii="Arial" w:eastAsia="Times New Roman" w:hAnsi="Arial" w:cs="Arial" w:hint="cs"/>
          <w:color w:val="333333"/>
          <w:sz w:val="20"/>
          <w:szCs w:val="20"/>
          <w:rtl/>
        </w:rPr>
      </w:pPr>
      <w:r w:rsidRPr="009617E0">
        <w:rPr>
          <w:rFonts w:ascii="Arial" w:eastAsia="Times New Roman" w:hAnsi="Arial" w:cs="David" w:hint="cs"/>
          <w:b/>
          <w:bCs/>
          <w:color w:val="333333"/>
          <w:sz w:val="24"/>
          <w:szCs w:val="24"/>
          <w:rtl/>
        </w:rPr>
        <w:t>ההשקעות הישירות</w:t>
      </w:r>
      <w:r w:rsidRPr="009617E0">
        <w:rPr>
          <w:rFonts w:ascii="Arial" w:eastAsia="Times New Roman" w:hAnsi="Arial" w:cs="David" w:hint="cs"/>
          <w:color w:val="333333"/>
          <w:sz w:val="24"/>
          <w:szCs w:val="24"/>
          <w:rtl/>
        </w:rPr>
        <w:t> </w:t>
      </w:r>
      <w:r w:rsidRPr="009617E0">
        <w:rPr>
          <w:rFonts w:ascii="Arial" w:eastAsia="Times New Roman" w:hAnsi="Arial" w:cs="David" w:hint="cs"/>
          <w:b/>
          <w:bCs/>
          <w:color w:val="333333"/>
          <w:sz w:val="24"/>
          <w:szCs w:val="24"/>
          <w:rtl/>
        </w:rPr>
        <w:t>בחו"ל</w:t>
      </w:r>
      <w:r w:rsidRPr="009617E0">
        <w:rPr>
          <w:rFonts w:ascii="Arial" w:eastAsia="Times New Roman" w:hAnsi="Arial" w:cs="David" w:hint="cs"/>
          <w:color w:val="333333"/>
          <w:sz w:val="24"/>
          <w:szCs w:val="24"/>
          <w:rtl/>
        </w:rPr>
        <w:t> –תושבי ישראל השקיעו בהשקעות הישירות בחו"ל היקף של כ-170 מיליוני דולרים. עיקר ההשקעות התבצעו ע"י חברה בענף הביטוח.</w:t>
      </w:r>
    </w:p>
    <w:p w:rsidR="009617E0" w:rsidRPr="009617E0" w:rsidRDefault="009617E0" w:rsidP="009617E0">
      <w:pPr>
        <w:shd w:val="clear" w:color="auto" w:fill="FFFFFF"/>
        <w:spacing w:after="0" w:line="240" w:lineRule="atLeast"/>
        <w:jc w:val="right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David"/>
          <w:noProof/>
          <w:color w:val="333333"/>
          <w:sz w:val="24"/>
          <w:szCs w:val="24"/>
        </w:rPr>
        <w:drawing>
          <wp:inline distT="0" distB="0" distL="0" distR="0" wp14:anchorId="7BDE051B" wp14:editId="0F76E70F">
            <wp:extent cx="5281575" cy="2935770"/>
            <wp:effectExtent l="0" t="0" r="0" b="0"/>
            <wp:docPr id="4" name="תמונה 4" descr="השקעות תושבי חוץ בישראל והשקעות תושבי ישראל בחו&quot;ל" title="השקעות תושבי חוץ בישראל והשקעות תושבי ישראל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8-02-2015-1h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697" cy="2938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7E0">
        <w:rPr>
          <w:rFonts w:ascii="Arial" w:eastAsia="Times New Roman" w:hAnsi="Arial" w:cs="David" w:hint="cs"/>
          <w:color w:val="333333"/>
          <w:sz w:val="24"/>
          <w:szCs w:val="24"/>
          <w:rtl/>
        </w:rPr>
        <w:br/>
      </w:r>
      <w:r w:rsidRPr="009617E0">
        <w:rPr>
          <w:rFonts w:ascii="Arial" w:eastAsia="Times New Roman" w:hAnsi="Arial" w:cs="David" w:hint="cs"/>
          <w:color w:val="333333"/>
          <w:sz w:val="24"/>
          <w:szCs w:val="24"/>
          <w:rtl/>
        </w:rPr>
        <w:lastRenderedPageBreak/>
        <w:br/>
      </w:r>
      <w:r>
        <w:rPr>
          <w:rFonts w:ascii="Arial" w:eastAsia="Times New Roman" w:hAnsi="Arial" w:cs="Arial"/>
          <w:noProof/>
          <w:color w:val="333333"/>
          <w:sz w:val="20"/>
          <w:szCs w:val="20"/>
        </w:rPr>
        <w:drawing>
          <wp:inline distT="0" distB="0" distL="0" distR="0" wp14:anchorId="6BDE30DF" wp14:editId="4605DC43">
            <wp:extent cx="5106010" cy="3113470"/>
            <wp:effectExtent l="0" t="0" r="0" b="0"/>
            <wp:docPr id="3" name="תמונה 3" descr="השקעות תושבי חוץ באג&quot;ח ממשלתיות, מק&quot;ם ובמניות בבורסה בת&quot;א" title="השקעות תושבי חוץ באג&quot;ח ממשלתיות, מק&quot;ם ובמניות בבורסה בת&quot;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8-02-2015-2H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127" cy="3119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7E0" w:rsidRDefault="009617E0" w:rsidP="009617E0">
      <w:pPr>
        <w:shd w:val="clear" w:color="auto" w:fill="FFFFFF"/>
        <w:spacing w:after="0" w:line="240" w:lineRule="atLeast"/>
        <w:jc w:val="right"/>
        <w:rPr>
          <w:rFonts w:ascii="Arial" w:eastAsia="Times New Roman" w:hAnsi="Arial" w:cs="Arial" w:hint="cs"/>
          <w:noProof/>
          <w:color w:val="333333"/>
          <w:sz w:val="20"/>
          <w:szCs w:val="20"/>
          <w:rtl/>
        </w:rPr>
      </w:pPr>
    </w:p>
    <w:p w:rsidR="009617E0" w:rsidRPr="009617E0" w:rsidRDefault="009617E0" w:rsidP="009617E0">
      <w:pPr>
        <w:shd w:val="clear" w:color="auto" w:fill="FFFFFF"/>
        <w:spacing w:after="0" w:line="240" w:lineRule="atLeast"/>
        <w:jc w:val="right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</w:rPr>
        <w:drawing>
          <wp:inline distT="0" distB="0" distL="0" distR="0" wp14:anchorId="09783555" wp14:editId="63A2A537">
            <wp:extent cx="5106010" cy="3113471"/>
            <wp:effectExtent l="0" t="0" r="0" b="0"/>
            <wp:docPr id="2" name="תמונה 2" descr="השקעות תושבי חוץ באג&quot;ח ממשלתיות, מק&quot;ם ובמניות בבורסה בת&quot;א" title="השקעות תושבי חוץ באג&quot;ח ממשלתיות, מק&quot;ם ובמניות בבורסה בת&quot;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8-02-2015-3H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947" cy="3115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7E0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9617E0">
        <w:rPr>
          <w:rFonts w:ascii="Arial" w:eastAsia="Times New Roman" w:hAnsi="Arial" w:cs="Arial"/>
          <w:color w:val="333333"/>
          <w:sz w:val="20"/>
          <w:szCs w:val="20"/>
        </w:rPr>
        <w:br/>
      </w:r>
      <w:r>
        <w:rPr>
          <w:rFonts w:ascii="Arial" w:eastAsia="Times New Roman" w:hAnsi="Arial" w:cs="Arial"/>
          <w:noProof/>
          <w:color w:val="333333"/>
          <w:sz w:val="20"/>
          <w:szCs w:val="20"/>
        </w:rPr>
        <w:lastRenderedPageBreak/>
        <w:drawing>
          <wp:inline distT="0" distB="0" distL="0" distR="0" wp14:anchorId="71A92DAC" wp14:editId="024A1653">
            <wp:extent cx="5331544" cy="3626106"/>
            <wp:effectExtent l="0" t="0" r="2540" b="0"/>
            <wp:docPr id="1" name="תמונה 1" descr="השקעות פיננסיות של הסקטור הפרטי הלא בנקאי בחו&quot;ל" title="השקעות פיננסיות של הסקטור הפרטי הלא בנקאי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8-02-2015-4H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300" cy="362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7E0">
        <w:rPr>
          <w:rFonts w:ascii="Arial" w:eastAsia="Times New Roman" w:hAnsi="Arial" w:cs="Arial"/>
          <w:color w:val="333333"/>
          <w:sz w:val="20"/>
          <w:szCs w:val="20"/>
        </w:rPr>
        <w:br/>
      </w:r>
    </w:p>
    <w:p w:rsidR="00D73DAF" w:rsidRPr="009617E0" w:rsidRDefault="008067F2" w:rsidP="008067F2">
      <w:pPr>
        <w:spacing w:before="480"/>
      </w:pPr>
      <w:hyperlink r:id="rId10" w:history="1">
        <w:r w:rsidRPr="00537D92">
          <w:rPr>
            <w:rStyle w:val="Hyperlink"/>
            <w:rFonts w:cs="David" w:hint="cs"/>
            <w:sz w:val="24"/>
            <w:szCs w:val="24"/>
            <w:rtl/>
          </w:rPr>
          <w:t>ל</w:t>
        </w:r>
        <w:r w:rsidRPr="00537D92">
          <w:rPr>
            <w:rStyle w:val="Hyperlink"/>
            <w:rFonts w:cs="David"/>
            <w:sz w:val="24"/>
            <w:szCs w:val="24"/>
            <w:rtl/>
          </w:rPr>
          <w:t>מידע נוסף בנושא השקעות תושבי חוץ בישראל ותושבי ישראל בחו"ל</w:t>
        </w:r>
      </w:hyperlink>
      <w:r>
        <w:rPr>
          <w:rFonts w:cs="David" w:hint="cs"/>
          <w:rtl/>
        </w:rPr>
        <w:t>.</w:t>
      </w:r>
      <w:bookmarkStart w:id="0" w:name="_GoBack"/>
      <w:bookmarkEnd w:id="0"/>
    </w:p>
    <w:sectPr w:rsidR="00D73DAF" w:rsidRPr="009617E0" w:rsidSect="005E1B1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7E0"/>
    <w:rsid w:val="005E1B16"/>
    <w:rsid w:val="008067F2"/>
    <w:rsid w:val="009617E0"/>
    <w:rsid w:val="00B76FCE"/>
    <w:rsid w:val="00F02813"/>
    <w:rsid w:val="00FD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autoRedefine/>
    <w:uiPriority w:val="9"/>
    <w:qFormat/>
    <w:rsid w:val="009617E0"/>
    <w:pPr>
      <w:shd w:val="clear" w:color="auto" w:fill="FFFFFF"/>
      <w:spacing w:before="240" w:after="0" w:line="240" w:lineRule="atLeast"/>
      <w:outlineLvl w:val="0"/>
    </w:pPr>
    <w:rPr>
      <w:rFonts w:ascii="Arial" w:eastAsia="Times New Roman" w:hAnsi="Arial" w:cs="David"/>
      <w:b/>
      <w:bCs/>
      <w:color w:val="33333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9617E0"/>
    <w:rPr>
      <w:rFonts w:ascii="Arial" w:eastAsia="Times New Roman" w:hAnsi="Arial" w:cs="David"/>
      <w:b/>
      <w:bCs/>
      <w:color w:val="333333"/>
      <w:sz w:val="20"/>
      <w:szCs w:val="20"/>
      <w:shd w:val="clear" w:color="auto" w:fill="FFFFFF"/>
    </w:rPr>
  </w:style>
  <w:style w:type="paragraph" w:styleId="a3">
    <w:name w:val="No Spacing"/>
    <w:basedOn w:val="a"/>
    <w:uiPriority w:val="1"/>
    <w:qFormat/>
    <w:rsid w:val="00FD3172"/>
    <w:pPr>
      <w:bidi w:val="0"/>
      <w:spacing w:after="0" w:line="240" w:lineRule="auto"/>
    </w:pPr>
    <w:rPr>
      <w:rFonts w:eastAsiaTheme="minorEastAsia" w:cs="David"/>
      <w:szCs w:val="24"/>
    </w:rPr>
  </w:style>
  <w:style w:type="character" w:customStyle="1" w:styleId="apple-converted-space">
    <w:name w:val="apple-converted-space"/>
    <w:basedOn w:val="a0"/>
    <w:rsid w:val="009617E0"/>
  </w:style>
  <w:style w:type="character" w:styleId="Hyperlink">
    <w:name w:val="Hyperlink"/>
    <w:basedOn w:val="a0"/>
    <w:uiPriority w:val="99"/>
    <w:semiHidden/>
    <w:unhideWhenUsed/>
    <w:rsid w:val="009617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1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9617E0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qFormat/>
    <w:rsid w:val="009617E0"/>
    <w:pPr>
      <w:tabs>
        <w:tab w:val="left" w:pos="9598"/>
      </w:tabs>
      <w:spacing w:after="0" w:line="360" w:lineRule="auto"/>
      <w:jc w:val="center"/>
      <w:outlineLvl w:val="0"/>
    </w:pPr>
    <w:rPr>
      <w:rFonts w:ascii="Arial" w:eastAsia="Times New Roman" w:hAnsi="Arial" w:cs="David"/>
      <w:b/>
      <w:bCs/>
      <w:sz w:val="28"/>
      <w:szCs w:val="28"/>
    </w:rPr>
  </w:style>
  <w:style w:type="character" w:customStyle="1" w:styleId="a7">
    <w:name w:val="כותרת טקסט תו"/>
    <w:basedOn w:val="a0"/>
    <w:link w:val="a6"/>
    <w:rsid w:val="009617E0"/>
    <w:rPr>
      <w:rFonts w:ascii="Arial" w:eastAsia="Times New Roman" w:hAnsi="Arial" w:cs="David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autoRedefine/>
    <w:uiPriority w:val="9"/>
    <w:qFormat/>
    <w:rsid w:val="009617E0"/>
    <w:pPr>
      <w:shd w:val="clear" w:color="auto" w:fill="FFFFFF"/>
      <w:spacing w:before="240" w:after="0" w:line="240" w:lineRule="atLeast"/>
      <w:outlineLvl w:val="0"/>
    </w:pPr>
    <w:rPr>
      <w:rFonts w:ascii="Arial" w:eastAsia="Times New Roman" w:hAnsi="Arial" w:cs="David"/>
      <w:b/>
      <w:bCs/>
      <w:color w:val="33333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9617E0"/>
    <w:rPr>
      <w:rFonts w:ascii="Arial" w:eastAsia="Times New Roman" w:hAnsi="Arial" w:cs="David"/>
      <w:b/>
      <w:bCs/>
      <w:color w:val="333333"/>
      <w:sz w:val="20"/>
      <w:szCs w:val="20"/>
      <w:shd w:val="clear" w:color="auto" w:fill="FFFFFF"/>
    </w:rPr>
  </w:style>
  <w:style w:type="paragraph" w:styleId="a3">
    <w:name w:val="No Spacing"/>
    <w:basedOn w:val="a"/>
    <w:uiPriority w:val="1"/>
    <w:qFormat/>
    <w:rsid w:val="00FD3172"/>
    <w:pPr>
      <w:bidi w:val="0"/>
      <w:spacing w:after="0" w:line="240" w:lineRule="auto"/>
    </w:pPr>
    <w:rPr>
      <w:rFonts w:eastAsiaTheme="minorEastAsia" w:cs="David"/>
      <w:szCs w:val="24"/>
    </w:rPr>
  </w:style>
  <w:style w:type="character" w:customStyle="1" w:styleId="apple-converted-space">
    <w:name w:val="apple-converted-space"/>
    <w:basedOn w:val="a0"/>
    <w:rsid w:val="009617E0"/>
  </w:style>
  <w:style w:type="character" w:styleId="Hyperlink">
    <w:name w:val="Hyperlink"/>
    <w:basedOn w:val="a0"/>
    <w:uiPriority w:val="99"/>
    <w:semiHidden/>
    <w:unhideWhenUsed/>
    <w:rsid w:val="009617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1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9617E0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qFormat/>
    <w:rsid w:val="009617E0"/>
    <w:pPr>
      <w:tabs>
        <w:tab w:val="left" w:pos="9598"/>
      </w:tabs>
      <w:spacing w:after="0" w:line="360" w:lineRule="auto"/>
      <w:jc w:val="center"/>
      <w:outlineLvl w:val="0"/>
    </w:pPr>
    <w:rPr>
      <w:rFonts w:ascii="Arial" w:eastAsia="Times New Roman" w:hAnsi="Arial" w:cs="David"/>
      <w:b/>
      <w:bCs/>
      <w:sz w:val="28"/>
      <w:szCs w:val="28"/>
    </w:rPr>
  </w:style>
  <w:style w:type="character" w:customStyle="1" w:styleId="a7">
    <w:name w:val="כותרת טקסט תו"/>
    <w:basedOn w:val="a0"/>
    <w:link w:val="a6"/>
    <w:rsid w:val="009617E0"/>
    <w:rPr>
      <w:rFonts w:ascii="Arial" w:eastAsia="Times New Roman" w:hAnsi="Arial" w:cs="David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8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9596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hyperlink" Target="http://www.boi.org.il/he/DataAndStatistics/Pages/MainPage.aspx?Level=2&amp;Sid=26&amp;SubjectType=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A34776-B1BD-457D-B194-624E85E676D9}"/>
</file>

<file path=customXml/itemProps2.xml><?xml version="1.0" encoding="utf-8"?>
<ds:datastoreItem xmlns:ds="http://schemas.openxmlformats.org/officeDocument/2006/customXml" ds:itemID="{937B5403-5C0D-4D85-9D73-AA1703A7801B}"/>
</file>

<file path=customXml/itemProps3.xml><?xml version="1.0" encoding="utf-8"?>
<ds:datastoreItem xmlns:ds="http://schemas.openxmlformats.org/officeDocument/2006/customXml" ds:itemID="{4D4E1BBB-C5B6-4606-874F-ED71A924E4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357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internet</dc:creator>
  <cp:lastModifiedBy>internet</cp:lastModifiedBy>
  <cp:revision>1</cp:revision>
  <dcterms:created xsi:type="dcterms:W3CDTF">2016-06-29T11:07:00Z</dcterms:created>
  <dcterms:modified xsi:type="dcterms:W3CDTF">2016-06-29T11:19:00Z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