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D7269E" w:rsidRPr="00E35309" w:rsidTr="00947995">
        <w:tc>
          <w:tcPr>
            <w:tcW w:w="2840" w:type="dxa"/>
            <w:tcBorders>
              <w:top w:val="nil"/>
              <w:left w:val="nil"/>
              <w:bottom w:val="nil"/>
              <w:right w:val="nil"/>
            </w:tcBorders>
            <w:vAlign w:val="center"/>
          </w:tcPr>
          <w:p w:rsidR="00D7269E" w:rsidRPr="00D7269E" w:rsidRDefault="00D7269E" w:rsidP="00D7269E">
            <w:pPr>
              <w:spacing w:before="240"/>
              <w:ind w:left="360"/>
              <w:jc w:val="center"/>
              <w:rPr>
                <w:b/>
                <w:bCs/>
                <w:sz w:val="28"/>
                <w:szCs w:val="28"/>
                <w:rtl/>
              </w:rPr>
            </w:pPr>
            <w:r w:rsidRPr="00D7269E">
              <w:rPr>
                <w:b/>
                <w:bCs/>
                <w:sz w:val="28"/>
                <w:szCs w:val="28"/>
                <w:rtl/>
              </w:rPr>
              <w:t>בנ</w:t>
            </w:r>
            <w:r w:rsidRPr="00D7269E">
              <w:rPr>
                <w:rFonts w:hint="cs"/>
                <w:b/>
                <w:bCs/>
                <w:sz w:val="28"/>
                <w:szCs w:val="28"/>
                <w:rtl/>
              </w:rPr>
              <w:t xml:space="preserve">ק </w:t>
            </w:r>
            <w:r w:rsidRPr="00D7269E">
              <w:rPr>
                <w:b/>
                <w:bCs/>
                <w:sz w:val="28"/>
                <w:szCs w:val="28"/>
                <w:rtl/>
              </w:rPr>
              <w:t>יש</w:t>
            </w:r>
            <w:r w:rsidRPr="00D7269E">
              <w:rPr>
                <w:rFonts w:hint="cs"/>
                <w:b/>
                <w:bCs/>
                <w:sz w:val="28"/>
                <w:szCs w:val="28"/>
                <w:rtl/>
              </w:rPr>
              <w:t>ראל</w:t>
            </w:r>
          </w:p>
          <w:p w:rsidR="00D7269E" w:rsidRPr="00D7269E" w:rsidRDefault="00D7269E" w:rsidP="00D7269E">
            <w:pPr>
              <w:spacing w:before="240"/>
              <w:ind w:left="360"/>
              <w:rPr>
                <w:sz w:val="24"/>
                <w:szCs w:val="24"/>
              </w:rPr>
            </w:pPr>
            <w:r>
              <w:rPr>
                <w:rFonts w:hint="cs"/>
                <w:sz w:val="24"/>
                <w:szCs w:val="24"/>
                <w:rtl/>
              </w:rPr>
              <w:t>דוברות והסברה כלכלית</w:t>
            </w:r>
          </w:p>
        </w:tc>
        <w:tc>
          <w:tcPr>
            <w:tcW w:w="2596" w:type="dxa"/>
            <w:tcBorders>
              <w:top w:val="nil"/>
              <w:left w:val="nil"/>
              <w:bottom w:val="nil"/>
              <w:right w:val="nil"/>
            </w:tcBorders>
          </w:tcPr>
          <w:p w:rsidR="00D7269E" w:rsidRPr="00B73AB5" w:rsidRDefault="00D7269E" w:rsidP="00947995">
            <w:pPr>
              <w:tabs>
                <w:tab w:val="right" w:pos="2380"/>
              </w:tabs>
              <w:spacing w:before="240"/>
              <w:rPr>
                <w:sz w:val="24"/>
                <w:szCs w:val="24"/>
              </w:rPr>
            </w:pPr>
            <w:r w:rsidRPr="00B73AB5">
              <w:rPr>
                <w:noProof/>
                <w:sz w:val="24"/>
                <w:szCs w:val="24"/>
                <w:rtl/>
              </w:rPr>
              <w:drawing>
                <wp:anchor distT="0" distB="0" distL="114300" distR="114300" simplePos="0" relativeHeight="251659264" behindDoc="0" locked="0" layoutInCell="1" allowOverlap="1" wp14:anchorId="5A1A2459" wp14:editId="37F157CE">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AB5">
              <w:rPr>
                <w:sz w:val="24"/>
                <w:szCs w:val="24"/>
              </w:rPr>
              <w:tab/>
            </w:r>
          </w:p>
        </w:tc>
        <w:tc>
          <w:tcPr>
            <w:tcW w:w="3084" w:type="dxa"/>
            <w:tcBorders>
              <w:top w:val="nil"/>
              <w:left w:val="nil"/>
              <w:bottom w:val="nil"/>
              <w:right w:val="nil"/>
            </w:tcBorders>
            <w:shd w:val="clear" w:color="auto" w:fill="auto"/>
            <w:vAlign w:val="center"/>
          </w:tcPr>
          <w:p w:rsidR="00D7269E" w:rsidRDefault="00D7269E" w:rsidP="00947995">
            <w:pPr>
              <w:spacing w:before="240" w:line="480" w:lineRule="auto"/>
              <w:jc w:val="right"/>
              <w:rPr>
                <w:sz w:val="24"/>
                <w:szCs w:val="24"/>
                <w:rtl/>
              </w:rPr>
            </w:pPr>
            <w:r w:rsidRPr="00B73AB5">
              <w:rPr>
                <w:rFonts w:hint="eastAsia"/>
                <w:sz w:val="24"/>
                <w:szCs w:val="24"/>
                <w:rtl/>
              </w:rPr>
              <w:t>‏</w:t>
            </w:r>
            <w:r>
              <w:rPr>
                <w:rFonts w:hint="cs"/>
                <w:sz w:val="24"/>
                <w:szCs w:val="24"/>
                <w:rtl/>
              </w:rPr>
              <w:t xml:space="preserve">      </w:t>
            </w:r>
            <w:r w:rsidRPr="00B73AB5">
              <w:rPr>
                <w:rFonts w:hint="cs"/>
                <w:sz w:val="24"/>
                <w:szCs w:val="24"/>
                <w:rtl/>
              </w:rPr>
              <w:t xml:space="preserve">ירושלים, </w:t>
            </w:r>
            <w:r>
              <w:rPr>
                <w:rFonts w:hint="cs"/>
                <w:sz w:val="24"/>
                <w:szCs w:val="24"/>
                <w:rtl/>
              </w:rPr>
              <w:t>י"</w:t>
            </w:r>
            <w:r>
              <w:rPr>
                <w:rFonts w:hint="cs"/>
                <w:rtl/>
              </w:rPr>
              <w:t>ב</w:t>
            </w:r>
            <w:r>
              <w:rPr>
                <w:rFonts w:hint="cs"/>
                <w:sz w:val="24"/>
                <w:szCs w:val="24"/>
                <w:rtl/>
              </w:rPr>
              <w:t xml:space="preserve"> באדר ב,</w:t>
            </w:r>
            <w:r w:rsidRPr="00B73AB5">
              <w:rPr>
                <w:rFonts w:hint="cs"/>
                <w:sz w:val="24"/>
                <w:szCs w:val="24"/>
                <w:rtl/>
              </w:rPr>
              <w:t xml:space="preserve"> </w:t>
            </w:r>
            <w:r w:rsidRPr="00B73AB5">
              <w:rPr>
                <w:sz w:val="24"/>
                <w:szCs w:val="24"/>
                <w:rtl/>
              </w:rPr>
              <w:t>תש</w:t>
            </w:r>
            <w:r>
              <w:rPr>
                <w:rFonts w:hint="cs"/>
                <w:sz w:val="24"/>
                <w:szCs w:val="24"/>
                <w:rtl/>
              </w:rPr>
              <w:t>פ</w:t>
            </w:r>
            <w:r w:rsidRPr="00B73AB5">
              <w:rPr>
                <w:sz w:val="24"/>
                <w:szCs w:val="24"/>
                <w:rtl/>
              </w:rPr>
              <w:t>"</w:t>
            </w:r>
            <w:r>
              <w:rPr>
                <w:rFonts w:hint="cs"/>
                <w:sz w:val="24"/>
                <w:szCs w:val="24"/>
                <w:rtl/>
              </w:rPr>
              <w:t>ב</w:t>
            </w:r>
          </w:p>
          <w:p w:rsidR="00D7269E" w:rsidRPr="00B73AB5" w:rsidRDefault="00D7269E" w:rsidP="00947995">
            <w:pPr>
              <w:spacing w:before="240" w:line="480" w:lineRule="auto"/>
              <w:jc w:val="right"/>
              <w:rPr>
                <w:sz w:val="24"/>
                <w:szCs w:val="24"/>
              </w:rPr>
            </w:pPr>
            <w:r>
              <w:rPr>
                <w:rFonts w:hint="cs"/>
                <w:sz w:val="24"/>
                <w:szCs w:val="24"/>
                <w:rtl/>
              </w:rPr>
              <w:t xml:space="preserve">                               15</w:t>
            </w:r>
            <w:r w:rsidRPr="00B73AB5">
              <w:rPr>
                <w:rFonts w:hint="cs"/>
                <w:sz w:val="24"/>
                <w:szCs w:val="24"/>
                <w:rtl/>
              </w:rPr>
              <w:t xml:space="preserve"> במרץ </w:t>
            </w:r>
            <w:r>
              <w:rPr>
                <w:rFonts w:hint="cs"/>
                <w:sz w:val="24"/>
                <w:szCs w:val="24"/>
                <w:rtl/>
              </w:rPr>
              <w:t>2022</w:t>
            </w:r>
          </w:p>
        </w:tc>
      </w:tr>
    </w:tbl>
    <w:p w:rsidR="00D7269E" w:rsidRPr="00D7269E" w:rsidRDefault="00D7269E" w:rsidP="00D7269E">
      <w:pPr>
        <w:jc w:val="left"/>
        <w:rPr>
          <w:rFonts w:ascii="David" w:hAnsi="David"/>
          <w:sz w:val="24"/>
          <w:szCs w:val="24"/>
          <w:rtl/>
        </w:rPr>
      </w:pPr>
      <w:r w:rsidRPr="00D7269E">
        <w:rPr>
          <w:rFonts w:ascii="David" w:hAnsi="David" w:hint="cs"/>
          <w:sz w:val="24"/>
          <w:szCs w:val="24"/>
          <w:rtl/>
        </w:rPr>
        <w:t>הודעה לעיתונות:</w:t>
      </w:r>
    </w:p>
    <w:p w:rsidR="00D7269E" w:rsidRPr="000D6602" w:rsidRDefault="00D7269E" w:rsidP="00D7269E">
      <w:pPr>
        <w:jc w:val="center"/>
        <w:rPr>
          <w:rFonts w:ascii="David" w:hAnsi="David"/>
          <w:b/>
          <w:bCs/>
          <w:sz w:val="28"/>
          <w:szCs w:val="28"/>
          <w:highlight w:val="yellow"/>
          <w:rtl/>
        </w:rPr>
      </w:pPr>
      <w:r w:rsidRPr="000D6602">
        <w:rPr>
          <w:rFonts w:ascii="David" w:hAnsi="David"/>
          <w:b/>
          <w:bCs/>
          <w:sz w:val="28"/>
          <w:szCs w:val="28"/>
          <w:rtl/>
        </w:rPr>
        <w:t>תיבה מתוך דו"ח בנק ישראל לשנת 202</w:t>
      </w:r>
      <w:r>
        <w:rPr>
          <w:rFonts w:ascii="David" w:hAnsi="David" w:hint="cs"/>
          <w:b/>
          <w:bCs/>
          <w:sz w:val="28"/>
          <w:szCs w:val="28"/>
          <w:rtl/>
        </w:rPr>
        <w:t>1</w:t>
      </w:r>
      <w:r w:rsidRPr="000D6602">
        <w:rPr>
          <w:rFonts w:ascii="David" w:hAnsi="David"/>
          <w:b/>
          <w:bCs/>
          <w:sz w:val="28"/>
          <w:szCs w:val="28"/>
          <w:rtl/>
        </w:rPr>
        <w:t>:</w:t>
      </w:r>
    </w:p>
    <w:p w:rsidR="00D7269E" w:rsidRPr="00EE473E" w:rsidRDefault="00D7269E" w:rsidP="00D7269E">
      <w:pPr>
        <w:jc w:val="center"/>
        <w:rPr>
          <w:rFonts w:ascii="David" w:hAnsi="David"/>
          <w:b/>
          <w:bCs/>
          <w:sz w:val="28"/>
          <w:szCs w:val="28"/>
          <w:rtl/>
        </w:rPr>
      </w:pPr>
      <w:r w:rsidRPr="00EE473E">
        <w:rPr>
          <w:rFonts w:ascii="David" w:hAnsi="David"/>
          <w:b/>
          <w:bCs/>
          <w:sz w:val="28"/>
          <w:szCs w:val="28"/>
          <w:rtl/>
        </w:rPr>
        <w:t xml:space="preserve">מה מסביר את הגידול </w:t>
      </w:r>
      <w:r w:rsidRPr="00EE473E">
        <w:rPr>
          <w:rFonts w:ascii="David" w:hAnsi="David" w:hint="cs"/>
          <w:b/>
          <w:bCs/>
          <w:sz w:val="28"/>
          <w:szCs w:val="28"/>
          <w:rtl/>
        </w:rPr>
        <w:t xml:space="preserve">של </w:t>
      </w:r>
      <w:r w:rsidRPr="00EE473E">
        <w:rPr>
          <w:rFonts w:ascii="David" w:hAnsi="David"/>
          <w:b/>
          <w:bCs/>
          <w:sz w:val="28"/>
          <w:szCs w:val="28"/>
          <w:rtl/>
        </w:rPr>
        <w:t>תקבולי המס ב-2021?</w:t>
      </w:r>
    </w:p>
    <w:p w:rsidR="00060B17" w:rsidRDefault="00060B17" w:rsidP="00060B17">
      <w:pPr>
        <w:pStyle w:val="a3"/>
        <w:numPr>
          <w:ilvl w:val="0"/>
          <w:numId w:val="1"/>
        </w:numPr>
        <w:spacing w:before="240"/>
        <w:ind w:left="368"/>
        <w:rPr>
          <w:rFonts w:ascii="David" w:hAnsi="David"/>
          <w:sz w:val="24"/>
          <w:szCs w:val="24"/>
        </w:rPr>
      </w:pPr>
      <w:r>
        <w:rPr>
          <w:rFonts w:ascii="David" w:hAnsi="David" w:hint="cs"/>
          <w:sz w:val="24"/>
          <w:szCs w:val="24"/>
          <w:rtl/>
        </w:rPr>
        <w:t>תקבולי</w:t>
      </w:r>
      <w:r w:rsidRPr="00134C14">
        <w:rPr>
          <w:rFonts w:ascii="David" w:hAnsi="David"/>
          <w:sz w:val="24"/>
          <w:szCs w:val="24"/>
          <w:rtl/>
        </w:rPr>
        <w:t xml:space="preserve"> המסים בישראל בשנת 2021 הי</w:t>
      </w:r>
      <w:r>
        <w:rPr>
          <w:rFonts w:ascii="David" w:hAnsi="David" w:hint="cs"/>
          <w:sz w:val="24"/>
          <w:szCs w:val="24"/>
          <w:rtl/>
        </w:rPr>
        <w:t>ו</w:t>
      </w:r>
      <w:r w:rsidRPr="00134C14">
        <w:rPr>
          <w:rFonts w:ascii="David" w:hAnsi="David"/>
          <w:sz w:val="24"/>
          <w:szCs w:val="24"/>
          <w:rtl/>
        </w:rPr>
        <w:t xml:space="preserve"> </w:t>
      </w:r>
      <w:r>
        <w:rPr>
          <w:rFonts w:ascii="David" w:hAnsi="David" w:hint="cs"/>
          <w:sz w:val="24"/>
          <w:szCs w:val="24"/>
          <w:rtl/>
        </w:rPr>
        <w:t>גבוהים</w:t>
      </w:r>
      <w:r w:rsidRPr="00134C14">
        <w:rPr>
          <w:rFonts w:ascii="David" w:hAnsi="David"/>
          <w:sz w:val="24"/>
          <w:szCs w:val="24"/>
          <w:rtl/>
        </w:rPr>
        <w:t xml:space="preserve"> לא רק בהשוואה לשנת 2020 </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ש</w:t>
      </w:r>
      <w:r w:rsidRPr="00134C14">
        <w:rPr>
          <w:rFonts w:ascii="David" w:hAnsi="David"/>
          <w:sz w:val="24"/>
          <w:szCs w:val="24"/>
          <w:rtl/>
        </w:rPr>
        <w:t xml:space="preserve">בה </w:t>
      </w:r>
      <w:r>
        <w:rPr>
          <w:rFonts w:ascii="David" w:hAnsi="David" w:hint="cs"/>
          <w:sz w:val="24"/>
          <w:szCs w:val="24"/>
          <w:rtl/>
        </w:rPr>
        <w:t xml:space="preserve">גבייתם פחתה </w:t>
      </w:r>
      <w:r w:rsidRPr="00134C14">
        <w:rPr>
          <w:rFonts w:ascii="David" w:hAnsi="David"/>
          <w:sz w:val="24"/>
          <w:szCs w:val="24"/>
          <w:rtl/>
        </w:rPr>
        <w:t>– אלא גם ביחס לצפוי על פי מגמת הגידול ארוכת הטווח של הגבייה ב</w:t>
      </w:r>
      <w:r>
        <w:rPr>
          <w:rFonts w:ascii="David" w:hAnsi="David" w:hint="cs"/>
          <w:sz w:val="24"/>
          <w:szCs w:val="24"/>
          <w:rtl/>
        </w:rPr>
        <w:t>חמש ה</w:t>
      </w:r>
      <w:r w:rsidRPr="00134C14">
        <w:rPr>
          <w:rFonts w:ascii="David" w:hAnsi="David"/>
          <w:sz w:val="24"/>
          <w:szCs w:val="24"/>
          <w:rtl/>
        </w:rPr>
        <w:t>שנים האחרונות.</w:t>
      </w:r>
    </w:p>
    <w:p w:rsidR="00060B17" w:rsidRPr="00D43FDB" w:rsidRDefault="00060B17" w:rsidP="00060B17">
      <w:pPr>
        <w:pStyle w:val="a3"/>
        <w:numPr>
          <w:ilvl w:val="0"/>
          <w:numId w:val="1"/>
        </w:numPr>
        <w:spacing w:before="240"/>
        <w:ind w:left="368"/>
        <w:rPr>
          <w:rFonts w:ascii="David" w:hAnsi="David"/>
          <w:sz w:val="24"/>
          <w:szCs w:val="24"/>
          <w:rtl/>
        </w:rPr>
      </w:pPr>
      <w:r>
        <w:rPr>
          <w:rFonts w:ascii="David" w:hAnsi="David" w:hint="cs"/>
          <w:sz w:val="24"/>
          <w:szCs w:val="24"/>
          <w:rtl/>
        </w:rPr>
        <w:t>לגידול</w:t>
      </w:r>
      <w:r w:rsidRPr="00D43FDB">
        <w:rPr>
          <w:rFonts w:ascii="David" w:hAnsi="David"/>
          <w:sz w:val="24"/>
          <w:szCs w:val="24"/>
          <w:rtl/>
        </w:rPr>
        <w:t xml:space="preserve"> של כ-67</w:t>
      </w:r>
      <w:r w:rsidRPr="00D43FDB">
        <w:rPr>
          <w:rFonts w:ascii="David" w:hAnsi="David"/>
          <w:color w:val="FF0000"/>
          <w:sz w:val="24"/>
          <w:szCs w:val="24"/>
          <w:rtl/>
        </w:rPr>
        <w:t xml:space="preserve"> </w:t>
      </w:r>
      <w:r w:rsidRPr="00D43FDB">
        <w:rPr>
          <w:rFonts w:ascii="David" w:hAnsi="David"/>
          <w:sz w:val="24"/>
          <w:szCs w:val="24"/>
          <w:rtl/>
        </w:rPr>
        <w:t xml:space="preserve">מיליארדי </w:t>
      </w:r>
      <w:r w:rsidRPr="00D43FDB">
        <w:rPr>
          <w:rFonts w:ascii="David" w:hAnsi="David" w:hint="cs"/>
          <w:sz w:val="24"/>
          <w:szCs w:val="24"/>
          <w:rtl/>
        </w:rPr>
        <w:t>ש"ח</w:t>
      </w:r>
      <w:r w:rsidRPr="00D43FDB">
        <w:rPr>
          <w:rFonts w:ascii="David" w:hAnsi="David"/>
          <w:sz w:val="24"/>
          <w:szCs w:val="24"/>
          <w:rtl/>
        </w:rPr>
        <w:t xml:space="preserve"> בגביית המסים בשנת 2021 לעומת 2019 </w:t>
      </w:r>
      <w:r w:rsidRPr="00D43FDB">
        <w:rPr>
          <w:rFonts w:ascii="David" w:hAnsi="David" w:hint="cs"/>
          <w:sz w:val="24"/>
          <w:szCs w:val="24"/>
          <w:rtl/>
        </w:rPr>
        <w:t>תרם</w:t>
      </w:r>
      <w:r w:rsidRPr="00D43FDB">
        <w:rPr>
          <w:rFonts w:ascii="David" w:hAnsi="David"/>
          <w:sz w:val="24"/>
          <w:szCs w:val="24"/>
          <w:rtl/>
        </w:rPr>
        <w:t xml:space="preserve"> הגידול ה"טבעי" של תקבולי המס כ-</w:t>
      </w:r>
      <w:r w:rsidRPr="00D43FDB">
        <w:rPr>
          <w:rFonts w:ascii="David" w:hAnsi="David" w:hint="cs"/>
          <w:sz w:val="24"/>
          <w:szCs w:val="24"/>
          <w:rtl/>
        </w:rPr>
        <w:t>34</w:t>
      </w:r>
      <w:r w:rsidRPr="00D43FDB">
        <w:rPr>
          <w:rFonts w:ascii="David" w:hAnsi="David"/>
          <w:sz w:val="24"/>
          <w:szCs w:val="24"/>
          <w:rtl/>
        </w:rPr>
        <w:t xml:space="preserve"> מיליארדי </w:t>
      </w:r>
      <w:r w:rsidRPr="00D43FDB">
        <w:rPr>
          <w:rFonts w:ascii="David" w:hAnsi="David" w:hint="cs"/>
          <w:sz w:val="24"/>
          <w:szCs w:val="24"/>
          <w:rtl/>
        </w:rPr>
        <w:t xml:space="preserve">ש"ח. </w:t>
      </w:r>
      <w:r>
        <w:rPr>
          <w:rFonts w:ascii="David" w:hAnsi="David" w:hint="cs"/>
          <w:sz w:val="24"/>
          <w:szCs w:val="24"/>
          <w:rtl/>
        </w:rPr>
        <w:t>חריגת</w:t>
      </w:r>
      <w:r w:rsidRPr="00D43FDB">
        <w:rPr>
          <w:rFonts w:ascii="David" w:hAnsi="David" w:hint="cs"/>
          <w:sz w:val="24"/>
          <w:szCs w:val="24"/>
          <w:rtl/>
        </w:rPr>
        <w:t xml:space="preserve"> </w:t>
      </w:r>
      <w:r>
        <w:rPr>
          <w:rFonts w:ascii="David" w:hAnsi="David" w:hint="cs"/>
          <w:sz w:val="24"/>
          <w:szCs w:val="24"/>
          <w:rtl/>
        </w:rPr>
        <w:t>ה</w:t>
      </w:r>
      <w:r w:rsidRPr="00D43FDB">
        <w:rPr>
          <w:rFonts w:ascii="David" w:hAnsi="David" w:hint="cs"/>
          <w:sz w:val="24"/>
          <w:szCs w:val="24"/>
          <w:rtl/>
        </w:rPr>
        <w:t>משתני</w:t>
      </w:r>
      <w:r>
        <w:rPr>
          <w:rFonts w:ascii="David" w:hAnsi="David" w:hint="cs"/>
          <w:sz w:val="24"/>
          <w:szCs w:val="24"/>
          <w:rtl/>
        </w:rPr>
        <w:t>ם</w:t>
      </w:r>
      <w:r w:rsidRPr="00D43FDB">
        <w:rPr>
          <w:rFonts w:ascii="David" w:hAnsi="David" w:hint="cs"/>
          <w:sz w:val="24"/>
          <w:szCs w:val="24"/>
          <w:rtl/>
        </w:rPr>
        <w:t xml:space="preserve"> המקרו</w:t>
      </w:r>
      <w:r>
        <w:rPr>
          <w:rFonts w:ascii="David" w:hAnsi="David" w:hint="cs"/>
          <w:sz w:val="24"/>
          <w:szCs w:val="24"/>
          <w:rtl/>
        </w:rPr>
        <w:t>-כלכליים</w:t>
      </w:r>
      <w:r w:rsidRPr="00D43FDB">
        <w:rPr>
          <w:rFonts w:ascii="David" w:hAnsi="David" w:hint="cs"/>
          <w:sz w:val="24"/>
          <w:szCs w:val="24"/>
          <w:rtl/>
        </w:rPr>
        <w:t xml:space="preserve"> מהמגמה שאפיינה אותם בחמש השנים האחרונות תרמה עוד כ-29 מיליארדי ש"ח.</w:t>
      </w:r>
    </w:p>
    <w:p w:rsidR="00060B17" w:rsidRPr="00D43FDB" w:rsidRDefault="00060B17" w:rsidP="00060B17">
      <w:pPr>
        <w:pStyle w:val="a3"/>
        <w:numPr>
          <w:ilvl w:val="0"/>
          <w:numId w:val="1"/>
        </w:numPr>
        <w:spacing w:before="240"/>
        <w:ind w:left="368"/>
        <w:rPr>
          <w:rFonts w:ascii="David" w:hAnsi="David"/>
          <w:sz w:val="24"/>
          <w:szCs w:val="24"/>
          <w:rtl/>
        </w:rPr>
      </w:pPr>
      <w:r w:rsidRPr="00D43FDB">
        <w:rPr>
          <w:rFonts w:ascii="David" w:hAnsi="David" w:hint="cs"/>
          <w:sz w:val="24"/>
          <w:szCs w:val="24"/>
          <w:rtl/>
        </w:rPr>
        <w:t>מפאת משקלם המשמעותי של הרכיבים החריגים</w:t>
      </w:r>
      <w:r>
        <w:rPr>
          <w:rFonts w:ascii="David" w:hAnsi="David" w:hint="cs"/>
          <w:sz w:val="24"/>
          <w:szCs w:val="24"/>
          <w:rtl/>
        </w:rPr>
        <w:t xml:space="preserve"> </w:t>
      </w:r>
      <w:r>
        <w:rPr>
          <w:rFonts w:ascii="David" w:hAnsi="David"/>
          <w:sz w:val="24"/>
          <w:szCs w:val="24"/>
          <w:rtl/>
        </w:rPr>
        <w:t>–</w:t>
      </w:r>
      <w:r>
        <w:rPr>
          <w:rFonts w:ascii="David" w:hAnsi="David" w:hint="cs"/>
          <w:sz w:val="24"/>
          <w:szCs w:val="24"/>
          <w:rtl/>
        </w:rPr>
        <w:t xml:space="preserve"> יבוא מוצרי צריכה, עליות מחירי הנכסים הפיננסיים והפעילות הערה בשוק הנדל"ן </w:t>
      </w:r>
      <w:r>
        <w:rPr>
          <w:rFonts w:ascii="David" w:hAnsi="David"/>
          <w:sz w:val="24"/>
          <w:szCs w:val="24"/>
          <w:rtl/>
        </w:rPr>
        <w:t>–</w:t>
      </w:r>
      <w:r>
        <w:rPr>
          <w:rFonts w:ascii="David" w:hAnsi="David" w:hint="cs"/>
          <w:sz w:val="24"/>
          <w:szCs w:val="24"/>
          <w:rtl/>
        </w:rPr>
        <w:t xml:space="preserve"> </w:t>
      </w:r>
      <w:r w:rsidRPr="00D43FDB">
        <w:rPr>
          <w:rFonts w:ascii="David" w:hAnsi="David" w:hint="cs"/>
          <w:sz w:val="24"/>
          <w:szCs w:val="24"/>
          <w:rtl/>
        </w:rPr>
        <w:t>בגידול התקבולים ב-</w:t>
      </w:r>
      <w:r>
        <w:rPr>
          <w:rFonts w:ascii="David" w:hAnsi="David" w:hint="cs"/>
          <w:sz w:val="24"/>
          <w:szCs w:val="24"/>
          <w:rtl/>
        </w:rPr>
        <w:t xml:space="preserve">2021 </w:t>
      </w:r>
      <w:r w:rsidRPr="00D43FDB">
        <w:rPr>
          <w:rFonts w:ascii="David" w:hAnsi="David" w:hint="cs"/>
          <w:sz w:val="24"/>
          <w:szCs w:val="24"/>
          <w:rtl/>
        </w:rPr>
        <w:t>נדרשת זהירות רבה בהסתמכות על הכנסות אלו בתכנון התקציב הקרוב.</w:t>
      </w:r>
    </w:p>
    <w:p w:rsidR="00060B17" w:rsidRPr="00134C14" w:rsidRDefault="00060B17" w:rsidP="00F1661E">
      <w:pPr>
        <w:spacing w:before="240"/>
        <w:rPr>
          <w:rFonts w:ascii="David" w:hAnsi="David"/>
          <w:sz w:val="24"/>
          <w:szCs w:val="24"/>
          <w:rtl/>
        </w:rPr>
      </w:pPr>
      <w:r>
        <w:rPr>
          <w:rFonts w:ascii="David" w:hAnsi="David" w:hint="cs"/>
          <w:sz w:val="24"/>
          <w:szCs w:val="24"/>
          <w:rtl/>
        </w:rPr>
        <w:t>תקבולי</w:t>
      </w:r>
      <w:r w:rsidRPr="00134C14">
        <w:rPr>
          <w:rFonts w:ascii="David" w:hAnsi="David"/>
          <w:sz w:val="24"/>
          <w:szCs w:val="24"/>
          <w:rtl/>
        </w:rPr>
        <w:t xml:space="preserve"> המסים בישראל בשנת 2021 הי</w:t>
      </w:r>
      <w:r>
        <w:rPr>
          <w:rFonts w:ascii="David" w:hAnsi="David" w:hint="cs"/>
          <w:sz w:val="24"/>
          <w:szCs w:val="24"/>
          <w:rtl/>
        </w:rPr>
        <w:t>ו</w:t>
      </w:r>
      <w:r w:rsidRPr="00134C14">
        <w:rPr>
          <w:rFonts w:ascii="David" w:hAnsi="David"/>
          <w:sz w:val="24"/>
          <w:szCs w:val="24"/>
          <w:rtl/>
        </w:rPr>
        <w:t xml:space="preserve"> </w:t>
      </w:r>
      <w:r>
        <w:rPr>
          <w:rFonts w:ascii="David" w:hAnsi="David" w:hint="cs"/>
          <w:sz w:val="24"/>
          <w:szCs w:val="24"/>
          <w:rtl/>
        </w:rPr>
        <w:t>גבוהים</w:t>
      </w:r>
      <w:r w:rsidRPr="00134C14">
        <w:rPr>
          <w:rFonts w:ascii="David" w:hAnsi="David"/>
          <w:sz w:val="24"/>
          <w:szCs w:val="24"/>
          <w:rtl/>
        </w:rPr>
        <w:t xml:space="preserve"> לא רק בהשוואה לשנת 2020 </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ש</w:t>
      </w:r>
      <w:r w:rsidRPr="00134C14">
        <w:rPr>
          <w:rFonts w:ascii="David" w:hAnsi="David"/>
          <w:sz w:val="24"/>
          <w:szCs w:val="24"/>
          <w:rtl/>
        </w:rPr>
        <w:t xml:space="preserve">בה </w:t>
      </w:r>
      <w:r>
        <w:rPr>
          <w:rFonts w:ascii="David" w:hAnsi="David" w:hint="cs"/>
          <w:sz w:val="24"/>
          <w:szCs w:val="24"/>
          <w:rtl/>
        </w:rPr>
        <w:t xml:space="preserve">גבייתם פחתה </w:t>
      </w:r>
      <w:r w:rsidRPr="00134C14">
        <w:rPr>
          <w:rFonts w:ascii="David" w:hAnsi="David"/>
          <w:sz w:val="24"/>
          <w:szCs w:val="24"/>
          <w:rtl/>
        </w:rPr>
        <w:t xml:space="preserve">– אלא גם ביחס לצפוי על פי מגמת הגידול ארוכת הטווח של הגבייה בשנים האחרונות. לגידול זה </w:t>
      </w:r>
      <w:r>
        <w:rPr>
          <w:rFonts w:ascii="David" w:hAnsi="David" w:hint="cs"/>
          <w:sz w:val="24"/>
          <w:szCs w:val="24"/>
          <w:rtl/>
        </w:rPr>
        <w:t>של ה</w:t>
      </w:r>
      <w:r w:rsidRPr="00134C14">
        <w:rPr>
          <w:rFonts w:ascii="David" w:hAnsi="David"/>
          <w:sz w:val="24"/>
          <w:szCs w:val="24"/>
          <w:rtl/>
        </w:rPr>
        <w:t>גבייה מספר הסברים</w:t>
      </w:r>
      <w:r>
        <w:rPr>
          <w:rFonts w:ascii="David" w:hAnsi="David" w:hint="cs"/>
          <w:sz w:val="24"/>
          <w:szCs w:val="24"/>
          <w:rtl/>
        </w:rPr>
        <w:t>,</w:t>
      </w:r>
      <w:r w:rsidRPr="00134C14">
        <w:rPr>
          <w:rFonts w:ascii="David" w:hAnsi="David"/>
          <w:sz w:val="24"/>
          <w:szCs w:val="24"/>
          <w:rtl/>
        </w:rPr>
        <w:t xml:space="preserve"> </w:t>
      </w:r>
      <w:r w:rsidRPr="004463D5">
        <w:rPr>
          <w:rFonts w:ascii="David" w:hAnsi="David" w:hint="cs"/>
          <w:sz w:val="24"/>
          <w:szCs w:val="24"/>
          <w:rtl/>
        </w:rPr>
        <w:t>ה</w:t>
      </w:r>
      <w:r w:rsidRPr="004463D5">
        <w:rPr>
          <w:rFonts w:ascii="David" w:hAnsi="David"/>
          <w:sz w:val="24"/>
          <w:szCs w:val="24"/>
          <w:rtl/>
        </w:rPr>
        <w:t>משלימים</w:t>
      </w:r>
      <w:r>
        <w:rPr>
          <w:rFonts w:ascii="David" w:hAnsi="David" w:hint="cs"/>
          <w:sz w:val="24"/>
          <w:szCs w:val="24"/>
          <w:rtl/>
        </w:rPr>
        <w:t xml:space="preserve"> זה את זה</w:t>
      </w:r>
      <w:r w:rsidRPr="00134C14">
        <w:rPr>
          <w:rFonts w:ascii="David" w:hAnsi="David"/>
          <w:sz w:val="24"/>
          <w:szCs w:val="24"/>
          <w:rtl/>
        </w:rPr>
        <w:t>. בתיבה זו נחלק את ההסברים השונים ל</w:t>
      </w:r>
      <w:r>
        <w:rPr>
          <w:rFonts w:ascii="David" w:hAnsi="David" w:hint="cs"/>
          <w:sz w:val="24"/>
          <w:szCs w:val="24"/>
          <w:rtl/>
        </w:rPr>
        <w:t>שלוש</w:t>
      </w:r>
      <w:r w:rsidRPr="00134C14">
        <w:rPr>
          <w:rFonts w:ascii="David" w:hAnsi="David"/>
          <w:sz w:val="24"/>
          <w:szCs w:val="24"/>
          <w:rtl/>
        </w:rPr>
        <w:t xml:space="preserve"> קבוצות: גורמים מבניים, </w:t>
      </w:r>
      <w:r>
        <w:rPr>
          <w:rFonts w:ascii="David" w:hAnsi="David" w:hint="cs"/>
          <w:sz w:val="24"/>
          <w:szCs w:val="24"/>
          <w:rtl/>
        </w:rPr>
        <w:t>חריגים וחד-פעמיים</w:t>
      </w:r>
      <w:r w:rsidRPr="00134C14">
        <w:rPr>
          <w:rFonts w:ascii="David" w:hAnsi="David"/>
          <w:sz w:val="24"/>
          <w:szCs w:val="24"/>
          <w:rtl/>
        </w:rPr>
        <w:t xml:space="preserve">. כדי לענות על השאלה כמה מהגידול נובע מכל אחד מהרכיבים </w:t>
      </w:r>
      <w:r>
        <w:rPr>
          <w:rFonts w:ascii="David" w:hAnsi="David" w:hint="cs"/>
          <w:sz w:val="24"/>
          <w:szCs w:val="24"/>
          <w:rtl/>
        </w:rPr>
        <w:t>האלה</w:t>
      </w:r>
      <w:r w:rsidRPr="00134C14">
        <w:rPr>
          <w:rFonts w:ascii="David" w:hAnsi="David"/>
          <w:sz w:val="24"/>
          <w:szCs w:val="24"/>
          <w:rtl/>
        </w:rPr>
        <w:t xml:space="preserve"> ננתח את </w:t>
      </w:r>
      <w:r>
        <w:rPr>
          <w:rFonts w:ascii="David" w:hAnsi="David" w:hint="cs"/>
          <w:sz w:val="24"/>
          <w:szCs w:val="24"/>
          <w:rtl/>
        </w:rPr>
        <w:t>התפתחות</w:t>
      </w:r>
      <w:r w:rsidRPr="00134C14">
        <w:rPr>
          <w:rFonts w:ascii="David" w:hAnsi="David"/>
          <w:sz w:val="24"/>
          <w:szCs w:val="24"/>
          <w:rtl/>
        </w:rPr>
        <w:t xml:space="preserve"> </w:t>
      </w:r>
      <w:r>
        <w:rPr>
          <w:rFonts w:ascii="David" w:hAnsi="David" w:hint="cs"/>
          <w:sz w:val="24"/>
          <w:szCs w:val="24"/>
          <w:rtl/>
        </w:rPr>
        <w:t xml:space="preserve">המשתנים המקרו-כלכליים הרלוונטיים בשנתיים האחרונות </w:t>
      </w:r>
      <w:r w:rsidRPr="00134C14">
        <w:rPr>
          <w:rFonts w:ascii="David" w:hAnsi="David"/>
          <w:sz w:val="24"/>
          <w:szCs w:val="24"/>
          <w:rtl/>
        </w:rPr>
        <w:t xml:space="preserve">לעומת חמש השנים שקדמו </w:t>
      </w:r>
      <w:r>
        <w:rPr>
          <w:rFonts w:ascii="David" w:hAnsi="David" w:hint="cs"/>
          <w:sz w:val="24"/>
          <w:szCs w:val="24"/>
          <w:rtl/>
        </w:rPr>
        <w:t>להן</w:t>
      </w:r>
      <w:r w:rsidRPr="00134C14">
        <w:rPr>
          <w:rFonts w:ascii="David" w:hAnsi="David"/>
          <w:sz w:val="24"/>
          <w:szCs w:val="24"/>
          <w:rtl/>
        </w:rPr>
        <w:t>.</w:t>
      </w:r>
    </w:p>
    <w:p w:rsidR="00060B17" w:rsidRPr="00134C14" w:rsidRDefault="00060B17" w:rsidP="00060B17">
      <w:pPr>
        <w:spacing w:before="240"/>
        <w:rPr>
          <w:rFonts w:ascii="David" w:hAnsi="David"/>
          <w:sz w:val="24"/>
          <w:szCs w:val="24"/>
          <w:rtl/>
        </w:rPr>
      </w:pPr>
      <w:r w:rsidRPr="00B97C85">
        <w:rPr>
          <w:rFonts w:ascii="David" w:hAnsi="David"/>
          <w:b/>
          <w:bCs/>
          <w:sz w:val="24"/>
          <w:szCs w:val="24"/>
          <w:rtl/>
        </w:rPr>
        <w:t xml:space="preserve">הגורמים המבניים: </w:t>
      </w:r>
      <w:r w:rsidRPr="0023366F">
        <w:rPr>
          <w:rFonts w:ascii="David" w:hAnsi="David"/>
          <w:sz w:val="24"/>
          <w:szCs w:val="24"/>
          <w:rtl/>
        </w:rPr>
        <w:t>גידול</w:t>
      </w:r>
      <w:r w:rsidRPr="00134C14">
        <w:rPr>
          <w:rFonts w:ascii="David" w:hAnsi="David"/>
          <w:sz w:val="24"/>
          <w:szCs w:val="24"/>
          <w:rtl/>
        </w:rPr>
        <w:t xml:space="preserve"> מבני </w:t>
      </w:r>
      <w:r>
        <w:rPr>
          <w:rFonts w:ascii="David" w:hAnsi="David" w:hint="cs"/>
          <w:sz w:val="24"/>
          <w:szCs w:val="24"/>
          <w:rtl/>
        </w:rPr>
        <w:t xml:space="preserve">של </w:t>
      </w:r>
      <w:r w:rsidRPr="00134C14">
        <w:rPr>
          <w:rFonts w:ascii="David" w:hAnsi="David"/>
          <w:sz w:val="24"/>
          <w:szCs w:val="24"/>
          <w:rtl/>
        </w:rPr>
        <w:t>גביית המסים נובע בראש ובראשונה מגורמי הגידול ה</w:t>
      </w:r>
      <w:r>
        <w:rPr>
          <w:rFonts w:ascii="David" w:hAnsi="David" w:hint="cs"/>
          <w:sz w:val="24"/>
          <w:szCs w:val="24"/>
          <w:rtl/>
        </w:rPr>
        <w:t>"</w:t>
      </w:r>
      <w:r w:rsidRPr="00134C14">
        <w:rPr>
          <w:rFonts w:ascii="David" w:hAnsi="David"/>
          <w:sz w:val="24"/>
          <w:szCs w:val="24"/>
          <w:rtl/>
        </w:rPr>
        <w:t xml:space="preserve">טבעיים" </w:t>
      </w:r>
      <w:r>
        <w:rPr>
          <w:rFonts w:ascii="David" w:hAnsi="David" w:hint="cs"/>
          <w:sz w:val="24"/>
          <w:szCs w:val="24"/>
          <w:rtl/>
        </w:rPr>
        <w:t>ש</w:t>
      </w:r>
      <w:r w:rsidRPr="00134C14">
        <w:rPr>
          <w:rFonts w:ascii="David" w:hAnsi="David"/>
          <w:sz w:val="24"/>
          <w:szCs w:val="24"/>
          <w:rtl/>
        </w:rPr>
        <w:t>בבסיס המס</w:t>
      </w:r>
      <w:r>
        <w:rPr>
          <w:rFonts w:ascii="David" w:hAnsi="David" w:hint="cs"/>
          <w:sz w:val="24"/>
          <w:szCs w:val="24"/>
          <w:rtl/>
        </w:rPr>
        <w:t xml:space="preserve"> </w:t>
      </w:r>
      <w:r>
        <w:rPr>
          <w:rFonts w:ascii="David" w:hAnsi="David" w:hint="eastAsia"/>
          <w:sz w:val="24"/>
          <w:szCs w:val="24"/>
          <w:rtl/>
        </w:rPr>
        <w:t>–</w:t>
      </w:r>
      <w:r>
        <w:rPr>
          <w:rFonts w:ascii="David" w:hAnsi="David" w:hint="cs"/>
          <w:sz w:val="24"/>
          <w:szCs w:val="24"/>
          <w:rtl/>
        </w:rPr>
        <w:t xml:space="preserve"> </w:t>
      </w:r>
      <w:r w:rsidRPr="00134C14">
        <w:rPr>
          <w:rFonts w:ascii="David" w:hAnsi="David"/>
          <w:sz w:val="24"/>
          <w:szCs w:val="24"/>
          <w:rtl/>
        </w:rPr>
        <w:t xml:space="preserve"> גידול </w:t>
      </w:r>
      <w:r>
        <w:rPr>
          <w:rFonts w:ascii="David" w:hAnsi="David" w:hint="cs"/>
          <w:sz w:val="24"/>
          <w:szCs w:val="24"/>
          <w:rtl/>
        </w:rPr>
        <w:t>ה</w:t>
      </w:r>
      <w:r w:rsidRPr="00134C14">
        <w:rPr>
          <w:rFonts w:ascii="David" w:hAnsi="David"/>
          <w:sz w:val="24"/>
          <w:szCs w:val="24"/>
          <w:rtl/>
        </w:rPr>
        <w:t>תוצר</w:t>
      </w:r>
      <w:r>
        <w:rPr>
          <w:rFonts w:ascii="David" w:hAnsi="David" w:hint="cs"/>
          <w:sz w:val="24"/>
          <w:szCs w:val="24"/>
          <w:rtl/>
        </w:rPr>
        <w:t>,</w:t>
      </w:r>
      <w:r w:rsidRPr="00134C14">
        <w:rPr>
          <w:rFonts w:ascii="David" w:hAnsi="David"/>
          <w:sz w:val="24"/>
          <w:szCs w:val="24"/>
          <w:rtl/>
        </w:rPr>
        <w:t xml:space="preserve"> שנובע מ</w:t>
      </w:r>
      <w:r>
        <w:rPr>
          <w:rFonts w:ascii="David" w:hAnsi="David" w:hint="cs"/>
          <w:sz w:val="24"/>
          <w:szCs w:val="24"/>
          <w:rtl/>
        </w:rPr>
        <w:t>ה</w:t>
      </w:r>
      <w:r w:rsidRPr="00134C14">
        <w:rPr>
          <w:rFonts w:ascii="David" w:hAnsi="David"/>
          <w:sz w:val="24"/>
          <w:szCs w:val="24"/>
          <w:rtl/>
        </w:rPr>
        <w:t xml:space="preserve">גידול </w:t>
      </w:r>
      <w:r>
        <w:rPr>
          <w:rFonts w:ascii="David" w:hAnsi="David" w:hint="cs"/>
          <w:sz w:val="24"/>
          <w:szCs w:val="24"/>
          <w:rtl/>
        </w:rPr>
        <w:t xml:space="preserve">של </w:t>
      </w:r>
      <w:r w:rsidRPr="00134C14">
        <w:rPr>
          <w:rFonts w:ascii="David" w:hAnsi="David"/>
          <w:sz w:val="24"/>
          <w:szCs w:val="24"/>
          <w:rtl/>
        </w:rPr>
        <w:t>מספר העובדים ו</w:t>
      </w:r>
      <w:r>
        <w:rPr>
          <w:rFonts w:ascii="David" w:hAnsi="David" w:hint="cs"/>
          <w:sz w:val="24"/>
          <w:szCs w:val="24"/>
          <w:rtl/>
        </w:rPr>
        <w:t>של ה</w:t>
      </w:r>
      <w:r w:rsidRPr="00134C14">
        <w:rPr>
          <w:rFonts w:ascii="David" w:hAnsi="David"/>
          <w:sz w:val="24"/>
          <w:szCs w:val="24"/>
          <w:rtl/>
        </w:rPr>
        <w:t xml:space="preserve">תוצר לעובד. </w:t>
      </w:r>
      <w:r>
        <w:rPr>
          <w:rFonts w:ascii="David" w:hAnsi="David" w:hint="cs"/>
          <w:sz w:val="24"/>
          <w:szCs w:val="24"/>
          <w:rtl/>
        </w:rPr>
        <w:t>גם</w:t>
      </w:r>
      <w:r w:rsidRPr="00134C14">
        <w:rPr>
          <w:rFonts w:ascii="David" w:hAnsi="David"/>
          <w:sz w:val="24"/>
          <w:szCs w:val="24"/>
          <w:rtl/>
        </w:rPr>
        <w:t xml:space="preserve"> תהליכים מבניים ארוכי טווח</w:t>
      </w:r>
      <w:r>
        <w:rPr>
          <w:rFonts w:ascii="David" w:hAnsi="David" w:hint="cs"/>
          <w:sz w:val="24"/>
          <w:szCs w:val="24"/>
          <w:rtl/>
        </w:rPr>
        <w:t>,</w:t>
      </w:r>
      <w:r w:rsidRPr="00134C14">
        <w:rPr>
          <w:rFonts w:ascii="David" w:hAnsi="David"/>
          <w:sz w:val="24"/>
          <w:szCs w:val="24"/>
          <w:rtl/>
        </w:rPr>
        <w:t xml:space="preserve"> כגון עליית מידת המינוע וצריכת הדלק בישראל (פעילויות עתירות מס) </w:t>
      </w:r>
      <w:r w:rsidRPr="00520339">
        <w:rPr>
          <w:rFonts w:ascii="David" w:hAnsi="David" w:hint="eastAsia"/>
          <w:sz w:val="24"/>
          <w:szCs w:val="24"/>
          <w:rtl/>
        </w:rPr>
        <w:t>ו</w:t>
      </w:r>
      <w:r w:rsidRPr="00134C14">
        <w:rPr>
          <w:rFonts w:ascii="David" w:hAnsi="David"/>
          <w:sz w:val="24"/>
          <w:szCs w:val="24"/>
          <w:rtl/>
        </w:rPr>
        <w:t>שינויים בהתפלגות ההכנסות (</w:t>
      </w:r>
      <w:r w:rsidRPr="00520339">
        <w:rPr>
          <w:rFonts w:ascii="David" w:hAnsi="David" w:hint="eastAsia"/>
          <w:sz w:val="24"/>
          <w:szCs w:val="24"/>
          <w:rtl/>
        </w:rPr>
        <w:t>כי</w:t>
      </w:r>
      <w:r>
        <w:rPr>
          <w:rFonts w:ascii="David" w:hAnsi="David" w:hint="cs"/>
          <w:sz w:val="24"/>
          <w:szCs w:val="24"/>
          <w:rtl/>
        </w:rPr>
        <w:t xml:space="preserve"> </w:t>
      </w:r>
      <w:r w:rsidRPr="00134C14">
        <w:rPr>
          <w:rFonts w:ascii="David" w:hAnsi="David"/>
          <w:sz w:val="24"/>
          <w:szCs w:val="24"/>
          <w:rtl/>
        </w:rPr>
        <w:t>המס השולי על בעלי שכר גבוה גדול יותר) תרמו בעבר להרחבת בסיס המס. גם צמצום היקף "הכלכלה השחורה" וייעול פרמננטי של פעילות רשויות המס יכולים להגדיל באופן מבני את הגבייה.</w:t>
      </w:r>
      <w:r>
        <w:rPr>
          <w:rFonts w:ascii="David" w:hAnsi="David" w:hint="cs"/>
          <w:sz w:val="24"/>
          <w:szCs w:val="24"/>
          <w:rtl/>
        </w:rPr>
        <w:t xml:space="preserve"> </w:t>
      </w:r>
      <w:r w:rsidRPr="00134C14">
        <w:rPr>
          <w:rFonts w:ascii="David" w:hAnsi="David"/>
          <w:sz w:val="24"/>
          <w:szCs w:val="24"/>
          <w:rtl/>
        </w:rPr>
        <w:t>שינוי מבני נוסף בתקבולי המס יכול לנבוע משינויי חקיקה</w:t>
      </w:r>
      <w:r>
        <w:rPr>
          <w:rFonts w:ascii="David" w:hAnsi="David" w:hint="cs"/>
          <w:sz w:val="24"/>
          <w:szCs w:val="24"/>
          <w:rtl/>
        </w:rPr>
        <w:t>,</w:t>
      </w:r>
      <w:r w:rsidRPr="00134C14">
        <w:rPr>
          <w:rFonts w:ascii="David" w:hAnsi="David"/>
          <w:sz w:val="24"/>
          <w:szCs w:val="24"/>
          <w:rtl/>
        </w:rPr>
        <w:t xml:space="preserve"> שמעלים את שיעור המס הסטטוטורי או מצמצמים הטבות מס</w:t>
      </w:r>
      <w:r>
        <w:rPr>
          <w:rFonts w:ascii="David" w:hAnsi="David" w:hint="cs"/>
          <w:sz w:val="24"/>
          <w:szCs w:val="24"/>
          <w:rtl/>
        </w:rPr>
        <w:t>.</w:t>
      </w:r>
      <w:r w:rsidRPr="00134C14">
        <w:rPr>
          <w:rFonts w:ascii="David" w:hAnsi="David"/>
          <w:sz w:val="24"/>
          <w:szCs w:val="24"/>
          <w:rtl/>
        </w:rPr>
        <w:t xml:space="preserve"> </w:t>
      </w:r>
    </w:p>
    <w:p w:rsidR="00060B17" w:rsidRPr="00134C14" w:rsidRDefault="00060B17" w:rsidP="00060B17">
      <w:pPr>
        <w:spacing w:before="240"/>
        <w:rPr>
          <w:rFonts w:ascii="David" w:hAnsi="David"/>
          <w:sz w:val="24"/>
          <w:szCs w:val="24"/>
          <w:rtl/>
        </w:rPr>
      </w:pPr>
      <w:r w:rsidRPr="00B97C85">
        <w:rPr>
          <w:rFonts w:ascii="David" w:hAnsi="David"/>
          <w:b/>
          <w:bCs/>
          <w:sz w:val="24"/>
          <w:szCs w:val="24"/>
          <w:rtl/>
        </w:rPr>
        <w:t xml:space="preserve">הגורמים </w:t>
      </w:r>
      <w:r w:rsidRPr="00B97C85">
        <w:rPr>
          <w:rFonts w:ascii="David" w:hAnsi="David" w:hint="eastAsia"/>
          <w:b/>
          <w:bCs/>
          <w:sz w:val="24"/>
          <w:szCs w:val="24"/>
          <w:rtl/>
        </w:rPr>
        <w:t>החריגים</w:t>
      </w:r>
      <w:r w:rsidRPr="00B97C85">
        <w:rPr>
          <w:rFonts w:ascii="David" w:hAnsi="David"/>
          <w:b/>
          <w:bCs/>
          <w:sz w:val="24"/>
          <w:szCs w:val="24"/>
          <w:rtl/>
        </w:rPr>
        <w:t>:</w:t>
      </w:r>
      <w:r w:rsidRPr="00134C14">
        <w:rPr>
          <w:rFonts w:ascii="David" w:hAnsi="David"/>
          <w:sz w:val="24"/>
          <w:szCs w:val="24"/>
          <w:rtl/>
        </w:rPr>
        <w:t xml:space="preserve"> </w:t>
      </w:r>
      <w:r>
        <w:rPr>
          <w:rFonts w:ascii="David" w:hAnsi="David" w:hint="cs"/>
          <w:sz w:val="24"/>
          <w:szCs w:val="24"/>
          <w:rtl/>
        </w:rPr>
        <w:t xml:space="preserve">אף שלאורך זמן תקבולי המסים גדלים בשיעור דומה לזה של צמיחת התוצר (כל עוד אין שינויים בשיעורי המס הסטטוטוריים), </w:t>
      </w:r>
      <w:r w:rsidRPr="00134C14">
        <w:rPr>
          <w:rFonts w:ascii="David" w:hAnsi="David"/>
          <w:sz w:val="24"/>
          <w:szCs w:val="24"/>
          <w:rtl/>
        </w:rPr>
        <w:t xml:space="preserve">חלק מתקבולי המסים משתנים </w:t>
      </w:r>
      <w:r>
        <w:rPr>
          <w:rFonts w:ascii="David" w:hAnsi="David" w:hint="cs"/>
          <w:sz w:val="24"/>
          <w:szCs w:val="24"/>
          <w:rtl/>
        </w:rPr>
        <w:t xml:space="preserve">בטווח הקצר </w:t>
      </w:r>
      <w:r w:rsidRPr="00134C14">
        <w:rPr>
          <w:rFonts w:ascii="David" w:hAnsi="David"/>
          <w:sz w:val="24"/>
          <w:szCs w:val="24"/>
          <w:rtl/>
        </w:rPr>
        <w:t>עם מחזור העסקים</w:t>
      </w:r>
      <w:r>
        <w:rPr>
          <w:rFonts w:ascii="David" w:hAnsi="David" w:hint="cs"/>
          <w:sz w:val="24"/>
          <w:szCs w:val="24"/>
          <w:rtl/>
        </w:rPr>
        <w:t>,</w:t>
      </w:r>
      <w:r w:rsidRPr="00134C14">
        <w:rPr>
          <w:rFonts w:ascii="David" w:hAnsi="David"/>
          <w:sz w:val="24"/>
          <w:szCs w:val="24"/>
          <w:rtl/>
        </w:rPr>
        <w:t xml:space="preserve"> ועל כן הם נקראים גורמים מחזוריים. תגובת המסים לשינויים במחזור העסקים נוטה להיות לא ליניארית </w:t>
      </w:r>
      <w:r>
        <w:rPr>
          <w:rFonts w:ascii="David" w:hAnsi="David" w:hint="cs"/>
          <w:sz w:val="24"/>
          <w:szCs w:val="24"/>
          <w:rtl/>
        </w:rPr>
        <w:t>: התקבולים פוחתים בחדות</w:t>
      </w:r>
      <w:r w:rsidRPr="00134C14">
        <w:rPr>
          <w:rFonts w:ascii="David" w:hAnsi="David"/>
          <w:sz w:val="24"/>
          <w:szCs w:val="24"/>
          <w:rtl/>
        </w:rPr>
        <w:t xml:space="preserve"> במהלך האטה כלכלית </w:t>
      </w:r>
      <w:r>
        <w:rPr>
          <w:rFonts w:ascii="David" w:hAnsi="David" w:hint="cs"/>
          <w:sz w:val="24"/>
          <w:szCs w:val="24"/>
          <w:rtl/>
        </w:rPr>
        <w:t>וצומחים</w:t>
      </w:r>
      <w:r w:rsidRPr="00134C14">
        <w:rPr>
          <w:rFonts w:ascii="David" w:hAnsi="David"/>
          <w:sz w:val="24"/>
          <w:szCs w:val="24"/>
          <w:rtl/>
        </w:rPr>
        <w:t xml:space="preserve"> בגמישות גבוהה מיחידתית (ביחס לתוצר) כ</w:t>
      </w:r>
      <w:r>
        <w:rPr>
          <w:rFonts w:ascii="David" w:hAnsi="David" w:hint="cs"/>
          <w:sz w:val="24"/>
          <w:szCs w:val="24"/>
          <w:rtl/>
        </w:rPr>
        <w:t>ש</w:t>
      </w:r>
      <w:r w:rsidRPr="00134C14">
        <w:rPr>
          <w:rFonts w:ascii="David" w:hAnsi="David"/>
          <w:sz w:val="24"/>
          <w:szCs w:val="24"/>
          <w:rtl/>
        </w:rPr>
        <w:t>רמת הפעילות מתחילה להשתקם.</w:t>
      </w:r>
      <w:r w:rsidRPr="00134C14">
        <w:rPr>
          <w:rFonts w:ascii="David" w:hAnsi="David"/>
          <w:sz w:val="24"/>
          <w:szCs w:val="24"/>
          <w:vertAlign w:val="superscript"/>
          <w:rtl/>
        </w:rPr>
        <w:footnoteReference w:id="1"/>
      </w:r>
      <w:r w:rsidRPr="00134C14">
        <w:rPr>
          <w:rFonts w:ascii="David" w:hAnsi="David"/>
          <w:sz w:val="24"/>
          <w:szCs w:val="24"/>
          <w:rtl/>
        </w:rPr>
        <w:t xml:space="preserve"> </w:t>
      </w:r>
      <w:r>
        <w:rPr>
          <w:rFonts w:ascii="David" w:hAnsi="David" w:hint="cs"/>
          <w:sz w:val="24"/>
          <w:szCs w:val="24"/>
          <w:rtl/>
        </w:rPr>
        <w:t xml:space="preserve">אותו </w:t>
      </w:r>
      <w:r w:rsidRPr="00134C14">
        <w:rPr>
          <w:rFonts w:ascii="David" w:hAnsi="David"/>
          <w:sz w:val="24"/>
          <w:szCs w:val="24"/>
          <w:rtl/>
        </w:rPr>
        <w:t xml:space="preserve">חלק בתקבולי המסים שהוא מעבר לאפקט הליניארי (הכלול בגורמים המבניים </w:t>
      </w:r>
      <w:r>
        <w:rPr>
          <w:rFonts w:ascii="David" w:hAnsi="David" w:hint="cs"/>
          <w:sz w:val="24"/>
          <w:szCs w:val="24"/>
          <w:rtl/>
        </w:rPr>
        <w:t>האמורים</w:t>
      </w:r>
      <w:r w:rsidRPr="00134C14">
        <w:rPr>
          <w:rFonts w:ascii="David" w:hAnsi="David"/>
          <w:sz w:val="24"/>
          <w:szCs w:val="24"/>
          <w:rtl/>
        </w:rPr>
        <w:t xml:space="preserve">) מוגדר כהשפעה מחזורית. תקבולים אלו כוללים את המסים על </w:t>
      </w:r>
      <w:r>
        <w:rPr>
          <w:rFonts w:ascii="David" w:hAnsi="David" w:hint="cs"/>
          <w:sz w:val="24"/>
          <w:szCs w:val="24"/>
          <w:rtl/>
        </w:rPr>
        <w:t>ה</w:t>
      </w:r>
      <w:r w:rsidRPr="00134C14">
        <w:rPr>
          <w:rFonts w:ascii="David" w:hAnsi="David"/>
          <w:sz w:val="24"/>
          <w:szCs w:val="24"/>
          <w:rtl/>
        </w:rPr>
        <w:t xml:space="preserve">צריכה </w:t>
      </w:r>
      <w:r>
        <w:rPr>
          <w:rFonts w:ascii="David" w:hAnsi="David" w:hint="cs"/>
          <w:sz w:val="24"/>
          <w:szCs w:val="24"/>
          <w:rtl/>
        </w:rPr>
        <w:t>ה</w:t>
      </w:r>
      <w:r w:rsidRPr="00134C14">
        <w:rPr>
          <w:rFonts w:ascii="David" w:hAnsi="David"/>
          <w:sz w:val="24"/>
          <w:szCs w:val="24"/>
          <w:rtl/>
        </w:rPr>
        <w:t>מקומית, מסי החברות (הנגזרים מרווחיהן), מסי השכר</w:t>
      </w:r>
      <w:r>
        <w:rPr>
          <w:rFonts w:ascii="David" w:hAnsi="David" w:hint="cs"/>
          <w:sz w:val="24"/>
          <w:szCs w:val="24"/>
          <w:rtl/>
        </w:rPr>
        <w:t>,</w:t>
      </w:r>
      <w:r w:rsidRPr="00134C14">
        <w:rPr>
          <w:rFonts w:ascii="David" w:hAnsi="David"/>
          <w:sz w:val="24"/>
          <w:szCs w:val="24"/>
          <w:rtl/>
        </w:rPr>
        <w:t xml:space="preserve"> הנגזרים מנפח השכר במשק וכו'. </w:t>
      </w:r>
      <w:r>
        <w:rPr>
          <w:rFonts w:ascii="David" w:hAnsi="David" w:hint="cs"/>
          <w:sz w:val="24"/>
          <w:szCs w:val="24"/>
          <w:rtl/>
        </w:rPr>
        <w:t>בקבוצת הגורמים החריגים אנו כוללים</w:t>
      </w:r>
      <w:r w:rsidRPr="00134C14">
        <w:rPr>
          <w:rFonts w:ascii="David" w:hAnsi="David"/>
          <w:sz w:val="24"/>
          <w:szCs w:val="24"/>
          <w:rtl/>
        </w:rPr>
        <w:t xml:space="preserve"> גם תקבולים בגין תנ</w:t>
      </w:r>
      <w:r>
        <w:rPr>
          <w:rFonts w:ascii="David" w:hAnsi="David"/>
          <w:sz w:val="24"/>
          <w:szCs w:val="24"/>
          <w:rtl/>
        </w:rPr>
        <w:t>ודות חריגות בשוקי הנכסים (נדל"ן</w:t>
      </w:r>
      <w:r w:rsidRPr="00134C14">
        <w:rPr>
          <w:rFonts w:ascii="David" w:hAnsi="David"/>
          <w:sz w:val="24"/>
          <w:szCs w:val="24"/>
          <w:rtl/>
        </w:rPr>
        <w:t xml:space="preserve"> </w:t>
      </w:r>
      <w:r>
        <w:rPr>
          <w:rFonts w:ascii="David" w:hAnsi="David" w:hint="cs"/>
          <w:sz w:val="24"/>
          <w:szCs w:val="24"/>
          <w:rtl/>
        </w:rPr>
        <w:t>ו</w:t>
      </w:r>
      <w:r w:rsidRPr="00134C14">
        <w:rPr>
          <w:rFonts w:ascii="David" w:hAnsi="David"/>
          <w:sz w:val="24"/>
          <w:szCs w:val="24"/>
          <w:rtl/>
        </w:rPr>
        <w:t>נכסים פיננסיים), שהמחזורים בהם אינם תואמים בהכרח את מחזור העסקים הכללי במשק.</w:t>
      </w:r>
      <w:r>
        <w:rPr>
          <w:rStyle w:val="a6"/>
          <w:rFonts w:ascii="David" w:hAnsi="David"/>
          <w:sz w:val="24"/>
          <w:szCs w:val="24"/>
          <w:rtl/>
        </w:rPr>
        <w:footnoteReference w:id="2"/>
      </w:r>
    </w:p>
    <w:p w:rsidR="00060B17" w:rsidRPr="00134C14" w:rsidRDefault="00060B17" w:rsidP="00060B17">
      <w:pPr>
        <w:spacing w:before="240"/>
        <w:rPr>
          <w:rFonts w:ascii="David" w:hAnsi="David"/>
          <w:sz w:val="24"/>
          <w:szCs w:val="24"/>
          <w:rtl/>
        </w:rPr>
      </w:pPr>
      <w:r w:rsidRPr="00134C14">
        <w:rPr>
          <w:rFonts w:ascii="David" w:hAnsi="David"/>
          <w:sz w:val="24"/>
          <w:szCs w:val="24"/>
          <w:rtl/>
        </w:rPr>
        <w:t xml:space="preserve">שתי תופעות שאפיינו את המשק הישראלי במיוחד בשנתיים האחרונות היו גידול </w:t>
      </w:r>
      <w:r>
        <w:rPr>
          <w:rFonts w:ascii="David" w:hAnsi="David" w:hint="cs"/>
          <w:sz w:val="24"/>
          <w:szCs w:val="24"/>
          <w:rtl/>
        </w:rPr>
        <w:t>ה</w:t>
      </w:r>
      <w:r w:rsidRPr="00134C14">
        <w:rPr>
          <w:rFonts w:ascii="David" w:hAnsi="David"/>
          <w:sz w:val="24"/>
          <w:szCs w:val="24"/>
          <w:rtl/>
        </w:rPr>
        <w:t xml:space="preserve">יצוא </w:t>
      </w:r>
      <w:r>
        <w:rPr>
          <w:rFonts w:ascii="David" w:hAnsi="David" w:hint="cs"/>
          <w:sz w:val="24"/>
          <w:szCs w:val="24"/>
          <w:rtl/>
        </w:rPr>
        <w:t xml:space="preserve">של </w:t>
      </w:r>
      <w:r w:rsidRPr="00134C14">
        <w:rPr>
          <w:rFonts w:ascii="David" w:hAnsi="David"/>
          <w:sz w:val="24"/>
          <w:szCs w:val="24"/>
          <w:rtl/>
        </w:rPr>
        <w:t>שירותי ההיי</w:t>
      </w:r>
      <w:r>
        <w:rPr>
          <w:rFonts w:ascii="David" w:hAnsi="David" w:hint="cs"/>
          <w:sz w:val="24"/>
          <w:szCs w:val="24"/>
          <w:rtl/>
        </w:rPr>
        <w:t>-</w:t>
      </w:r>
      <w:r w:rsidRPr="00134C14">
        <w:rPr>
          <w:rFonts w:ascii="David" w:hAnsi="David"/>
          <w:sz w:val="24"/>
          <w:szCs w:val="24"/>
          <w:rtl/>
        </w:rPr>
        <w:t>טק</w:t>
      </w:r>
      <w:r w:rsidRPr="00134C14">
        <w:rPr>
          <w:rStyle w:val="a6"/>
          <w:rFonts w:ascii="David" w:hAnsi="David"/>
          <w:sz w:val="24"/>
          <w:szCs w:val="24"/>
          <w:rtl/>
        </w:rPr>
        <w:footnoteReference w:id="3"/>
      </w:r>
      <w:r w:rsidRPr="00134C14">
        <w:rPr>
          <w:rFonts w:ascii="David" w:hAnsi="David"/>
          <w:sz w:val="24"/>
          <w:szCs w:val="24"/>
          <w:rtl/>
        </w:rPr>
        <w:t xml:space="preserve"> והתרחבות הפעילות ועליית המחירים בשוק הדיור.</w:t>
      </w:r>
      <w:r w:rsidRPr="00134C14">
        <w:rPr>
          <w:rStyle w:val="a6"/>
          <w:rFonts w:ascii="David" w:hAnsi="David"/>
          <w:sz w:val="24"/>
          <w:szCs w:val="24"/>
          <w:rtl/>
        </w:rPr>
        <w:footnoteReference w:id="4"/>
      </w:r>
      <w:r w:rsidRPr="00134C14">
        <w:rPr>
          <w:rFonts w:ascii="David" w:hAnsi="David"/>
          <w:sz w:val="24"/>
          <w:szCs w:val="24"/>
          <w:rtl/>
        </w:rPr>
        <w:t xml:space="preserve"> שתי תופעות אלו אינן מתואמות בהכרח עם מחזור העסקים הכללי במשק, אך גם להן אופי מחזורי, כך שעלייה בשנים מסוימות </w:t>
      </w:r>
      <w:r w:rsidRPr="007C6813">
        <w:rPr>
          <w:rFonts w:ascii="David" w:hAnsi="David" w:hint="cs"/>
          <w:sz w:val="24"/>
          <w:szCs w:val="24"/>
          <w:rtl/>
        </w:rPr>
        <w:t>עלולה</w:t>
      </w:r>
      <w:r>
        <w:rPr>
          <w:rFonts w:ascii="David" w:hAnsi="David" w:hint="cs"/>
          <w:sz w:val="24"/>
          <w:szCs w:val="24"/>
          <w:rtl/>
        </w:rPr>
        <w:t xml:space="preserve"> </w:t>
      </w:r>
      <w:r w:rsidRPr="00134C14">
        <w:rPr>
          <w:rFonts w:ascii="David" w:hAnsi="David"/>
          <w:sz w:val="24"/>
          <w:szCs w:val="24"/>
          <w:rtl/>
        </w:rPr>
        <w:t>להתמתן וא</w:t>
      </w:r>
      <w:r>
        <w:rPr>
          <w:rFonts w:ascii="David" w:hAnsi="David" w:hint="cs"/>
          <w:sz w:val="24"/>
          <w:szCs w:val="24"/>
          <w:rtl/>
        </w:rPr>
        <w:t>ף</w:t>
      </w:r>
      <w:r w:rsidRPr="00134C14">
        <w:rPr>
          <w:rFonts w:ascii="David" w:hAnsi="David"/>
          <w:sz w:val="24"/>
          <w:szCs w:val="24"/>
          <w:rtl/>
        </w:rPr>
        <w:t xml:space="preserve"> להתהפך בטווח הבינוני. עליות השכר ורווחי ההון של העובדים בשירותי ההיי</w:t>
      </w:r>
      <w:r>
        <w:rPr>
          <w:rFonts w:ascii="David" w:hAnsi="David" w:hint="cs"/>
          <w:sz w:val="24"/>
          <w:szCs w:val="24"/>
          <w:rtl/>
        </w:rPr>
        <w:t>-</w:t>
      </w:r>
      <w:r w:rsidRPr="00134C14">
        <w:rPr>
          <w:rFonts w:ascii="David" w:hAnsi="David"/>
          <w:sz w:val="24"/>
          <w:szCs w:val="24"/>
          <w:rtl/>
        </w:rPr>
        <w:t>טק החל</w:t>
      </w:r>
      <w:r>
        <w:rPr>
          <w:rFonts w:ascii="David" w:hAnsi="David" w:hint="cs"/>
          <w:sz w:val="24"/>
          <w:szCs w:val="24"/>
          <w:rtl/>
        </w:rPr>
        <w:t>ו</w:t>
      </w:r>
      <w:r w:rsidRPr="00134C14">
        <w:rPr>
          <w:rFonts w:ascii="David" w:hAnsi="David"/>
          <w:sz w:val="24"/>
          <w:szCs w:val="24"/>
          <w:rtl/>
        </w:rPr>
        <w:t xml:space="preserve"> עוד טרם המשבר</w:t>
      </w:r>
      <w:r>
        <w:rPr>
          <w:rFonts w:ascii="David" w:hAnsi="David" w:hint="cs"/>
          <w:sz w:val="24"/>
          <w:szCs w:val="24"/>
          <w:rtl/>
        </w:rPr>
        <w:t>,</w:t>
      </w:r>
      <w:r w:rsidRPr="00134C14">
        <w:rPr>
          <w:rFonts w:ascii="David" w:hAnsi="David"/>
          <w:sz w:val="24"/>
          <w:szCs w:val="24"/>
          <w:rtl/>
        </w:rPr>
        <w:t xml:space="preserve"> ובלט</w:t>
      </w:r>
      <w:r>
        <w:rPr>
          <w:rFonts w:ascii="David" w:hAnsi="David" w:hint="cs"/>
          <w:sz w:val="24"/>
          <w:szCs w:val="24"/>
          <w:rtl/>
        </w:rPr>
        <w:t>ו</w:t>
      </w:r>
      <w:r w:rsidRPr="00134C14">
        <w:rPr>
          <w:rFonts w:ascii="David" w:hAnsi="David"/>
          <w:sz w:val="24"/>
          <w:szCs w:val="24"/>
          <w:rtl/>
        </w:rPr>
        <w:t xml:space="preserve"> ביתר שאת במהלכו, גם לעומת מדינות מפותחות אחרות. פרידמן (2017) מצא כי השכר בענפי ההיי</w:t>
      </w:r>
      <w:r>
        <w:rPr>
          <w:rFonts w:ascii="David" w:hAnsi="David" w:hint="cs"/>
          <w:sz w:val="24"/>
          <w:szCs w:val="24"/>
          <w:rtl/>
        </w:rPr>
        <w:t>-</w:t>
      </w:r>
      <w:r w:rsidRPr="00134C14">
        <w:rPr>
          <w:rFonts w:ascii="David" w:hAnsi="David"/>
          <w:sz w:val="24"/>
          <w:szCs w:val="24"/>
          <w:rtl/>
        </w:rPr>
        <w:t>טק נוטה להיות גמיש יותר מהשכר בענפים אחרים בתגובה לשינוי בביקושים וברווחיות הפירמות</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 xml:space="preserve">זאת </w:t>
      </w:r>
      <w:r w:rsidRPr="00134C14">
        <w:rPr>
          <w:rFonts w:ascii="David" w:hAnsi="David"/>
          <w:sz w:val="24"/>
          <w:szCs w:val="24"/>
          <w:rtl/>
        </w:rPr>
        <w:t xml:space="preserve">בשל </w:t>
      </w:r>
      <w:r>
        <w:rPr>
          <w:rFonts w:ascii="David" w:hAnsi="David" w:hint="cs"/>
          <w:sz w:val="24"/>
          <w:szCs w:val="24"/>
          <w:rtl/>
        </w:rPr>
        <w:t>יציבות</w:t>
      </w:r>
      <w:r w:rsidRPr="00134C14">
        <w:rPr>
          <w:rFonts w:ascii="David" w:hAnsi="David"/>
          <w:sz w:val="24"/>
          <w:szCs w:val="24"/>
          <w:rtl/>
        </w:rPr>
        <w:t xml:space="preserve"> התעסוקה </w:t>
      </w:r>
      <w:r>
        <w:rPr>
          <w:rFonts w:ascii="David" w:hAnsi="David" w:hint="cs"/>
          <w:sz w:val="24"/>
          <w:szCs w:val="24"/>
          <w:rtl/>
        </w:rPr>
        <w:t>בענפים אלו, ה</w:t>
      </w:r>
      <w:r w:rsidRPr="00134C14">
        <w:rPr>
          <w:rFonts w:ascii="David" w:hAnsi="David"/>
          <w:sz w:val="24"/>
          <w:szCs w:val="24"/>
          <w:rtl/>
        </w:rPr>
        <w:t xml:space="preserve">נובעת מההון האנושי הגבוה </w:t>
      </w:r>
      <w:r>
        <w:rPr>
          <w:rFonts w:ascii="David" w:hAnsi="David" w:hint="cs"/>
          <w:sz w:val="24"/>
          <w:szCs w:val="24"/>
          <w:rtl/>
        </w:rPr>
        <w:t>ה</w:t>
      </w:r>
      <w:r w:rsidRPr="00134C14">
        <w:rPr>
          <w:rFonts w:ascii="David" w:hAnsi="David"/>
          <w:sz w:val="24"/>
          <w:szCs w:val="24"/>
          <w:rtl/>
        </w:rPr>
        <w:t>מאפיין את עובדי</w:t>
      </w:r>
      <w:r>
        <w:rPr>
          <w:rFonts w:ascii="David" w:hAnsi="David" w:hint="cs"/>
          <w:sz w:val="24"/>
          <w:szCs w:val="24"/>
          <w:rtl/>
        </w:rPr>
        <w:t>ה</w:t>
      </w:r>
      <w:r w:rsidRPr="00134C14">
        <w:rPr>
          <w:rFonts w:ascii="David" w:hAnsi="David"/>
          <w:sz w:val="24"/>
          <w:szCs w:val="24"/>
          <w:rtl/>
        </w:rPr>
        <w:t>ם</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 xml:space="preserve"> </w:t>
      </w:r>
      <w:r w:rsidRPr="00B97C85">
        <w:rPr>
          <w:rFonts w:ascii="David" w:hAnsi="David" w:hint="cs"/>
          <w:sz w:val="24"/>
          <w:szCs w:val="24"/>
          <w:rtl/>
        </w:rPr>
        <w:t xml:space="preserve">אשר </w:t>
      </w:r>
      <w:r w:rsidRPr="00B97C85">
        <w:rPr>
          <w:rFonts w:ascii="David" w:hAnsi="David" w:hint="eastAsia"/>
          <w:sz w:val="24"/>
          <w:szCs w:val="24"/>
          <w:rtl/>
        </w:rPr>
        <w:t>תומך</w:t>
      </w:r>
      <w:r w:rsidRPr="00B97C85">
        <w:rPr>
          <w:rFonts w:ascii="David" w:hAnsi="David"/>
          <w:sz w:val="24"/>
          <w:szCs w:val="24"/>
          <w:rtl/>
        </w:rPr>
        <w:t xml:space="preserve"> </w:t>
      </w:r>
      <w:r w:rsidRPr="00B97C85">
        <w:rPr>
          <w:rFonts w:ascii="David" w:hAnsi="David" w:hint="eastAsia"/>
          <w:sz w:val="24"/>
          <w:szCs w:val="24"/>
          <w:rtl/>
        </w:rPr>
        <w:t>בשימורם</w:t>
      </w:r>
      <w:r w:rsidRPr="00B97C85">
        <w:rPr>
          <w:rFonts w:ascii="David" w:hAnsi="David"/>
          <w:sz w:val="24"/>
          <w:szCs w:val="24"/>
          <w:rtl/>
        </w:rPr>
        <w:t>.</w:t>
      </w:r>
      <w:r w:rsidRPr="00134C14">
        <w:rPr>
          <w:rFonts w:ascii="David" w:hAnsi="David"/>
          <w:sz w:val="24"/>
          <w:szCs w:val="24"/>
          <w:rtl/>
        </w:rPr>
        <w:t xml:space="preserve"> </w:t>
      </w:r>
      <w:r w:rsidRPr="00AA605A">
        <w:rPr>
          <w:rFonts w:ascii="David" w:hAnsi="David"/>
          <w:sz w:val="24"/>
          <w:szCs w:val="24"/>
          <w:rtl/>
        </w:rPr>
        <w:t>מסיבה זו י</w:t>
      </w:r>
      <w:r w:rsidRPr="00AA605A">
        <w:rPr>
          <w:rFonts w:ascii="David" w:hAnsi="David" w:hint="cs"/>
          <w:sz w:val="24"/>
          <w:szCs w:val="24"/>
          <w:rtl/>
        </w:rPr>
        <w:t>י</w:t>
      </w:r>
      <w:r w:rsidRPr="00AA605A">
        <w:rPr>
          <w:rFonts w:ascii="David" w:hAnsi="David"/>
          <w:sz w:val="24"/>
          <w:szCs w:val="24"/>
          <w:rtl/>
        </w:rPr>
        <w:t>תכן</w:t>
      </w:r>
      <w:r w:rsidRPr="00134C14">
        <w:rPr>
          <w:rFonts w:ascii="David" w:hAnsi="David"/>
          <w:sz w:val="24"/>
          <w:szCs w:val="24"/>
          <w:rtl/>
        </w:rPr>
        <w:t xml:space="preserve"> </w:t>
      </w:r>
      <w:r>
        <w:rPr>
          <w:rFonts w:ascii="David" w:hAnsi="David" w:hint="cs"/>
          <w:sz w:val="24"/>
          <w:szCs w:val="24"/>
          <w:rtl/>
        </w:rPr>
        <w:t>ש</w:t>
      </w:r>
      <w:r w:rsidRPr="00134C14">
        <w:rPr>
          <w:rFonts w:ascii="David" w:hAnsi="David"/>
          <w:sz w:val="24"/>
          <w:szCs w:val="24"/>
          <w:rtl/>
        </w:rPr>
        <w:t xml:space="preserve">קצבי הגידול </w:t>
      </w:r>
      <w:r>
        <w:rPr>
          <w:rFonts w:ascii="David" w:hAnsi="David" w:hint="cs"/>
          <w:sz w:val="24"/>
          <w:szCs w:val="24"/>
          <w:rtl/>
        </w:rPr>
        <w:t xml:space="preserve">אשר </w:t>
      </w:r>
      <w:r w:rsidRPr="00134C14">
        <w:rPr>
          <w:rFonts w:ascii="David" w:hAnsi="David"/>
          <w:sz w:val="24"/>
          <w:szCs w:val="24"/>
          <w:rtl/>
        </w:rPr>
        <w:t>נצפו בשנים האחרונות בתקבולי המס מענפי ההיי</w:t>
      </w:r>
      <w:r>
        <w:rPr>
          <w:rFonts w:ascii="David" w:hAnsi="David" w:hint="cs"/>
          <w:sz w:val="24"/>
          <w:szCs w:val="24"/>
          <w:rtl/>
        </w:rPr>
        <w:t>-</w:t>
      </w:r>
      <w:r w:rsidRPr="00134C14">
        <w:rPr>
          <w:rFonts w:ascii="David" w:hAnsi="David"/>
          <w:sz w:val="24"/>
          <w:szCs w:val="24"/>
          <w:rtl/>
        </w:rPr>
        <w:t>טק יתמ</w:t>
      </w:r>
      <w:r>
        <w:rPr>
          <w:rFonts w:ascii="David" w:hAnsi="David" w:hint="cs"/>
          <w:sz w:val="24"/>
          <w:szCs w:val="24"/>
          <w:rtl/>
        </w:rPr>
        <w:t>ת</w:t>
      </w:r>
      <w:r w:rsidRPr="00134C14">
        <w:rPr>
          <w:rFonts w:ascii="David" w:hAnsi="David"/>
          <w:sz w:val="24"/>
          <w:szCs w:val="24"/>
          <w:rtl/>
        </w:rPr>
        <w:t>נו בשנים הקרוב</w:t>
      </w:r>
      <w:r>
        <w:rPr>
          <w:rFonts w:ascii="David" w:hAnsi="David" w:hint="cs"/>
          <w:sz w:val="24"/>
          <w:szCs w:val="24"/>
          <w:rtl/>
        </w:rPr>
        <w:t xml:space="preserve">ות, </w:t>
      </w:r>
      <w:r w:rsidRPr="00134C14">
        <w:rPr>
          <w:rFonts w:ascii="David" w:hAnsi="David"/>
          <w:sz w:val="24"/>
          <w:szCs w:val="24"/>
          <w:rtl/>
        </w:rPr>
        <w:t>ואולי אף יתוקנו כלפי מטה.</w:t>
      </w:r>
      <w:r w:rsidRPr="00134C14">
        <w:rPr>
          <w:rStyle w:val="a6"/>
          <w:rFonts w:ascii="David" w:hAnsi="David"/>
          <w:sz w:val="24"/>
          <w:szCs w:val="24"/>
          <w:rtl/>
        </w:rPr>
        <w:footnoteReference w:id="5"/>
      </w:r>
      <w:r w:rsidRPr="00134C14">
        <w:rPr>
          <w:rFonts w:ascii="David" w:hAnsi="David"/>
          <w:sz w:val="24"/>
          <w:szCs w:val="24"/>
          <w:rtl/>
        </w:rPr>
        <w:t xml:space="preserve"> גם קצב התחלות הבני</w:t>
      </w:r>
      <w:r>
        <w:rPr>
          <w:rFonts w:ascii="David" w:hAnsi="David" w:hint="cs"/>
          <w:sz w:val="24"/>
          <w:szCs w:val="24"/>
          <w:rtl/>
        </w:rPr>
        <w:t>י</w:t>
      </w:r>
      <w:r w:rsidRPr="00134C14">
        <w:rPr>
          <w:rFonts w:ascii="David" w:hAnsi="David"/>
          <w:sz w:val="24"/>
          <w:szCs w:val="24"/>
          <w:rtl/>
        </w:rPr>
        <w:t xml:space="preserve">ה ושיווקי הקרקעות </w:t>
      </w:r>
      <w:r>
        <w:rPr>
          <w:rFonts w:ascii="David" w:hAnsi="David" w:hint="cs"/>
          <w:sz w:val="24"/>
          <w:szCs w:val="24"/>
          <w:rtl/>
        </w:rPr>
        <w:t>הואצו</w:t>
      </w:r>
      <w:r w:rsidRPr="00134C14">
        <w:rPr>
          <w:rFonts w:ascii="David" w:hAnsi="David"/>
          <w:sz w:val="24"/>
          <w:szCs w:val="24"/>
          <w:rtl/>
        </w:rPr>
        <w:t xml:space="preserve"> בשנים האחרונות</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ו</w:t>
      </w:r>
      <w:r w:rsidRPr="00134C14">
        <w:rPr>
          <w:rFonts w:ascii="David" w:hAnsi="David"/>
          <w:sz w:val="24"/>
          <w:szCs w:val="24"/>
          <w:rtl/>
        </w:rPr>
        <w:t>קשה לדעת מהו האופק של תהליך זה, מתי הוא יסתיים</w:t>
      </w:r>
      <w:r>
        <w:rPr>
          <w:rFonts w:ascii="David" w:hAnsi="David" w:hint="cs"/>
          <w:sz w:val="24"/>
          <w:szCs w:val="24"/>
          <w:rtl/>
        </w:rPr>
        <w:t>,</w:t>
      </w:r>
      <w:r w:rsidRPr="00134C14">
        <w:rPr>
          <w:rFonts w:ascii="David" w:hAnsi="David"/>
          <w:sz w:val="24"/>
          <w:szCs w:val="24"/>
          <w:rtl/>
        </w:rPr>
        <w:t xml:space="preserve"> ואם י</w:t>
      </w:r>
      <w:r>
        <w:rPr>
          <w:rFonts w:ascii="David" w:hAnsi="David" w:hint="cs"/>
          <w:sz w:val="24"/>
          <w:szCs w:val="24"/>
          <w:rtl/>
        </w:rPr>
        <w:t>י</w:t>
      </w:r>
      <w:r w:rsidRPr="00134C14">
        <w:rPr>
          <w:rFonts w:ascii="David" w:hAnsi="David"/>
          <w:sz w:val="24"/>
          <w:szCs w:val="24"/>
          <w:rtl/>
        </w:rPr>
        <w:t>קטע בצורה חדה או ידעך בהדרג</w:t>
      </w:r>
      <w:r>
        <w:rPr>
          <w:rFonts w:ascii="David" w:hAnsi="David" w:hint="cs"/>
          <w:sz w:val="24"/>
          <w:szCs w:val="24"/>
          <w:rtl/>
        </w:rPr>
        <w:t>ה.</w:t>
      </w:r>
      <w:r w:rsidRPr="00134C14">
        <w:rPr>
          <w:rFonts w:ascii="David" w:hAnsi="David"/>
          <w:sz w:val="24"/>
          <w:szCs w:val="24"/>
          <w:rtl/>
        </w:rPr>
        <w:t xml:space="preserve"> לכן אנו מתייחסים ל</w:t>
      </w:r>
      <w:r>
        <w:rPr>
          <w:rFonts w:ascii="David" w:hAnsi="David" w:hint="cs"/>
          <w:sz w:val="24"/>
          <w:szCs w:val="24"/>
          <w:rtl/>
        </w:rPr>
        <w:t>תקבולים הנובעים מ</w:t>
      </w:r>
      <w:r w:rsidRPr="00134C14">
        <w:rPr>
          <w:rFonts w:ascii="David" w:hAnsi="David"/>
          <w:sz w:val="24"/>
          <w:szCs w:val="24"/>
          <w:rtl/>
        </w:rPr>
        <w:t xml:space="preserve">גורמים </w:t>
      </w:r>
      <w:r>
        <w:rPr>
          <w:rFonts w:ascii="David" w:hAnsi="David" w:hint="cs"/>
          <w:sz w:val="24"/>
          <w:szCs w:val="24"/>
          <w:rtl/>
        </w:rPr>
        <w:t xml:space="preserve">חריגים </w:t>
      </w:r>
      <w:r w:rsidRPr="00134C14">
        <w:rPr>
          <w:rFonts w:ascii="David" w:hAnsi="David"/>
          <w:sz w:val="24"/>
          <w:szCs w:val="24"/>
          <w:rtl/>
        </w:rPr>
        <w:t>אלו כ</w:t>
      </w:r>
      <w:r>
        <w:rPr>
          <w:rFonts w:ascii="David" w:hAnsi="David" w:hint="cs"/>
          <w:sz w:val="24"/>
          <w:szCs w:val="24"/>
          <w:rtl/>
        </w:rPr>
        <w:t>אל הכנסות שיש ספק לגבי התמדתן</w:t>
      </w:r>
      <w:r w:rsidRPr="00134C14">
        <w:rPr>
          <w:rFonts w:ascii="David" w:hAnsi="David"/>
          <w:sz w:val="24"/>
          <w:szCs w:val="24"/>
          <w:rtl/>
        </w:rPr>
        <w:t>.</w:t>
      </w:r>
    </w:p>
    <w:p w:rsidR="00060B17" w:rsidRPr="00134C14" w:rsidRDefault="00060B17" w:rsidP="00060B17">
      <w:pPr>
        <w:spacing w:before="240"/>
        <w:rPr>
          <w:rFonts w:ascii="David" w:hAnsi="David"/>
          <w:sz w:val="24"/>
          <w:szCs w:val="24"/>
          <w:rtl/>
        </w:rPr>
      </w:pPr>
      <w:r w:rsidRPr="00B97C85">
        <w:rPr>
          <w:rFonts w:ascii="David" w:hAnsi="David"/>
          <w:b/>
          <w:bCs/>
          <w:sz w:val="24"/>
          <w:szCs w:val="24"/>
          <w:rtl/>
        </w:rPr>
        <w:t>הגורמים החד-פעמיים</w:t>
      </w:r>
      <w:r w:rsidRPr="00134C14">
        <w:rPr>
          <w:rFonts w:ascii="David" w:hAnsi="David"/>
          <w:b/>
          <w:bCs/>
          <w:sz w:val="24"/>
          <w:szCs w:val="24"/>
          <w:rtl/>
        </w:rPr>
        <w:t>:</w:t>
      </w:r>
      <w:r w:rsidRPr="00134C14">
        <w:rPr>
          <w:rFonts w:ascii="David" w:hAnsi="David"/>
          <w:sz w:val="24"/>
          <w:szCs w:val="24"/>
          <w:rtl/>
        </w:rPr>
        <w:t xml:space="preserve"> אלו משקפים אירועים ח</w:t>
      </w:r>
      <w:r>
        <w:rPr>
          <w:rFonts w:ascii="David" w:hAnsi="David"/>
          <w:sz w:val="24"/>
          <w:szCs w:val="24"/>
          <w:rtl/>
        </w:rPr>
        <w:t>ד-פעמיים חריגים בגודלם כגון עסק</w:t>
      </w:r>
      <w:r>
        <w:rPr>
          <w:rFonts w:ascii="David" w:hAnsi="David" w:hint="cs"/>
          <w:sz w:val="24"/>
          <w:szCs w:val="24"/>
          <w:rtl/>
        </w:rPr>
        <w:t>או</w:t>
      </w:r>
      <w:r w:rsidRPr="00134C14">
        <w:rPr>
          <w:rFonts w:ascii="David" w:hAnsi="David"/>
          <w:sz w:val="24"/>
          <w:szCs w:val="24"/>
          <w:rtl/>
        </w:rPr>
        <w:t>ת גדולות</w:t>
      </w:r>
      <w:r>
        <w:rPr>
          <w:rFonts w:ascii="David" w:hAnsi="David" w:hint="cs"/>
          <w:sz w:val="24"/>
          <w:szCs w:val="24"/>
          <w:rtl/>
        </w:rPr>
        <w:t>,</w:t>
      </w:r>
      <w:r w:rsidRPr="00134C14">
        <w:rPr>
          <w:rFonts w:ascii="David" w:hAnsi="David"/>
          <w:sz w:val="24"/>
          <w:szCs w:val="24"/>
          <w:rtl/>
        </w:rPr>
        <w:t xml:space="preserve"> המחייבות תשלום מס בהיקף ניכר, תגובה של נישומים לצעדי חקיקה או רגולציה ושומות לחברות גדולות בגין אירועים שקרו בשנים קודמות. חלק מההכנסות השנה נובעות כנראה משינויי חקיקה שגרמו להקדמה של פעילות כלכלית. </w:t>
      </w:r>
      <w:r>
        <w:rPr>
          <w:rFonts w:ascii="David" w:hAnsi="David" w:hint="cs"/>
          <w:sz w:val="24"/>
          <w:szCs w:val="24"/>
          <w:rtl/>
        </w:rPr>
        <w:t xml:space="preserve">כך, </w:t>
      </w:r>
      <w:r w:rsidRPr="00134C14">
        <w:rPr>
          <w:rFonts w:ascii="David" w:hAnsi="David"/>
          <w:sz w:val="24"/>
          <w:szCs w:val="24"/>
          <w:rtl/>
        </w:rPr>
        <w:t>למשל, העלאת המס על משקיעים בתחום הנדל"ן בחודש נובמבר עודדה הקדמה של ביצוע עסקות נדל"ן לחודשים שקדמו להעלאת המס</w:t>
      </w:r>
      <w:r>
        <w:rPr>
          <w:rFonts w:ascii="David" w:hAnsi="David" w:hint="cs"/>
          <w:sz w:val="24"/>
          <w:szCs w:val="24"/>
          <w:rtl/>
        </w:rPr>
        <w:t>;</w:t>
      </w:r>
      <w:r w:rsidRPr="00134C14">
        <w:rPr>
          <w:rFonts w:ascii="David" w:hAnsi="David"/>
          <w:sz w:val="24"/>
          <w:szCs w:val="24"/>
          <w:rtl/>
        </w:rPr>
        <w:t xml:space="preserve"> משמע ש</w:t>
      </w:r>
      <w:r>
        <w:rPr>
          <w:rFonts w:ascii="David" w:hAnsi="David" w:hint="cs"/>
          <w:sz w:val="24"/>
          <w:szCs w:val="24"/>
          <w:rtl/>
        </w:rPr>
        <w:t>סכומים</w:t>
      </w:r>
      <w:r w:rsidRPr="00134C14">
        <w:rPr>
          <w:rFonts w:ascii="David" w:hAnsi="David"/>
          <w:sz w:val="24"/>
          <w:szCs w:val="24"/>
          <w:rtl/>
        </w:rPr>
        <w:t xml:space="preserve"> </w:t>
      </w:r>
      <w:r>
        <w:rPr>
          <w:rFonts w:ascii="David" w:hAnsi="David" w:hint="cs"/>
          <w:sz w:val="24"/>
          <w:szCs w:val="24"/>
          <w:rtl/>
        </w:rPr>
        <w:t>אשר</w:t>
      </w:r>
      <w:r w:rsidRPr="00134C14">
        <w:rPr>
          <w:rFonts w:ascii="David" w:hAnsi="David"/>
          <w:sz w:val="24"/>
          <w:szCs w:val="24"/>
          <w:rtl/>
        </w:rPr>
        <w:t xml:space="preserve"> </w:t>
      </w:r>
      <w:r>
        <w:rPr>
          <w:rFonts w:ascii="David" w:hAnsi="David" w:hint="cs"/>
          <w:sz w:val="24"/>
          <w:szCs w:val="24"/>
          <w:rtl/>
        </w:rPr>
        <w:t xml:space="preserve">היו </w:t>
      </w:r>
      <w:r w:rsidRPr="00134C14">
        <w:rPr>
          <w:rFonts w:ascii="David" w:hAnsi="David"/>
          <w:sz w:val="24"/>
          <w:szCs w:val="24"/>
          <w:rtl/>
        </w:rPr>
        <w:t>אמור</w:t>
      </w:r>
      <w:r>
        <w:rPr>
          <w:rFonts w:ascii="David" w:hAnsi="David" w:hint="cs"/>
          <w:sz w:val="24"/>
          <w:szCs w:val="24"/>
          <w:rtl/>
        </w:rPr>
        <w:t>ים</w:t>
      </w:r>
      <w:r w:rsidRPr="00134C14">
        <w:rPr>
          <w:rFonts w:ascii="David" w:hAnsi="David"/>
          <w:sz w:val="24"/>
          <w:szCs w:val="24"/>
          <w:rtl/>
        </w:rPr>
        <w:t xml:space="preserve"> לה</w:t>
      </w:r>
      <w:r>
        <w:rPr>
          <w:rFonts w:ascii="David" w:hAnsi="David" w:hint="cs"/>
          <w:sz w:val="24"/>
          <w:szCs w:val="24"/>
          <w:rtl/>
        </w:rPr>
        <w:t>יגבות</w:t>
      </w:r>
      <w:r w:rsidRPr="00134C14">
        <w:rPr>
          <w:rFonts w:ascii="David" w:hAnsi="David"/>
          <w:sz w:val="24"/>
          <w:szCs w:val="24"/>
          <w:rtl/>
        </w:rPr>
        <w:t xml:space="preserve"> </w:t>
      </w:r>
      <w:r>
        <w:rPr>
          <w:rFonts w:ascii="David" w:hAnsi="David" w:hint="cs"/>
          <w:sz w:val="24"/>
          <w:szCs w:val="24"/>
          <w:rtl/>
        </w:rPr>
        <w:t>בגין</w:t>
      </w:r>
      <w:r>
        <w:rPr>
          <w:rFonts w:ascii="David" w:hAnsi="David"/>
          <w:sz w:val="24"/>
          <w:szCs w:val="24"/>
          <w:rtl/>
        </w:rPr>
        <w:t xml:space="preserve"> אותן עסק</w:t>
      </w:r>
      <w:r>
        <w:rPr>
          <w:rFonts w:ascii="David" w:hAnsi="David" w:hint="cs"/>
          <w:sz w:val="24"/>
          <w:szCs w:val="24"/>
          <w:rtl/>
        </w:rPr>
        <w:t>א</w:t>
      </w:r>
      <w:r w:rsidRPr="00134C14">
        <w:rPr>
          <w:rFonts w:ascii="David" w:hAnsi="David"/>
          <w:sz w:val="24"/>
          <w:szCs w:val="24"/>
          <w:rtl/>
        </w:rPr>
        <w:t xml:space="preserve">ות במועד מאוחר </w:t>
      </w:r>
      <w:r>
        <w:rPr>
          <w:rFonts w:ascii="David" w:hAnsi="David" w:hint="cs"/>
          <w:sz w:val="24"/>
          <w:szCs w:val="24"/>
          <w:rtl/>
        </w:rPr>
        <w:t xml:space="preserve">נגבו </w:t>
      </w:r>
      <w:r w:rsidRPr="00520339">
        <w:rPr>
          <w:rFonts w:ascii="David" w:hAnsi="David" w:hint="eastAsia"/>
          <w:sz w:val="24"/>
          <w:szCs w:val="24"/>
          <w:rtl/>
        </w:rPr>
        <w:t>ב</w:t>
      </w:r>
      <w:r w:rsidRPr="00520339">
        <w:rPr>
          <w:rFonts w:ascii="David" w:hAnsi="David"/>
          <w:sz w:val="24"/>
          <w:szCs w:val="24"/>
          <w:rtl/>
        </w:rPr>
        <w:t>-2021</w:t>
      </w:r>
      <w:r w:rsidRPr="00134C14">
        <w:rPr>
          <w:rFonts w:ascii="David" w:hAnsi="David"/>
          <w:sz w:val="24"/>
          <w:szCs w:val="24"/>
          <w:rtl/>
        </w:rPr>
        <w:t xml:space="preserve"> באופן חריג. רכיב זה הוא בלתי צפוי, קצר מועד</w:t>
      </w:r>
      <w:r>
        <w:rPr>
          <w:rFonts w:ascii="David" w:hAnsi="David" w:hint="cs"/>
          <w:sz w:val="24"/>
          <w:szCs w:val="24"/>
          <w:rtl/>
        </w:rPr>
        <w:t>,</w:t>
      </w:r>
      <w:r w:rsidRPr="00134C14">
        <w:rPr>
          <w:rFonts w:ascii="David" w:hAnsi="David"/>
          <w:sz w:val="24"/>
          <w:szCs w:val="24"/>
          <w:rtl/>
        </w:rPr>
        <w:t xml:space="preserve"> ועל</w:t>
      </w:r>
      <w:r>
        <w:rPr>
          <w:rFonts w:ascii="David" w:hAnsi="David"/>
          <w:sz w:val="24"/>
          <w:szCs w:val="24"/>
          <w:rtl/>
        </w:rPr>
        <w:t>ול אף לפגוע בהכנסות בשנים הבאות</w:t>
      </w:r>
      <w:r w:rsidRPr="00134C14">
        <w:rPr>
          <w:rFonts w:ascii="David" w:hAnsi="David"/>
          <w:sz w:val="24"/>
          <w:szCs w:val="24"/>
          <w:rtl/>
        </w:rPr>
        <w:t>.</w:t>
      </w:r>
      <w:r w:rsidRPr="00134C14">
        <w:rPr>
          <w:rStyle w:val="a6"/>
          <w:rFonts w:ascii="David" w:hAnsi="David"/>
          <w:sz w:val="24"/>
          <w:szCs w:val="24"/>
          <w:rtl/>
        </w:rPr>
        <w:footnoteReference w:id="6"/>
      </w:r>
      <w:r w:rsidRPr="00134C14">
        <w:rPr>
          <w:rFonts w:ascii="David" w:hAnsi="David"/>
          <w:sz w:val="24"/>
          <w:szCs w:val="24"/>
          <w:rtl/>
        </w:rPr>
        <w:t xml:space="preserve"> </w:t>
      </w:r>
    </w:p>
    <w:p w:rsidR="00060B17" w:rsidRPr="00134C14" w:rsidRDefault="00060B17" w:rsidP="00060B17">
      <w:pPr>
        <w:spacing w:before="240"/>
        <w:rPr>
          <w:rFonts w:ascii="David" w:hAnsi="David"/>
          <w:b/>
          <w:bCs/>
          <w:i/>
          <w:iCs/>
          <w:sz w:val="24"/>
          <w:szCs w:val="24"/>
          <w:rtl/>
        </w:rPr>
      </w:pPr>
      <w:r w:rsidRPr="00134C14">
        <w:rPr>
          <w:rFonts w:ascii="David" w:hAnsi="David"/>
          <w:sz w:val="24"/>
          <w:szCs w:val="24"/>
          <w:rtl/>
        </w:rPr>
        <w:t xml:space="preserve">כאשר מחשבים את הגידול בין 2019 לשנים הבאות יש להתחשב </w:t>
      </w:r>
      <w:r>
        <w:rPr>
          <w:rFonts w:ascii="David" w:hAnsi="David" w:hint="cs"/>
          <w:sz w:val="24"/>
          <w:szCs w:val="24"/>
          <w:rtl/>
        </w:rPr>
        <w:t xml:space="preserve">גם </w:t>
      </w:r>
      <w:r w:rsidRPr="00134C14">
        <w:rPr>
          <w:rFonts w:ascii="David" w:hAnsi="David"/>
          <w:sz w:val="24"/>
          <w:szCs w:val="24"/>
          <w:rtl/>
        </w:rPr>
        <w:t>ב</w:t>
      </w:r>
      <w:r>
        <w:rPr>
          <w:rFonts w:ascii="David" w:hAnsi="David" w:hint="cs"/>
          <w:sz w:val="24"/>
          <w:szCs w:val="24"/>
          <w:rtl/>
        </w:rPr>
        <w:t>עובדה</w:t>
      </w:r>
      <w:r w:rsidRPr="00134C14">
        <w:rPr>
          <w:rFonts w:ascii="David" w:hAnsi="David"/>
          <w:sz w:val="24"/>
          <w:szCs w:val="24"/>
          <w:rtl/>
        </w:rPr>
        <w:t xml:space="preserve"> שב-2019 מסי ההכנסה נטו היו נמוכים יחסית בשל החזרי מס מוגדלים בסכום של כ-2.5 מיליארדי </w:t>
      </w:r>
      <w:r>
        <w:rPr>
          <w:rFonts w:ascii="David" w:hAnsi="David" w:hint="cs"/>
          <w:sz w:val="24"/>
          <w:szCs w:val="24"/>
          <w:rtl/>
        </w:rPr>
        <w:t>ש"ח</w:t>
      </w:r>
      <w:r w:rsidRPr="00134C14">
        <w:rPr>
          <w:rFonts w:ascii="David" w:hAnsi="David"/>
          <w:sz w:val="24"/>
          <w:szCs w:val="24"/>
          <w:rtl/>
        </w:rPr>
        <w:t>. אלו נבעו מהורדת שיעור מס החברות בשנים הקודמות ומהטבות זמניות</w:t>
      </w:r>
      <w:r>
        <w:rPr>
          <w:rFonts w:ascii="David" w:hAnsi="David" w:hint="cs"/>
          <w:sz w:val="24"/>
          <w:szCs w:val="24"/>
          <w:rtl/>
        </w:rPr>
        <w:t>,</w:t>
      </w:r>
      <w:r w:rsidRPr="00134C14">
        <w:rPr>
          <w:rFonts w:ascii="David" w:hAnsi="David"/>
          <w:sz w:val="24"/>
          <w:szCs w:val="24"/>
          <w:rtl/>
        </w:rPr>
        <w:t xml:space="preserve"> שניתנו בשנת 2017 </w:t>
      </w:r>
      <w:r>
        <w:rPr>
          <w:rFonts w:ascii="David" w:hAnsi="David" w:hint="cs"/>
          <w:sz w:val="24"/>
          <w:szCs w:val="24"/>
          <w:rtl/>
        </w:rPr>
        <w:t xml:space="preserve">על </w:t>
      </w:r>
      <w:r w:rsidRPr="00134C14">
        <w:rPr>
          <w:rFonts w:ascii="David" w:hAnsi="David"/>
          <w:sz w:val="24"/>
          <w:szCs w:val="24"/>
          <w:rtl/>
        </w:rPr>
        <w:t>משיכת דיווידנדים (כולל לבעלי "חברות ארנק") ועודדו הקדמה של תשלומי מס מ-2018</w:t>
      </w:r>
      <w:r>
        <w:rPr>
          <w:rFonts w:ascii="David" w:hAnsi="David" w:hint="cs"/>
          <w:sz w:val="24"/>
          <w:szCs w:val="24"/>
          <w:rtl/>
        </w:rPr>
        <w:t>–</w:t>
      </w:r>
      <w:r w:rsidRPr="00134C14">
        <w:rPr>
          <w:rFonts w:ascii="David" w:hAnsi="David"/>
          <w:sz w:val="24"/>
          <w:szCs w:val="24"/>
          <w:rtl/>
        </w:rPr>
        <w:t>2019 ל-2017</w:t>
      </w:r>
      <w:r>
        <w:rPr>
          <w:rFonts w:ascii="David" w:hAnsi="David" w:hint="cs"/>
          <w:sz w:val="24"/>
          <w:szCs w:val="24"/>
          <w:rtl/>
        </w:rPr>
        <w:t>.</w:t>
      </w:r>
      <w:r w:rsidRPr="00134C14">
        <w:rPr>
          <w:rFonts w:ascii="David" w:hAnsi="David"/>
          <w:sz w:val="24"/>
          <w:szCs w:val="24"/>
          <w:rtl/>
        </w:rPr>
        <w:t xml:space="preserve"> </w:t>
      </w:r>
    </w:p>
    <w:p w:rsidR="00060B17" w:rsidRPr="00134C14" w:rsidRDefault="00060B17" w:rsidP="00060B17">
      <w:pPr>
        <w:spacing w:before="240"/>
        <w:ind w:left="84"/>
        <w:rPr>
          <w:rFonts w:ascii="David" w:hAnsi="David"/>
          <w:b/>
          <w:bCs/>
          <w:sz w:val="24"/>
          <w:szCs w:val="24"/>
          <w:rtl/>
        </w:rPr>
      </w:pPr>
      <w:r w:rsidRPr="00134C14">
        <w:rPr>
          <w:rFonts w:ascii="David" w:hAnsi="David"/>
          <w:b/>
          <w:bCs/>
          <w:sz w:val="24"/>
          <w:szCs w:val="24"/>
          <w:rtl/>
        </w:rPr>
        <w:t>תרומת הרכיבים על-פי מודל המס</w:t>
      </w:r>
      <w:r>
        <w:rPr>
          <w:rFonts w:ascii="David" w:hAnsi="David" w:hint="cs"/>
          <w:b/>
          <w:bCs/>
          <w:sz w:val="24"/>
          <w:szCs w:val="24"/>
          <w:rtl/>
        </w:rPr>
        <w:t xml:space="preserve"> של בנק ישראל</w:t>
      </w:r>
    </w:p>
    <w:p w:rsidR="00060B17" w:rsidRPr="00134C14" w:rsidRDefault="00060B17" w:rsidP="00060B17">
      <w:pPr>
        <w:spacing w:before="240"/>
        <w:rPr>
          <w:rFonts w:ascii="David" w:hAnsi="David"/>
          <w:sz w:val="24"/>
          <w:szCs w:val="24"/>
          <w:rtl/>
        </w:rPr>
      </w:pPr>
      <w:r w:rsidRPr="00134C14">
        <w:rPr>
          <w:rFonts w:ascii="David" w:hAnsi="David"/>
          <w:sz w:val="24"/>
          <w:szCs w:val="24"/>
          <w:rtl/>
        </w:rPr>
        <w:t>מודל המס, המסייע בגיבוש תחזית הכנסות המדינה כחלק מתחזית חטיבת המחקר</w:t>
      </w:r>
      <w:r>
        <w:rPr>
          <w:rFonts w:ascii="David" w:hAnsi="David" w:hint="cs"/>
          <w:sz w:val="24"/>
          <w:szCs w:val="24"/>
          <w:rtl/>
        </w:rPr>
        <w:t xml:space="preserve"> של בנק ישראל</w:t>
      </w:r>
      <w:r w:rsidRPr="00134C14">
        <w:rPr>
          <w:rFonts w:ascii="David" w:hAnsi="David"/>
          <w:sz w:val="24"/>
          <w:szCs w:val="24"/>
          <w:rtl/>
        </w:rPr>
        <w:t>, מכיל מספר משתני פעילות ומספר משתנים פיננסיים</w:t>
      </w:r>
      <w:r>
        <w:rPr>
          <w:rFonts w:ascii="David" w:hAnsi="David" w:hint="cs"/>
          <w:sz w:val="24"/>
          <w:szCs w:val="24"/>
          <w:rtl/>
        </w:rPr>
        <w:t xml:space="preserve"> שנועדו</w:t>
      </w:r>
      <w:r w:rsidRPr="00134C14">
        <w:rPr>
          <w:rFonts w:ascii="David" w:hAnsi="David"/>
          <w:sz w:val="24"/>
          <w:szCs w:val="24"/>
          <w:rtl/>
        </w:rPr>
        <w:t xml:space="preserve"> להסביר את תקבולי המס בעבר ולחזות את תקבולי המס בטווח הבינוני. המודל כולל את התוצר הרבעוני בפיגור, את התוצר בפיגור של חמישה רבעונים, </w:t>
      </w:r>
      <w:r>
        <w:rPr>
          <w:rFonts w:ascii="David" w:hAnsi="David" w:hint="cs"/>
          <w:sz w:val="24"/>
          <w:szCs w:val="24"/>
          <w:rtl/>
        </w:rPr>
        <w:t xml:space="preserve">את צמיחת התוצר בפיגור של שני רבעונים, </w:t>
      </w:r>
      <w:r w:rsidRPr="00134C14">
        <w:rPr>
          <w:rFonts w:ascii="David" w:hAnsi="David"/>
          <w:sz w:val="24"/>
          <w:szCs w:val="24"/>
          <w:rtl/>
        </w:rPr>
        <w:t>את החלק בשכר הממוצע ש</w:t>
      </w:r>
      <w:r>
        <w:rPr>
          <w:rFonts w:ascii="David" w:hAnsi="David" w:hint="cs"/>
          <w:sz w:val="24"/>
          <w:szCs w:val="24"/>
          <w:rtl/>
        </w:rPr>
        <w:t>אינו</w:t>
      </w:r>
      <w:r w:rsidRPr="00134C14">
        <w:rPr>
          <w:rFonts w:ascii="David" w:hAnsi="David"/>
          <w:sz w:val="24"/>
          <w:szCs w:val="24"/>
          <w:rtl/>
        </w:rPr>
        <w:t xml:space="preserve"> מוסבר על</w:t>
      </w:r>
      <w:r>
        <w:rPr>
          <w:rFonts w:ascii="David" w:hAnsi="David" w:hint="cs"/>
          <w:sz w:val="24"/>
          <w:szCs w:val="24"/>
          <w:rtl/>
        </w:rPr>
        <w:t xml:space="preserve"> </w:t>
      </w:r>
      <w:r w:rsidRPr="00134C14">
        <w:rPr>
          <w:rFonts w:ascii="David" w:hAnsi="David"/>
          <w:sz w:val="24"/>
          <w:szCs w:val="24"/>
          <w:rtl/>
        </w:rPr>
        <w:t xml:space="preserve">ידי גידול </w:t>
      </w:r>
      <w:r>
        <w:rPr>
          <w:rFonts w:ascii="David" w:hAnsi="David" w:hint="cs"/>
          <w:sz w:val="24"/>
          <w:szCs w:val="24"/>
          <w:rtl/>
        </w:rPr>
        <w:t>ה</w:t>
      </w:r>
      <w:r w:rsidRPr="00134C14">
        <w:rPr>
          <w:rFonts w:ascii="David" w:hAnsi="David"/>
          <w:sz w:val="24"/>
          <w:szCs w:val="24"/>
          <w:rtl/>
        </w:rPr>
        <w:t>תוצר ואת החלק ביבוא מוצרי הצריכה ש</w:t>
      </w:r>
      <w:r>
        <w:rPr>
          <w:rFonts w:ascii="David" w:hAnsi="David" w:hint="cs"/>
          <w:sz w:val="24"/>
          <w:szCs w:val="24"/>
          <w:rtl/>
        </w:rPr>
        <w:t>אינו</w:t>
      </w:r>
      <w:r w:rsidRPr="00134C14">
        <w:rPr>
          <w:rFonts w:ascii="David" w:hAnsi="David"/>
          <w:sz w:val="24"/>
          <w:szCs w:val="24"/>
          <w:rtl/>
        </w:rPr>
        <w:t xml:space="preserve"> מוסבר על</w:t>
      </w:r>
      <w:r>
        <w:rPr>
          <w:rFonts w:ascii="David" w:hAnsi="David" w:hint="cs"/>
          <w:sz w:val="24"/>
          <w:szCs w:val="24"/>
          <w:rtl/>
        </w:rPr>
        <w:t xml:space="preserve"> </w:t>
      </w:r>
      <w:r w:rsidRPr="00134C14">
        <w:rPr>
          <w:rFonts w:ascii="David" w:hAnsi="David"/>
          <w:sz w:val="24"/>
          <w:szCs w:val="24"/>
          <w:rtl/>
        </w:rPr>
        <w:t>ידי גידול</w:t>
      </w:r>
      <w:r>
        <w:rPr>
          <w:rFonts w:ascii="David" w:hAnsi="David" w:hint="cs"/>
          <w:sz w:val="24"/>
          <w:szCs w:val="24"/>
          <w:rtl/>
        </w:rPr>
        <w:t xml:space="preserve"> </w:t>
      </w:r>
      <w:r w:rsidRPr="00134C14">
        <w:rPr>
          <w:rFonts w:ascii="David" w:hAnsi="David"/>
          <w:sz w:val="24"/>
          <w:szCs w:val="24"/>
          <w:rtl/>
        </w:rPr>
        <w:t xml:space="preserve">תוצר, משתני עונתיות (דמי לרבעונים מסוימים), </w:t>
      </w:r>
      <w:r>
        <w:rPr>
          <w:rFonts w:ascii="David" w:hAnsi="David" w:hint="cs"/>
          <w:sz w:val="24"/>
          <w:szCs w:val="24"/>
          <w:rtl/>
        </w:rPr>
        <w:t xml:space="preserve">את </w:t>
      </w:r>
      <w:r w:rsidRPr="00134C14">
        <w:rPr>
          <w:rFonts w:ascii="David" w:hAnsi="David"/>
          <w:sz w:val="24"/>
          <w:szCs w:val="24"/>
          <w:rtl/>
        </w:rPr>
        <w:t xml:space="preserve">ריבית בנק ישראל, את השינוי במדד המניות הכללי בבורסה </w:t>
      </w:r>
      <w:r>
        <w:rPr>
          <w:rFonts w:ascii="David" w:hAnsi="David" w:hint="cs"/>
          <w:sz w:val="24"/>
          <w:szCs w:val="24"/>
          <w:rtl/>
        </w:rPr>
        <w:t>בתל אביב</w:t>
      </w:r>
      <w:r w:rsidRPr="00134C14">
        <w:rPr>
          <w:rFonts w:ascii="David" w:hAnsi="David"/>
          <w:sz w:val="24"/>
          <w:szCs w:val="24"/>
          <w:rtl/>
        </w:rPr>
        <w:t xml:space="preserve">, </w:t>
      </w:r>
      <w:r>
        <w:rPr>
          <w:rFonts w:ascii="David" w:hAnsi="David" w:hint="cs"/>
          <w:sz w:val="24"/>
          <w:szCs w:val="24"/>
          <w:rtl/>
        </w:rPr>
        <w:t xml:space="preserve">את </w:t>
      </w:r>
      <w:r w:rsidRPr="00134C14">
        <w:rPr>
          <w:rFonts w:ascii="David" w:hAnsi="David"/>
          <w:sz w:val="24"/>
          <w:szCs w:val="24"/>
          <w:rtl/>
        </w:rPr>
        <w:t xml:space="preserve">השינוי </w:t>
      </w:r>
      <w:r>
        <w:rPr>
          <w:rFonts w:ascii="David" w:hAnsi="David" w:hint="cs"/>
          <w:sz w:val="24"/>
          <w:szCs w:val="24"/>
          <w:rtl/>
        </w:rPr>
        <w:t>בו</w:t>
      </w:r>
      <w:r>
        <w:rPr>
          <w:rFonts w:ascii="David" w:hAnsi="David"/>
          <w:sz w:val="24"/>
          <w:szCs w:val="24"/>
          <w:rtl/>
        </w:rPr>
        <w:t xml:space="preserve"> בפיגור ואת מספר העסק</w:t>
      </w:r>
      <w:r>
        <w:rPr>
          <w:rFonts w:ascii="David" w:hAnsi="David" w:hint="cs"/>
          <w:sz w:val="24"/>
          <w:szCs w:val="24"/>
          <w:rtl/>
        </w:rPr>
        <w:t>א</w:t>
      </w:r>
      <w:r w:rsidRPr="00134C14">
        <w:rPr>
          <w:rFonts w:ascii="David" w:hAnsi="David"/>
          <w:sz w:val="24"/>
          <w:szCs w:val="24"/>
          <w:rtl/>
        </w:rPr>
        <w:t>ות בדירות</w:t>
      </w:r>
      <w:r>
        <w:rPr>
          <w:rFonts w:ascii="David" w:hAnsi="David" w:hint="cs"/>
          <w:sz w:val="24"/>
          <w:szCs w:val="24"/>
          <w:rtl/>
        </w:rPr>
        <w:t xml:space="preserve"> בפיגור של שלושה רבעונים</w:t>
      </w:r>
      <w:r w:rsidRPr="00134C14">
        <w:rPr>
          <w:rFonts w:ascii="David" w:hAnsi="David"/>
          <w:sz w:val="24"/>
          <w:szCs w:val="24"/>
          <w:rtl/>
        </w:rPr>
        <w:t>.</w:t>
      </w:r>
      <w:r w:rsidRPr="00134C14">
        <w:rPr>
          <w:rStyle w:val="a6"/>
          <w:rFonts w:ascii="David" w:hAnsi="David"/>
          <w:sz w:val="24"/>
          <w:szCs w:val="24"/>
          <w:rtl/>
        </w:rPr>
        <w:footnoteReference w:id="7"/>
      </w:r>
      <w:r w:rsidRPr="00134C14">
        <w:rPr>
          <w:rFonts w:ascii="David" w:hAnsi="David"/>
          <w:sz w:val="24"/>
          <w:szCs w:val="24"/>
          <w:rtl/>
        </w:rPr>
        <w:t xml:space="preserve"> בחינה של הפרמטרים הנאמדים במודל עד 2019 לעומת אמידה</w:t>
      </w:r>
      <w:r>
        <w:rPr>
          <w:rFonts w:ascii="David" w:hAnsi="David" w:hint="cs"/>
          <w:sz w:val="24"/>
          <w:szCs w:val="24"/>
          <w:rtl/>
        </w:rPr>
        <w:t>-</w:t>
      </w:r>
      <w:r w:rsidRPr="00134C14">
        <w:rPr>
          <w:rFonts w:ascii="David" w:hAnsi="David"/>
          <w:sz w:val="24"/>
          <w:szCs w:val="24"/>
          <w:rtl/>
        </w:rPr>
        <w:t>מחדש באמצעות הנתונים בפועל עד 2021 העלתה כי לא חלו שינויים משמעותיים בפרמטרים עצמם, ועל כ</w:t>
      </w:r>
      <w:r>
        <w:rPr>
          <w:rFonts w:ascii="David" w:hAnsi="David" w:hint="cs"/>
          <w:sz w:val="24"/>
          <w:szCs w:val="24"/>
          <w:rtl/>
        </w:rPr>
        <w:t>ן</w:t>
      </w:r>
      <w:r w:rsidRPr="00134C14">
        <w:rPr>
          <w:rFonts w:ascii="David" w:hAnsi="David"/>
          <w:sz w:val="24"/>
          <w:szCs w:val="24"/>
          <w:rtl/>
        </w:rPr>
        <w:t xml:space="preserve"> ניתן לייחס את מרבית השינויים בגביית המסים בשנתיים האחרונות לשינויים חדים במשתנים עצמם.</w:t>
      </w:r>
    </w:p>
    <w:p w:rsidR="00060B17" w:rsidRPr="00134C14" w:rsidRDefault="00060B17" w:rsidP="00060B17">
      <w:pPr>
        <w:shd w:val="clear" w:color="auto" w:fill="FFFFFF" w:themeFill="background1"/>
        <w:spacing w:before="240"/>
        <w:rPr>
          <w:rFonts w:ascii="David" w:hAnsi="David"/>
          <w:sz w:val="24"/>
          <w:szCs w:val="24"/>
          <w:rtl/>
        </w:rPr>
      </w:pPr>
      <w:r w:rsidRPr="00134C14">
        <w:rPr>
          <w:rFonts w:ascii="David" w:hAnsi="David"/>
          <w:sz w:val="24"/>
          <w:szCs w:val="24"/>
          <w:rtl/>
        </w:rPr>
        <w:t>כדי להבין את תרומת המשתנים המקרו</w:t>
      </w:r>
      <w:r>
        <w:rPr>
          <w:rFonts w:ascii="David" w:hAnsi="David" w:hint="cs"/>
          <w:sz w:val="24"/>
          <w:szCs w:val="24"/>
          <w:rtl/>
        </w:rPr>
        <w:t>-</w:t>
      </w:r>
      <w:r w:rsidRPr="00134C14">
        <w:rPr>
          <w:rFonts w:ascii="David" w:hAnsi="David"/>
          <w:sz w:val="24"/>
          <w:szCs w:val="24"/>
          <w:rtl/>
        </w:rPr>
        <w:t xml:space="preserve">כלכליים לשינויים בגביית המסים </w:t>
      </w:r>
      <w:r>
        <w:rPr>
          <w:rFonts w:ascii="David" w:hAnsi="David" w:hint="cs"/>
          <w:sz w:val="24"/>
          <w:szCs w:val="24"/>
          <w:rtl/>
        </w:rPr>
        <w:t>השתמשנו בפרמטרים שנאמדו ב</w:t>
      </w:r>
      <w:r w:rsidRPr="00134C14">
        <w:rPr>
          <w:rFonts w:ascii="David" w:hAnsi="David"/>
          <w:sz w:val="24"/>
          <w:szCs w:val="24"/>
          <w:rtl/>
        </w:rPr>
        <w:t xml:space="preserve">מודל המס </w:t>
      </w:r>
      <w:r>
        <w:rPr>
          <w:rFonts w:ascii="David" w:hAnsi="David" w:hint="cs"/>
          <w:sz w:val="24"/>
          <w:szCs w:val="24"/>
          <w:rtl/>
        </w:rPr>
        <w:t>כדי להפיק שני סוגי תחזיות</w:t>
      </w:r>
      <w:r w:rsidRPr="00134C14">
        <w:rPr>
          <w:rFonts w:ascii="David" w:hAnsi="David"/>
          <w:sz w:val="24"/>
          <w:szCs w:val="24"/>
          <w:rtl/>
        </w:rPr>
        <w:t xml:space="preserve">: </w:t>
      </w:r>
      <w:r>
        <w:rPr>
          <w:rFonts w:ascii="David" w:hAnsi="David" w:hint="cs"/>
          <w:sz w:val="24"/>
          <w:szCs w:val="24"/>
          <w:rtl/>
        </w:rPr>
        <w:t xml:space="preserve">בתחזית </w:t>
      </w:r>
      <w:r w:rsidRPr="00134C14">
        <w:rPr>
          <w:rFonts w:ascii="David" w:hAnsi="David"/>
          <w:sz w:val="24"/>
          <w:szCs w:val="24"/>
          <w:rtl/>
        </w:rPr>
        <w:t xml:space="preserve">הראשונה </w:t>
      </w:r>
      <w:r>
        <w:rPr>
          <w:rFonts w:ascii="David" w:hAnsi="David" w:hint="cs"/>
          <w:sz w:val="24"/>
          <w:szCs w:val="24"/>
          <w:rtl/>
        </w:rPr>
        <w:t xml:space="preserve">הנחנו </w:t>
      </w:r>
      <w:r w:rsidRPr="00134C14">
        <w:rPr>
          <w:rFonts w:ascii="David" w:hAnsi="David"/>
          <w:sz w:val="24"/>
          <w:szCs w:val="24"/>
          <w:rtl/>
        </w:rPr>
        <w:t>שהמשתנים המסבירים במודל היו מתפתחים ב-2020 –2021 בדומה להת</w:t>
      </w:r>
      <w:r>
        <w:rPr>
          <w:rFonts w:ascii="David" w:hAnsi="David" w:hint="cs"/>
          <w:sz w:val="24"/>
          <w:szCs w:val="24"/>
          <w:rtl/>
        </w:rPr>
        <w:t>פתחו</w:t>
      </w:r>
      <w:r w:rsidRPr="00134C14">
        <w:rPr>
          <w:rFonts w:ascii="David" w:hAnsi="David"/>
          <w:sz w:val="24"/>
          <w:szCs w:val="24"/>
          <w:rtl/>
        </w:rPr>
        <w:t>תם ב-</w:t>
      </w:r>
      <w:r>
        <w:rPr>
          <w:rFonts w:ascii="David" w:hAnsi="David" w:hint="cs"/>
          <w:sz w:val="24"/>
          <w:szCs w:val="24"/>
          <w:rtl/>
        </w:rPr>
        <w:t>2015</w:t>
      </w:r>
      <w:r>
        <w:rPr>
          <w:rFonts w:ascii="David" w:hAnsi="David"/>
          <w:sz w:val="24"/>
          <w:szCs w:val="24"/>
          <w:rtl/>
        </w:rPr>
        <w:t>–</w:t>
      </w:r>
      <w:r>
        <w:rPr>
          <w:rFonts w:ascii="David" w:hAnsi="David" w:hint="cs"/>
          <w:sz w:val="24"/>
          <w:szCs w:val="24"/>
          <w:rtl/>
        </w:rPr>
        <w:t xml:space="preserve">2019 </w:t>
      </w:r>
      <w:r w:rsidRPr="00134C14">
        <w:rPr>
          <w:rFonts w:ascii="David" w:hAnsi="David"/>
          <w:sz w:val="24"/>
          <w:szCs w:val="24"/>
          <w:rtl/>
        </w:rPr>
        <w:t xml:space="preserve"> (תקופת שגרה</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ש</w:t>
      </w:r>
      <w:r w:rsidRPr="00134C14">
        <w:rPr>
          <w:rFonts w:ascii="David" w:hAnsi="David"/>
          <w:sz w:val="24"/>
          <w:szCs w:val="24"/>
          <w:rtl/>
        </w:rPr>
        <w:t>בה המשק פעל בסביבה של תעסוקה מלאה)</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ובתחזית השנייה השתמשנו ב</w:t>
      </w:r>
      <w:r w:rsidRPr="00134C14">
        <w:rPr>
          <w:rFonts w:ascii="David" w:hAnsi="David"/>
          <w:sz w:val="24"/>
          <w:szCs w:val="24"/>
          <w:rtl/>
        </w:rPr>
        <w:t>התפתחות המשתנים בפועל. ההפרש בין התרומה החזויה של כל משתנה על סמך הפעילות בעבר ובין</w:t>
      </w:r>
      <w:r>
        <w:rPr>
          <w:rFonts w:ascii="David" w:hAnsi="David" w:hint="cs"/>
          <w:sz w:val="24"/>
          <w:szCs w:val="24"/>
          <w:rtl/>
        </w:rPr>
        <w:t xml:space="preserve"> תרומתו</w:t>
      </w:r>
      <w:r w:rsidRPr="00134C14">
        <w:rPr>
          <w:rFonts w:ascii="David" w:hAnsi="David"/>
          <w:sz w:val="24"/>
          <w:szCs w:val="24"/>
          <w:rtl/>
        </w:rPr>
        <w:t xml:space="preserve"> בפועל מאפשר לכמת את תרומתם של השינויים המקרו-כלכליים לגביית המסים הכוללת.</w:t>
      </w:r>
    </w:p>
    <w:p w:rsidR="00060B17" w:rsidRPr="00134C14" w:rsidRDefault="00060B17" w:rsidP="00060B17">
      <w:pPr>
        <w:shd w:val="clear" w:color="auto" w:fill="FFFFFF" w:themeFill="background1"/>
        <w:spacing w:before="240"/>
        <w:rPr>
          <w:rFonts w:ascii="David" w:hAnsi="David"/>
          <w:sz w:val="24"/>
          <w:szCs w:val="24"/>
          <w:rtl/>
        </w:rPr>
      </w:pPr>
      <w:r w:rsidRPr="00134C14">
        <w:rPr>
          <w:rFonts w:ascii="David" w:hAnsi="David"/>
          <w:sz w:val="24"/>
          <w:szCs w:val="24"/>
          <w:rtl/>
        </w:rPr>
        <w:t>התרגיל, שסיכום תוצאותיו מו</w:t>
      </w:r>
      <w:r>
        <w:rPr>
          <w:rFonts w:ascii="David" w:hAnsi="David" w:hint="cs"/>
          <w:sz w:val="24"/>
          <w:szCs w:val="24"/>
          <w:rtl/>
        </w:rPr>
        <w:t>בא</w:t>
      </w:r>
      <w:r w:rsidRPr="00134C14">
        <w:rPr>
          <w:rFonts w:ascii="David" w:hAnsi="David"/>
          <w:sz w:val="24"/>
          <w:szCs w:val="24"/>
          <w:rtl/>
        </w:rPr>
        <w:t xml:space="preserve"> בלוח 1, מדגיש, מחד גיסא, את המשקל הגדול של התכווצות התוצר בצמצום גביית המסים ב-2020 (טור 2), ומאידך</w:t>
      </w:r>
      <w:r>
        <w:rPr>
          <w:rFonts w:ascii="David" w:hAnsi="David" w:hint="cs"/>
          <w:sz w:val="24"/>
          <w:szCs w:val="24"/>
          <w:rtl/>
        </w:rPr>
        <w:t xml:space="preserve"> </w:t>
      </w:r>
      <w:r>
        <w:rPr>
          <w:rFonts w:ascii="David" w:hAnsi="David" w:hint="eastAsia"/>
          <w:sz w:val="24"/>
          <w:szCs w:val="24"/>
          <w:rtl/>
        </w:rPr>
        <w:t>–</w:t>
      </w:r>
      <w:r>
        <w:rPr>
          <w:rFonts w:ascii="David" w:hAnsi="David" w:hint="cs"/>
          <w:sz w:val="24"/>
          <w:szCs w:val="24"/>
          <w:rtl/>
        </w:rPr>
        <w:t xml:space="preserve"> </w:t>
      </w:r>
      <w:r w:rsidRPr="00134C14">
        <w:rPr>
          <w:rFonts w:ascii="David" w:hAnsi="David"/>
          <w:sz w:val="24"/>
          <w:szCs w:val="24"/>
          <w:rtl/>
        </w:rPr>
        <w:t xml:space="preserve">את השפעת ההתאוששות החזקה </w:t>
      </w:r>
      <w:r>
        <w:rPr>
          <w:rFonts w:ascii="David" w:hAnsi="David" w:hint="cs"/>
          <w:sz w:val="24"/>
          <w:szCs w:val="24"/>
          <w:rtl/>
        </w:rPr>
        <w:t xml:space="preserve">ב-2021, </w:t>
      </w:r>
      <w:r w:rsidRPr="00134C14">
        <w:rPr>
          <w:rFonts w:ascii="David" w:hAnsi="David"/>
          <w:sz w:val="24"/>
          <w:szCs w:val="24"/>
          <w:rtl/>
        </w:rPr>
        <w:t xml:space="preserve">שקיזזה את רוב התרומה השלילית </w:t>
      </w:r>
      <w:r>
        <w:rPr>
          <w:rFonts w:ascii="David" w:hAnsi="David" w:hint="cs"/>
          <w:sz w:val="24"/>
          <w:szCs w:val="24"/>
          <w:rtl/>
        </w:rPr>
        <w:t>שבקודמתה</w:t>
      </w:r>
      <w:r w:rsidRPr="00134C14">
        <w:rPr>
          <w:rFonts w:ascii="David" w:hAnsi="David"/>
          <w:sz w:val="24"/>
          <w:szCs w:val="24"/>
          <w:rtl/>
        </w:rPr>
        <w:t xml:space="preserve"> (טור 3). שני משתנים נוספים שתרמו רבות לגידול </w:t>
      </w:r>
      <w:r>
        <w:rPr>
          <w:rFonts w:ascii="David" w:hAnsi="David" w:hint="cs"/>
          <w:sz w:val="24"/>
          <w:szCs w:val="24"/>
          <w:rtl/>
        </w:rPr>
        <w:t>ה</w:t>
      </w:r>
      <w:r w:rsidRPr="00134C14">
        <w:rPr>
          <w:rFonts w:ascii="David" w:hAnsi="David"/>
          <w:sz w:val="24"/>
          <w:szCs w:val="24"/>
          <w:rtl/>
        </w:rPr>
        <w:t xml:space="preserve">גבייה ב-2021 הם הגידול החד </w:t>
      </w:r>
      <w:r>
        <w:rPr>
          <w:rFonts w:ascii="David" w:hAnsi="David" w:hint="cs"/>
          <w:sz w:val="24"/>
          <w:szCs w:val="24"/>
          <w:rtl/>
        </w:rPr>
        <w:t xml:space="preserve">של </w:t>
      </w:r>
      <w:r w:rsidRPr="00134C14">
        <w:rPr>
          <w:rFonts w:ascii="David" w:hAnsi="David"/>
          <w:sz w:val="24"/>
          <w:szCs w:val="24"/>
          <w:rtl/>
        </w:rPr>
        <w:t xml:space="preserve">יבוא מוצרי הצריכה, מעבר לחלק שמוסבר </w:t>
      </w:r>
      <w:r>
        <w:rPr>
          <w:rFonts w:ascii="David" w:hAnsi="David" w:hint="cs"/>
          <w:sz w:val="24"/>
          <w:szCs w:val="24"/>
          <w:rtl/>
        </w:rPr>
        <w:t>ב</w:t>
      </w:r>
      <w:r w:rsidRPr="00134C14">
        <w:rPr>
          <w:rFonts w:ascii="David" w:hAnsi="David"/>
          <w:sz w:val="24"/>
          <w:szCs w:val="24"/>
          <w:rtl/>
        </w:rPr>
        <w:t>קשר ארוך הטווח עם התוצר, ומחירי המניות בבורסה בת</w:t>
      </w:r>
      <w:r>
        <w:rPr>
          <w:rFonts w:ascii="David" w:hAnsi="David" w:hint="cs"/>
          <w:sz w:val="24"/>
          <w:szCs w:val="24"/>
          <w:rtl/>
        </w:rPr>
        <w:t>ל אביב</w:t>
      </w:r>
      <w:r w:rsidRPr="00134C14">
        <w:rPr>
          <w:rFonts w:ascii="David" w:hAnsi="David"/>
          <w:sz w:val="24"/>
          <w:szCs w:val="24"/>
          <w:rtl/>
        </w:rPr>
        <w:t>. לעומת התרומה השלילית הגדולה של התוצר</w:t>
      </w:r>
      <w:r w:rsidRPr="00CA0624">
        <w:rPr>
          <w:rFonts w:ascii="David" w:hAnsi="David"/>
          <w:sz w:val="24"/>
          <w:szCs w:val="24"/>
          <w:rtl/>
        </w:rPr>
        <w:t xml:space="preserve"> </w:t>
      </w:r>
      <w:r w:rsidRPr="00134C14">
        <w:rPr>
          <w:rFonts w:ascii="David" w:hAnsi="David"/>
          <w:sz w:val="24"/>
          <w:szCs w:val="24"/>
          <w:rtl/>
        </w:rPr>
        <w:t xml:space="preserve">ב-2020, </w:t>
      </w:r>
      <w:r>
        <w:rPr>
          <w:rFonts w:ascii="David" w:hAnsi="David" w:hint="cs"/>
          <w:sz w:val="24"/>
          <w:szCs w:val="24"/>
          <w:rtl/>
        </w:rPr>
        <w:t xml:space="preserve">ההשפעות השליליות של </w:t>
      </w:r>
      <w:r w:rsidRPr="00134C14">
        <w:rPr>
          <w:rFonts w:ascii="David" w:hAnsi="David"/>
          <w:sz w:val="24"/>
          <w:szCs w:val="24"/>
          <w:rtl/>
        </w:rPr>
        <w:t>היבוא ו</w:t>
      </w:r>
      <w:r>
        <w:rPr>
          <w:rFonts w:ascii="David" w:hAnsi="David" w:hint="cs"/>
          <w:sz w:val="24"/>
          <w:szCs w:val="24"/>
          <w:rtl/>
        </w:rPr>
        <w:t xml:space="preserve">של </w:t>
      </w:r>
      <w:r>
        <w:rPr>
          <w:rFonts w:ascii="David" w:hAnsi="David"/>
          <w:sz w:val="24"/>
          <w:szCs w:val="24"/>
          <w:rtl/>
        </w:rPr>
        <w:t xml:space="preserve">מחירי המניות </w:t>
      </w:r>
      <w:r w:rsidRPr="00134C14">
        <w:rPr>
          <w:rFonts w:ascii="David" w:hAnsi="David"/>
          <w:sz w:val="24"/>
          <w:szCs w:val="24"/>
          <w:rtl/>
        </w:rPr>
        <w:t xml:space="preserve">על הגבייה </w:t>
      </w:r>
      <w:r>
        <w:rPr>
          <w:rFonts w:ascii="David" w:hAnsi="David" w:hint="cs"/>
          <w:sz w:val="24"/>
          <w:szCs w:val="24"/>
          <w:rtl/>
        </w:rPr>
        <w:t xml:space="preserve">היו זניחות, </w:t>
      </w:r>
      <w:r w:rsidRPr="007C584B">
        <w:rPr>
          <w:rFonts w:ascii="David" w:hAnsi="David" w:hint="eastAsia"/>
          <w:sz w:val="24"/>
          <w:szCs w:val="24"/>
          <w:rtl/>
        </w:rPr>
        <w:t>ואילו</w:t>
      </w:r>
      <w:r w:rsidRPr="007C584B">
        <w:rPr>
          <w:rFonts w:ascii="David" w:hAnsi="David"/>
          <w:sz w:val="24"/>
          <w:szCs w:val="24"/>
          <w:rtl/>
        </w:rPr>
        <w:t xml:space="preserve"> </w:t>
      </w:r>
      <w:r w:rsidRPr="007C584B">
        <w:rPr>
          <w:rFonts w:ascii="David" w:hAnsi="David" w:hint="eastAsia"/>
          <w:sz w:val="24"/>
          <w:szCs w:val="24"/>
          <w:rtl/>
        </w:rPr>
        <w:t>ב</w:t>
      </w:r>
      <w:r w:rsidRPr="007C584B">
        <w:rPr>
          <w:rFonts w:ascii="David" w:hAnsi="David"/>
          <w:sz w:val="24"/>
          <w:szCs w:val="24"/>
          <w:rtl/>
        </w:rPr>
        <w:t>-2021</w:t>
      </w:r>
      <w:r w:rsidRPr="00134C14">
        <w:rPr>
          <w:rFonts w:ascii="David" w:hAnsi="David"/>
          <w:sz w:val="24"/>
          <w:szCs w:val="24"/>
          <w:rtl/>
        </w:rPr>
        <w:t xml:space="preserve"> הם </w:t>
      </w:r>
      <w:r w:rsidRPr="00520339">
        <w:rPr>
          <w:rFonts w:ascii="David" w:hAnsi="David"/>
          <w:sz w:val="24"/>
          <w:szCs w:val="24"/>
          <w:rtl/>
        </w:rPr>
        <w:t xml:space="preserve">גדלו </w:t>
      </w:r>
      <w:r w:rsidRPr="00520339">
        <w:rPr>
          <w:rFonts w:ascii="David" w:hAnsi="David" w:hint="eastAsia"/>
          <w:sz w:val="24"/>
          <w:szCs w:val="24"/>
          <w:rtl/>
        </w:rPr>
        <w:t>בשיעור</w:t>
      </w:r>
      <w:r>
        <w:rPr>
          <w:rFonts w:ascii="David" w:hAnsi="David" w:hint="cs"/>
          <w:sz w:val="24"/>
          <w:szCs w:val="24"/>
          <w:rtl/>
        </w:rPr>
        <w:t xml:space="preserve"> </w:t>
      </w:r>
      <w:r w:rsidRPr="00520339">
        <w:rPr>
          <w:rFonts w:ascii="David" w:hAnsi="David"/>
          <w:sz w:val="24"/>
          <w:szCs w:val="24"/>
          <w:rtl/>
        </w:rPr>
        <w:t>חריג</w:t>
      </w:r>
      <w:r>
        <w:rPr>
          <w:rFonts w:ascii="David" w:hAnsi="David" w:hint="cs"/>
          <w:sz w:val="24"/>
          <w:szCs w:val="24"/>
          <w:rtl/>
        </w:rPr>
        <w:t>.</w:t>
      </w:r>
      <w:r w:rsidRPr="00134C14">
        <w:rPr>
          <w:rFonts w:ascii="David" w:hAnsi="David"/>
          <w:sz w:val="24"/>
          <w:szCs w:val="24"/>
          <w:rtl/>
        </w:rPr>
        <w:t xml:space="preserve"> </w:t>
      </w:r>
      <w:r>
        <w:rPr>
          <w:rFonts w:ascii="David" w:hAnsi="David" w:hint="cs"/>
          <w:sz w:val="24"/>
          <w:szCs w:val="24"/>
          <w:rtl/>
        </w:rPr>
        <w:t>נוסף על שני משתנים אלו, גידול מספרן של העסקאות בדירות מסביר גבייה הולכת וגוברת של מסי</w:t>
      </w:r>
      <w:r w:rsidRPr="00B05A17">
        <w:rPr>
          <w:rFonts w:ascii="David" w:hAnsi="David" w:hint="cs"/>
          <w:sz w:val="24"/>
          <w:szCs w:val="24"/>
          <w:rtl/>
        </w:rPr>
        <w:t xml:space="preserve">ם כבר משנת 2019, אך גביית מסי הנדל"ן </w:t>
      </w:r>
      <w:r>
        <w:rPr>
          <w:rFonts w:ascii="David" w:hAnsi="David" w:hint="cs"/>
          <w:sz w:val="24"/>
          <w:szCs w:val="24"/>
          <w:rtl/>
        </w:rPr>
        <w:t xml:space="preserve">(שבח ורכוש) </w:t>
      </w:r>
      <w:r w:rsidRPr="00B05A17">
        <w:rPr>
          <w:rFonts w:ascii="David" w:hAnsi="David" w:hint="cs"/>
          <w:sz w:val="24"/>
          <w:szCs w:val="24"/>
          <w:rtl/>
        </w:rPr>
        <w:t xml:space="preserve">בשנת 2021 הייתה </w:t>
      </w:r>
      <w:r>
        <w:rPr>
          <w:rFonts w:ascii="David" w:hAnsi="David" w:hint="cs"/>
          <w:sz w:val="24"/>
          <w:szCs w:val="24"/>
          <w:rtl/>
        </w:rPr>
        <w:t>חריגה במיוחד (</w:t>
      </w:r>
      <w:r w:rsidRPr="00B05A17">
        <w:rPr>
          <w:rFonts w:ascii="David" w:hAnsi="David" w:hint="cs"/>
          <w:sz w:val="24"/>
          <w:szCs w:val="24"/>
          <w:rtl/>
        </w:rPr>
        <w:t xml:space="preserve">כ-7 מיליארדי ש"ח מעבר </w:t>
      </w:r>
      <w:r>
        <w:rPr>
          <w:rFonts w:ascii="David" w:hAnsi="David" w:hint="cs"/>
          <w:sz w:val="24"/>
          <w:szCs w:val="24"/>
          <w:rtl/>
        </w:rPr>
        <w:t>לגידול סך המסים שמוסבר על-ידי מספר העסקאות החריג)</w:t>
      </w:r>
      <w:r w:rsidRPr="00B05A17">
        <w:rPr>
          <w:rFonts w:ascii="David" w:hAnsi="David" w:hint="cs"/>
          <w:sz w:val="24"/>
          <w:szCs w:val="24"/>
          <w:rtl/>
        </w:rPr>
        <w:t>.</w:t>
      </w:r>
      <w:r>
        <w:rPr>
          <w:rFonts w:ascii="David" w:hAnsi="David" w:hint="cs"/>
          <w:sz w:val="24"/>
          <w:szCs w:val="24"/>
          <w:rtl/>
        </w:rPr>
        <w:t xml:space="preserve"> </w:t>
      </w:r>
      <w:r w:rsidRPr="00134C14">
        <w:rPr>
          <w:rFonts w:ascii="David" w:hAnsi="David"/>
          <w:sz w:val="24"/>
          <w:szCs w:val="24"/>
          <w:rtl/>
        </w:rPr>
        <w:t xml:space="preserve">ההשוואה של תרומת המשתנים </w:t>
      </w:r>
      <w:r>
        <w:rPr>
          <w:rFonts w:ascii="David" w:hAnsi="David" w:hint="cs"/>
          <w:sz w:val="24"/>
          <w:szCs w:val="24"/>
          <w:rtl/>
        </w:rPr>
        <w:t>האמורים</w:t>
      </w:r>
      <w:r w:rsidRPr="00134C14">
        <w:rPr>
          <w:rFonts w:ascii="David" w:hAnsi="David"/>
          <w:sz w:val="24"/>
          <w:szCs w:val="24"/>
          <w:rtl/>
        </w:rPr>
        <w:t xml:space="preserve"> לגבייה המוגברת לעומת תרומתם בשנות השגרה מרמזת כי מדובר ב</w:t>
      </w:r>
      <w:r>
        <w:rPr>
          <w:rFonts w:ascii="David" w:hAnsi="David" w:hint="cs"/>
          <w:sz w:val="24"/>
          <w:szCs w:val="24"/>
          <w:rtl/>
        </w:rPr>
        <w:t xml:space="preserve">מימוש של רווחים חריגים </w:t>
      </w:r>
      <w:r w:rsidRPr="00134C14">
        <w:rPr>
          <w:rFonts w:ascii="David" w:hAnsi="David"/>
          <w:sz w:val="24"/>
          <w:szCs w:val="24"/>
          <w:rtl/>
        </w:rPr>
        <w:t>בשוק ההון</w:t>
      </w:r>
      <w:r>
        <w:rPr>
          <w:rFonts w:ascii="David" w:hAnsi="David" w:hint="cs"/>
          <w:sz w:val="24"/>
          <w:szCs w:val="24"/>
          <w:rtl/>
        </w:rPr>
        <w:t>,</w:t>
      </w:r>
      <w:r w:rsidRPr="00134C14">
        <w:rPr>
          <w:rFonts w:ascii="David" w:hAnsi="David"/>
          <w:sz w:val="24"/>
          <w:szCs w:val="24"/>
          <w:rtl/>
        </w:rPr>
        <w:t xml:space="preserve"> ברמ</w:t>
      </w:r>
      <w:r>
        <w:rPr>
          <w:rFonts w:ascii="David" w:hAnsi="David" w:hint="cs"/>
          <w:sz w:val="24"/>
          <w:szCs w:val="24"/>
          <w:rtl/>
        </w:rPr>
        <w:t>ות</w:t>
      </w:r>
      <w:r w:rsidRPr="00134C14">
        <w:rPr>
          <w:rFonts w:ascii="David" w:hAnsi="David"/>
          <w:sz w:val="24"/>
          <w:szCs w:val="24"/>
          <w:rtl/>
        </w:rPr>
        <w:t xml:space="preserve"> חריג</w:t>
      </w:r>
      <w:r>
        <w:rPr>
          <w:rFonts w:ascii="David" w:hAnsi="David" w:hint="cs"/>
          <w:sz w:val="24"/>
          <w:szCs w:val="24"/>
          <w:rtl/>
        </w:rPr>
        <w:t>ות</w:t>
      </w:r>
      <w:r w:rsidRPr="00134C14">
        <w:rPr>
          <w:rFonts w:ascii="David" w:hAnsi="David"/>
          <w:sz w:val="24"/>
          <w:szCs w:val="24"/>
          <w:rtl/>
        </w:rPr>
        <w:t xml:space="preserve"> של יבוא מוצרי צריכה</w:t>
      </w:r>
      <w:r>
        <w:rPr>
          <w:rFonts w:ascii="David" w:hAnsi="David" w:hint="cs"/>
          <w:sz w:val="24"/>
          <w:szCs w:val="24"/>
          <w:rtl/>
        </w:rPr>
        <w:t xml:space="preserve"> ועסקאות בדירות</w:t>
      </w:r>
      <w:r>
        <w:rPr>
          <w:rFonts w:ascii="David" w:hAnsi="David"/>
          <w:sz w:val="24"/>
          <w:szCs w:val="24"/>
          <w:rtl/>
        </w:rPr>
        <w:t>, ש</w:t>
      </w:r>
      <w:r>
        <w:rPr>
          <w:rFonts w:ascii="David" w:hAnsi="David" w:hint="cs"/>
          <w:sz w:val="24"/>
          <w:szCs w:val="24"/>
          <w:rtl/>
        </w:rPr>
        <w:t>עלולים</w:t>
      </w:r>
      <w:r w:rsidRPr="00134C14">
        <w:rPr>
          <w:rFonts w:ascii="David" w:hAnsi="David"/>
          <w:sz w:val="24"/>
          <w:szCs w:val="24"/>
          <w:rtl/>
        </w:rPr>
        <w:t xml:space="preserve"> להצטמצם בשנים הבאות.</w:t>
      </w:r>
      <w:r>
        <w:rPr>
          <w:rFonts w:ascii="David" w:hAnsi="David" w:hint="cs"/>
          <w:sz w:val="24"/>
          <w:szCs w:val="24"/>
          <w:rtl/>
        </w:rPr>
        <w:t xml:space="preserve"> </w:t>
      </w:r>
    </w:p>
    <w:p w:rsidR="00060B17" w:rsidRDefault="00060B17" w:rsidP="00060B17">
      <w:pPr>
        <w:shd w:val="clear" w:color="auto" w:fill="FFFFFF" w:themeFill="background1"/>
        <w:spacing w:before="240"/>
        <w:rPr>
          <w:rFonts w:ascii="David" w:hAnsi="David"/>
          <w:b/>
          <w:bCs/>
          <w:sz w:val="24"/>
          <w:szCs w:val="24"/>
          <w:rtl/>
        </w:rPr>
      </w:pPr>
      <w:r>
        <w:rPr>
          <w:rFonts w:ascii="David" w:hAnsi="David" w:hint="cs"/>
          <w:sz w:val="24"/>
          <w:szCs w:val="24"/>
          <w:rtl/>
        </w:rPr>
        <w:t>ל</w:t>
      </w:r>
      <w:r w:rsidRPr="00134C14">
        <w:rPr>
          <w:rFonts w:ascii="David" w:hAnsi="David"/>
          <w:sz w:val="24"/>
          <w:szCs w:val="24"/>
          <w:rtl/>
        </w:rPr>
        <w:t>סיכום, בהסתכלות דו-שנתית, לפער של כ-67</w:t>
      </w:r>
      <w:r w:rsidRPr="00134C14">
        <w:rPr>
          <w:rFonts w:ascii="David" w:hAnsi="David"/>
          <w:color w:val="FF0000"/>
          <w:sz w:val="24"/>
          <w:szCs w:val="24"/>
          <w:rtl/>
        </w:rPr>
        <w:t xml:space="preserve"> </w:t>
      </w:r>
      <w:r w:rsidRPr="00134C14">
        <w:rPr>
          <w:rFonts w:ascii="David" w:hAnsi="David"/>
          <w:sz w:val="24"/>
          <w:szCs w:val="24"/>
          <w:rtl/>
        </w:rPr>
        <w:t xml:space="preserve">מיליארדי </w:t>
      </w:r>
      <w:r>
        <w:rPr>
          <w:rFonts w:ascii="David" w:hAnsi="David" w:hint="cs"/>
          <w:sz w:val="24"/>
          <w:szCs w:val="24"/>
          <w:rtl/>
        </w:rPr>
        <w:t>ש"ח</w:t>
      </w:r>
      <w:r w:rsidRPr="00134C14">
        <w:rPr>
          <w:rFonts w:ascii="David" w:hAnsi="David"/>
          <w:sz w:val="24"/>
          <w:szCs w:val="24"/>
          <w:rtl/>
        </w:rPr>
        <w:t xml:space="preserve"> בגביית המסים בשנת 2021 לעומת 2019 </w:t>
      </w:r>
      <w:r>
        <w:rPr>
          <w:rFonts w:ascii="David" w:hAnsi="David" w:hint="cs"/>
          <w:sz w:val="24"/>
          <w:szCs w:val="24"/>
          <w:rtl/>
        </w:rPr>
        <w:t>תרם</w:t>
      </w:r>
      <w:r w:rsidRPr="00134C14">
        <w:rPr>
          <w:rFonts w:ascii="David" w:hAnsi="David"/>
          <w:sz w:val="24"/>
          <w:szCs w:val="24"/>
          <w:rtl/>
        </w:rPr>
        <w:t xml:space="preserve"> הגידול ה"טבעי" של תקבולי המס כ-</w:t>
      </w:r>
      <w:r>
        <w:rPr>
          <w:rFonts w:ascii="David" w:hAnsi="David" w:hint="cs"/>
          <w:sz w:val="24"/>
          <w:szCs w:val="24"/>
          <w:rtl/>
        </w:rPr>
        <w:t>34</w:t>
      </w:r>
      <w:r w:rsidRPr="00134C14">
        <w:rPr>
          <w:rFonts w:ascii="David" w:hAnsi="David"/>
          <w:sz w:val="24"/>
          <w:szCs w:val="24"/>
          <w:rtl/>
        </w:rPr>
        <w:t xml:space="preserve"> מיליארדי </w:t>
      </w:r>
      <w:r>
        <w:rPr>
          <w:rFonts w:ascii="David" w:hAnsi="David" w:hint="cs"/>
          <w:sz w:val="24"/>
          <w:szCs w:val="24"/>
          <w:rtl/>
        </w:rPr>
        <w:t>ש"ח</w:t>
      </w:r>
      <w:r w:rsidRPr="00134C14">
        <w:rPr>
          <w:rFonts w:ascii="David" w:hAnsi="David"/>
          <w:sz w:val="24"/>
          <w:szCs w:val="24"/>
          <w:rtl/>
        </w:rPr>
        <w:t xml:space="preserve"> לאורך שנתיים</w:t>
      </w:r>
      <w:r>
        <w:rPr>
          <w:rFonts w:ascii="David" w:hAnsi="David" w:hint="cs"/>
          <w:sz w:val="24"/>
          <w:szCs w:val="24"/>
          <w:rtl/>
        </w:rPr>
        <w:t>. במהלך שנתיים אלו לא בוצעו שינויי חקיקה משמעותיים, כך שעיקר הגידול המבני של תקבולי המס נבע מאותו גידול "טבעי" שהיה מתרחש אילו משתני המקרו השתנו בהתאם למגמות העבר</w:t>
      </w:r>
      <w:r w:rsidRPr="00134C14">
        <w:rPr>
          <w:rFonts w:ascii="David" w:hAnsi="David"/>
          <w:sz w:val="24"/>
          <w:szCs w:val="24"/>
          <w:rtl/>
        </w:rPr>
        <w:t>. הגורמים ה</w:t>
      </w:r>
      <w:r>
        <w:rPr>
          <w:rFonts w:ascii="David" w:hAnsi="David" w:hint="cs"/>
          <w:sz w:val="24"/>
          <w:szCs w:val="24"/>
          <w:rtl/>
        </w:rPr>
        <w:t>חריגים</w:t>
      </w:r>
      <w:r w:rsidRPr="00134C14">
        <w:rPr>
          <w:rFonts w:ascii="David" w:hAnsi="David"/>
          <w:sz w:val="24"/>
          <w:szCs w:val="24"/>
          <w:rtl/>
        </w:rPr>
        <w:t>, המיוצגים על</w:t>
      </w:r>
      <w:r>
        <w:rPr>
          <w:rFonts w:ascii="David" w:hAnsi="David" w:hint="cs"/>
          <w:sz w:val="24"/>
          <w:szCs w:val="24"/>
          <w:rtl/>
        </w:rPr>
        <w:t xml:space="preserve"> </w:t>
      </w:r>
      <w:r w:rsidRPr="00134C14">
        <w:rPr>
          <w:rFonts w:ascii="David" w:hAnsi="David"/>
          <w:sz w:val="24"/>
          <w:szCs w:val="24"/>
          <w:rtl/>
        </w:rPr>
        <w:t>ידי סטיית משתני הפעילות מהמגמה שאפיינה אותם ערב המשבר, מסבירים כ-2</w:t>
      </w:r>
      <w:r>
        <w:rPr>
          <w:rFonts w:ascii="David" w:hAnsi="David" w:hint="cs"/>
          <w:sz w:val="24"/>
          <w:szCs w:val="24"/>
          <w:rtl/>
        </w:rPr>
        <w:t>9</w:t>
      </w:r>
      <w:r w:rsidRPr="00134C14">
        <w:rPr>
          <w:rFonts w:ascii="David" w:hAnsi="David"/>
          <w:sz w:val="24"/>
          <w:szCs w:val="24"/>
          <w:rtl/>
        </w:rPr>
        <w:t xml:space="preserve"> מיליארדי </w:t>
      </w:r>
      <w:r>
        <w:rPr>
          <w:rFonts w:ascii="David" w:hAnsi="David" w:hint="cs"/>
          <w:sz w:val="24"/>
          <w:szCs w:val="24"/>
          <w:rtl/>
        </w:rPr>
        <w:t>ש"ח</w:t>
      </w:r>
      <w:r w:rsidRPr="00134C14">
        <w:rPr>
          <w:rFonts w:ascii="David" w:hAnsi="David"/>
          <w:sz w:val="24"/>
          <w:szCs w:val="24"/>
          <w:rtl/>
        </w:rPr>
        <w:t xml:space="preserve"> נוספים </w:t>
      </w:r>
      <w:r>
        <w:rPr>
          <w:rFonts w:ascii="David" w:hAnsi="David" w:hint="cs"/>
          <w:sz w:val="24"/>
          <w:szCs w:val="24"/>
          <w:rtl/>
        </w:rPr>
        <w:t>ב</w:t>
      </w:r>
      <w:r w:rsidRPr="00134C14">
        <w:rPr>
          <w:rFonts w:ascii="David" w:hAnsi="David"/>
          <w:sz w:val="24"/>
          <w:szCs w:val="24"/>
          <w:rtl/>
        </w:rPr>
        <w:t xml:space="preserve">חלוקה הבאה: 13 מיליארדי </w:t>
      </w:r>
      <w:r>
        <w:rPr>
          <w:rFonts w:ascii="David" w:hAnsi="David" w:hint="cs"/>
          <w:sz w:val="24"/>
          <w:szCs w:val="24"/>
          <w:rtl/>
        </w:rPr>
        <w:t>ש"ח</w:t>
      </w:r>
      <w:r w:rsidRPr="00134C14">
        <w:rPr>
          <w:rFonts w:ascii="David" w:hAnsi="David"/>
          <w:sz w:val="24"/>
          <w:szCs w:val="24"/>
          <w:rtl/>
        </w:rPr>
        <w:t xml:space="preserve"> נובעים מהגידול </w:t>
      </w:r>
      <w:r>
        <w:rPr>
          <w:rFonts w:ascii="David" w:hAnsi="David" w:hint="cs"/>
          <w:sz w:val="24"/>
          <w:szCs w:val="24"/>
          <w:rtl/>
        </w:rPr>
        <w:t xml:space="preserve">של </w:t>
      </w:r>
      <w:r w:rsidRPr="00134C14">
        <w:rPr>
          <w:rFonts w:ascii="David" w:hAnsi="David"/>
          <w:sz w:val="24"/>
          <w:szCs w:val="24"/>
          <w:rtl/>
        </w:rPr>
        <w:t>יבוא מוצרי הצריכה ש</w:t>
      </w:r>
      <w:r>
        <w:rPr>
          <w:rFonts w:ascii="David" w:hAnsi="David" w:hint="cs"/>
          <w:sz w:val="24"/>
          <w:szCs w:val="24"/>
          <w:rtl/>
        </w:rPr>
        <w:t>אינו</w:t>
      </w:r>
      <w:r w:rsidRPr="00134C14">
        <w:rPr>
          <w:rFonts w:ascii="David" w:hAnsi="David"/>
          <w:sz w:val="24"/>
          <w:szCs w:val="24"/>
          <w:rtl/>
        </w:rPr>
        <w:t xml:space="preserve"> מוסבר על ידי התוצר, 8 מיליארדי </w:t>
      </w:r>
      <w:r>
        <w:rPr>
          <w:rFonts w:ascii="David" w:hAnsi="David" w:hint="cs"/>
          <w:sz w:val="24"/>
          <w:szCs w:val="24"/>
          <w:rtl/>
        </w:rPr>
        <w:t xml:space="preserve">ש"ח נובעים </w:t>
      </w:r>
      <w:r w:rsidRPr="00134C14">
        <w:rPr>
          <w:rFonts w:ascii="David" w:hAnsi="David"/>
          <w:sz w:val="24"/>
          <w:szCs w:val="24"/>
          <w:rtl/>
        </w:rPr>
        <w:t>מעליות השערים בשוק ההון וכ-</w:t>
      </w:r>
      <w:r>
        <w:rPr>
          <w:rFonts w:ascii="David" w:hAnsi="David" w:hint="cs"/>
          <w:sz w:val="24"/>
          <w:szCs w:val="24"/>
          <w:rtl/>
        </w:rPr>
        <w:t>10</w:t>
      </w:r>
      <w:r w:rsidRPr="00134C14">
        <w:rPr>
          <w:rFonts w:ascii="David" w:hAnsi="David"/>
          <w:sz w:val="24"/>
          <w:szCs w:val="24"/>
          <w:rtl/>
        </w:rPr>
        <w:t xml:space="preserve"> מיליארדי</w:t>
      </w:r>
      <w:r>
        <w:rPr>
          <w:rFonts w:ascii="David" w:hAnsi="David" w:hint="cs"/>
          <w:sz w:val="24"/>
          <w:szCs w:val="24"/>
          <w:rtl/>
        </w:rPr>
        <w:t>ם</w:t>
      </w:r>
      <w:r w:rsidRPr="00134C14">
        <w:rPr>
          <w:rFonts w:ascii="David" w:hAnsi="David"/>
          <w:sz w:val="24"/>
          <w:szCs w:val="24"/>
          <w:rtl/>
        </w:rPr>
        <w:t xml:space="preserve"> מגיעים משוק הדיור. התוצר וסטיית השכר הממוצע מהקשר ארוך הטווח שלו עם התוצר התקזזו בין 2020 </w:t>
      </w:r>
      <w:r>
        <w:rPr>
          <w:rFonts w:ascii="David" w:hAnsi="David" w:hint="cs"/>
          <w:sz w:val="24"/>
          <w:szCs w:val="24"/>
          <w:rtl/>
        </w:rPr>
        <w:t>ל</w:t>
      </w:r>
      <w:r w:rsidRPr="00134C14">
        <w:rPr>
          <w:rFonts w:ascii="David" w:hAnsi="David"/>
          <w:sz w:val="24"/>
          <w:szCs w:val="24"/>
          <w:rtl/>
        </w:rPr>
        <w:t>-2021 ו</w:t>
      </w:r>
      <w:r>
        <w:rPr>
          <w:rFonts w:ascii="David" w:hAnsi="David" w:hint="cs"/>
          <w:sz w:val="24"/>
          <w:szCs w:val="24"/>
          <w:rtl/>
        </w:rPr>
        <w:t xml:space="preserve">בסך הכול העלו תרומה </w:t>
      </w:r>
      <w:r>
        <w:rPr>
          <w:rFonts w:ascii="David" w:hAnsi="David"/>
          <w:sz w:val="24"/>
          <w:szCs w:val="24"/>
          <w:rtl/>
        </w:rPr>
        <w:t>שלילית של כ</w:t>
      </w:r>
      <w:r>
        <w:rPr>
          <w:rFonts w:ascii="David" w:hAnsi="David" w:hint="cs"/>
          <w:sz w:val="24"/>
          <w:szCs w:val="24"/>
          <w:rtl/>
        </w:rPr>
        <w:t xml:space="preserve">-3 </w:t>
      </w:r>
      <w:r>
        <w:rPr>
          <w:rFonts w:ascii="David" w:hAnsi="David"/>
          <w:sz w:val="24"/>
          <w:szCs w:val="24"/>
          <w:rtl/>
        </w:rPr>
        <w:t>מיליארד</w:t>
      </w:r>
      <w:r>
        <w:rPr>
          <w:rFonts w:ascii="David" w:hAnsi="David" w:hint="cs"/>
          <w:sz w:val="24"/>
          <w:szCs w:val="24"/>
          <w:rtl/>
        </w:rPr>
        <w:t>י</w:t>
      </w:r>
      <w:r w:rsidRPr="00134C14">
        <w:rPr>
          <w:rFonts w:ascii="David" w:hAnsi="David"/>
          <w:sz w:val="24"/>
          <w:szCs w:val="24"/>
          <w:rtl/>
        </w:rPr>
        <w:t xml:space="preserve"> </w:t>
      </w:r>
      <w:r>
        <w:rPr>
          <w:rFonts w:ascii="David" w:hAnsi="David" w:hint="cs"/>
          <w:sz w:val="24"/>
          <w:szCs w:val="24"/>
          <w:rtl/>
        </w:rPr>
        <w:t>ש"ח</w:t>
      </w:r>
      <w:r w:rsidRPr="00134C14">
        <w:rPr>
          <w:rFonts w:ascii="David" w:hAnsi="David"/>
          <w:sz w:val="24"/>
          <w:szCs w:val="24"/>
          <w:rtl/>
        </w:rPr>
        <w:t xml:space="preserve">. </w:t>
      </w:r>
      <w:r>
        <w:rPr>
          <w:rFonts w:ascii="David" w:hAnsi="David" w:hint="cs"/>
          <w:sz w:val="24"/>
          <w:szCs w:val="24"/>
          <w:rtl/>
        </w:rPr>
        <w:t>גורמים חד פעמיים צמצמו את ההכנסות בהגדרות תקציב בכ-2 מיליארדי ש"ח, ו</w:t>
      </w:r>
      <w:r w:rsidRPr="00134C14">
        <w:rPr>
          <w:rFonts w:ascii="David" w:hAnsi="David"/>
          <w:sz w:val="24"/>
          <w:szCs w:val="24"/>
          <w:rtl/>
        </w:rPr>
        <w:t xml:space="preserve">סך </w:t>
      </w:r>
      <w:r>
        <w:rPr>
          <w:rFonts w:ascii="David" w:hAnsi="David" w:hint="cs"/>
          <w:sz w:val="24"/>
          <w:szCs w:val="24"/>
          <w:rtl/>
        </w:rPr>
        <w:t xml:space="preserve">הגידול שנותר לא מסווג נאמד </w:t>
      </w:r>
      <w:r w:rsidRPr="00134C14">
        <w:rPr>
          <w:rFonts w:ascii="David" w:hAnsi="David"/>
          <w:sz w:val="24"/>
          <w:szCs w:val="24"/>
          <w:rtl/>
        </w:rPr>
        <w:t>בכ-</w:t>
      </w:r>
      <w:r>
        <w:rPr>
          <w:rFonts w:ascii="David" w:hAnsi="David" w:hint="cs"/>
          <w:sz w:val="24"/>
          <w:szCs w:val="24"/>
          <w:rtl/>
        </w:rPr>
        <w:t>6</w:t>
      </w:r>
      <w:r w:rsidRPr="00134C14">
        <w:rPr>
          <w:rFonts w:ascii="David" w:hAnsi="David"/>
          <w:sz w:val="24"/>
          <w:szCs w:val="24"/>
          <w:rtl/>
        </w:rPr>
        <w:t xml:space="preserve"> מיליארדי </w:t>
      </w:r>
      <w:r>
        <w:rPr>
          <w:rFonts w:ascii="David" w:hAnsi="David" w:hint="cs"/>
          <w:sz w:val="24"/>
          <w:szCs w:val="24"/>
          <w:rtl/>
        </w:rPr>
        <w:t xml:space="preserve">ש"ח </w:t>
      </w:r>
      <w:r>
        <w:rPr>
          <w:rFonts w:ascii="David" w:hAnsi="David"/>
          <w:sz w:val="24"/>
          <w:szCs w:val="24"/>
          <w:rtl/>
        </w:rPr>
        <w:t>–</w:t>
      </w:r>
      <w:r>
        <w:rPr>
          <w:rFonts w:ascii="David" w:hAnsi="David" w:hint="cs"/>
          <w:sz w:val="24"/>
          <w:szCs w:val="24"/>
          <w:rtl/>
        </w:rPr>
        <w:t xml:space="preserve"> בעיקר תוצאת גידול לא מוסבר בשנת 2020.</w:t>
      </w:r>
      <w:r w:rsidRPr="00F635B1">
        <w:rPr>
          <w:rStyle w:val="a6"/>
          <w:rFonts w:ascii="David" w:hAnsi="David"/>
          <w:sz w:val="24"/>
          <w:szCs w:val="24"/>
          <w:rtl/>
        </w:rPr>
        <w:footnoteReference w:id="8"/>
      </w:r>
      <w:r>
        <w:rPr>
          <w:rFonts w:ascii="David" w:hAnsi="David" w:hint="cs"/>
          <w:sz w:val="24"/>
          <w:szCs w:val="24"/>
          <w:rtl/>
        </w:rPr>
        <w:t xml:space="preserve"> מפאת משקלם המשמעותי של הרכיבים החריגים בגידול התקבולים ב-2021, נדרשת זהירות רבה בהסתמכות על הכנסות אלו בתכנון  התקציב הקרוב. על סמך ניסיון העבר סביר להניח כי נטל המס באחוזי תוצר יחזור, בקירוב, לרמה ששררה ערב המשבר</w:t>
      </w:r>
      <w:r w:rsidRPr="007B416A">
        <w:rPr>
          <w:rFonts w:ascii="David" w:hAnsi="David" w:hint="cs"/>
          <w:sz w:val="24"/>
          <w:szCs w:val="24"/>
          <w:rtl/>
        </w:rPr>
        <w:t>.</w:t>
      </w:r>
    </w:p>
    <w:p w:rsidR="00D2705A" w:rsidRDefault="00D2705A">
      <w:r>
        <w:br w:type="page"/>
      </w:r>
    </w:p>
    <w:tbl>
      <w:tblPr>
        <w:bidiVisual/>
        <w:tblW w:w="5025" w:type="pct"/>
        <w:tblInd w:w="1105" w:type="dxa"/>
        <w:tblLayout w:type="fixed"/>
        <w:tblLook w:val="04A0" w:firstRow="1" w:lastRow="0" w:firstColumn="1" w:lastColumn="0" w:noHBand="0" w:noVBand="1"/>
      </w:tblPr>
      <w:tblGrid>
        <w:gridCol w:w="241"/>
        <w:gridCol w:w="610"/>
        <w:gridCol w:w="604"/>
        <w:gridCol w:w="499"/>
        <w:gridCol w:w="1738"/>
        <w:gridCol w:w="1154"/>
        <w:gridCol w:w="8"/>
        <w:gridCol w:w="7"/>
        <w:gridCol w:w="614"/>
        <w:gridCol w:w="8"/>
        <w:gridCol w:w="7"/>
        <w:gridCol w:w="676"/>
        <w:gridCol w:w="8"/>
        <w:gridCol w:w="7"/>
        <w:gridCol w:w="766"/>
        <w:gridCol w:w="10"/>
        <w:gridCol w:w="1384"/>
        <w:gridCol w:w="7"/>
      </w:tblGrid>
      <w:tr w:rsidR="00D2705A" w:rsidRPr="00545004" w:rsidTr="00D2705A">
        <w:trPr>
          <w:gridAfter w:val="1"/>
          <w:wAfter w:w="4" w:type="pct"/>
          <w:trHeight w:val="285"/>
        </w:trPr>
        <w:tc>
          <w:tcPr>
            <w:tcW w:w="4996" w:type="pct"/>
            <w:gridSpan w:val="17"/>
            <w:tcBorders>
              <w:top w:val="nil"/>
              <w:left w:val="nil"/>
              <w:bottom w:val="single" w:sz="8" w:space="0" w:color="000000"/>
              <w:right w:val="nil"/>
            </w:tcBorders>
            <w:shd w:val="clear" w:color="auto" w:fill="auto"/>
            <w:hideMark/>
          </w:tcPr>
          <w:p w:rsidR="00D2705A" w:rsidRPr="00545004" w:rsidRDefault="00D2705A" w:rsidP="00F85AEF">
            <w:pPr>
              <w:spacing w:line="240" w:lineRule="auto"/>
              <w:jc w:val="center"/>
              <w:rPr>
                <w:rFonts w:ascii="David" w:eastAsia="Times New Roman" w:hAnsi="David"/>
                <w:b/>
                <w:bCs/>
                <w:color w:val="000000"/>
              </w:rPr>
            </w:pPr>
            <w:r w:rsidRPr="00545004">
              <w:rPr>
                <w:rFonts w:ascii="David" w:eastAsia="Times New Roman" w:hAnsi="David"/>
                <w:b/>
                <w:bCs/>
                <w:color w:val="000000"/>
                <w:rtl/>
              </w:rPr>
              <w:t>לוח 1</w:t>
            </w:r>
            <w:r w:rsidRPr="00545004">
              <w:rPr>
                <w:rFonts w:ascii="David" w:eastAsia="Times New Roman" w:hAnsi="David"/>
                <w:b/>
                <w:bCs/>
                <w:color w:val="000000"/>
                <w:rtl/>
              </w:rPr>
              <w:br/>
              <w:t>פירוק השינוי בגביית המסים בין 2019 ל-2021 לפי סוג רכיב (במחירים שוטפים)</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spacing w:line="240" w:lineRule="auto"/>
              <w:jc w:val="center"/>
              <w:rPr>
                <w:rFonts w:ascii="David" w:eastAsia="Times New Roman" w:hAnsi="David"/>
                <w:b/>
                <w:bCs/>
                <w:color w:val="000000"/>
                <w:rtl/>
              </w:rPr>
            </w:pPr>
          </w:p>
        </w:tc>
        <w:tc>
          <w:tcPr>
            <w:tcW w:w="365"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041"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696"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77" w:type="pct"/>
            <w:gridSpan w:val="3"/>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(1)</w:t>
            </w:r>
          </w:p>
        </w:tc>
        <w:tc>
          <w:tcPr>
            <w:tcW w:w="414" w:type="pct"/>
            <w:gridSpan w:val="3"/>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(2)</w:t>
            </w:r>
          </w:p>
        </w:tc>
        <w:tc>
          <w:tcPr>
            <w:tcW w:w="463" w:type="pct"/>
            <w:gridSpan w:val="2"/>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(3)</w:t>
            </w:r>
          </w:p>
        </w:tc>
        <w:tc>
          <w:tcPr>
            <w:tcW w:w="839" w:type="pct"/>
            <w:gridSpan w:val="3"/>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(4)</w:t>
            </w:r>
          </w:p>
        </w:tc>
      </w:tr>
      <w:tr w:rsidR="00D2705A" w:rsidRPr="00545004" w:rsidTr="00D2705A">
        <w:trPr>
          <w:trHeight w:val="300"/>
        </w:trPr>
        <w:tc>
          <w:tcPr>
            <w:tcW w:w="144"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365"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362"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299"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 </w:t>
            </w:r>
          </w:p>
        </w:tc>
        <w:tc>
          <w:tcPr>
            <w:tcW w:w="1041"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 </w:t>
            </w:r>
          </w:p>
        </w:tc>
        <w:tc>
          <w:tcPr>
            <w:tcW w:w="696" w:type="pct"/>
            <w:gridSpan w:val="2"/>
            <w:tcBorders>
              <w:top w:val="nil"/>
              <w:left w:val="nil"/>
              <w:bottom w:val="single" w:sz="8" w:space="0" w:color="auto"/>
              <w:right w:val="nil"/>
            </w:tcBorders>
            <w:shd w:val="clear" w:color="auto" w:fill="auto"/>
            <w:noWrap/>
            <w:vAlign w:val="bottom"/>
            <w:hideMark/>
          </w:tcPr>
          <w:p w:rsidR="00D2705A" w:rsidRPr="00545004" w:rsidRDefault="00D2705A" w:rsidP="00F85AEF">
            <w:pPr>
              <w:spacing w:line="240" w:lineRule="auto"/>
              <w:jc w:val="left"/>
              <w:rPr>
                <w:rFonts w:ascii="David" w:eastAsia="Times New Roman" w:hAnsi="David"/>
                <w:b/>
                <w:bCs/>
                <w:sz w:val="20"/>
                <w:szCs w:val="20"/>
              </w:rPr>
            </w:pPr>
            <w:r w:rsidRPr="00545004">
              <w:rPr>
                <w:rFonts w:ascii="David" w:eastAsia="Times New Roman" w:hAnsi="David"/>
                <w:b/>
                <w:bCs/>
                <w:sz w:val="20"/>
                <w:szCs w:val="20"/>
                <w:rtl/>
              </w:rPr>
              <w:t>סוג רכיב:</w:t>
            </w:r>
          </w:p>
        </w:tc>
        <w:tc>
          <w:tcPr>
            <w:tcW w:w="377" w:type="pct"/>
            <w:gridSpan w:val="3"/>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tl/>
              </w:rPr>
            </w:pPr>
            <w:r w:rsidRPr="00545004">
              <w:rPr>
                <w:rFonts w:ascii="David" w:eastAsia="Times New Roman" w:hAnsi="David"/>
                <w:b/>
                <w:bCs/>
                <w:sz w:val="20"/>
                <w:szCs w:val="20"/>
              </w:rPr>
              <w:t>2019</w:t>
            </w:r>
          </w:p>
        </w:tc>
        <w:tc>
          <w:tcPr>
            <w:tcW w:w="414" w:type="pct"/>
            <w:gridSpan w:val="3"/>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2020</w:t>
            </w:r>
          </w:p>
        </w:tc>
        <w:tc>
          <w:tcPr>
            <w:tcW w:w="463" w:type="pct"/>
            <w:gridSpan w:val="2"/>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2021</w:t>
            </w:r>
          </w:p>
        </w:tc>
        <w:tc>
          <w:tcPr>
            <w:tcW w:w="839" w:type="pct"/>
            <w:gridSpan w:val="3"/>
            <w:tcBorders>
              <w:top w:val="nil"/>
              <w:left w:val="nil"/>
              <w:bottom w:val="nil"/>
              <w:right w:val="nil"/>
            </w:tcBorders>
            <w:shd w:val="clear" w:color="auto" w:fill="auto"/>
            <w:noWrap/>
            <w:vAlign w:val="bottom"/>
            <w:hideMark/>
          </w:tcPr>
          <w:p w:rsidR="00D2705A" w:rsidRPr="00545004" w:rsidRDefault="00D2705A" w:rsidP="00F85AEF">
            <w:pPr>
              <w:spacing w:line="240" w:lineRule="auto"/>
              <w:jc w:val="center"/>
              <w:rPr>
                <w:rFonts w:ascii="David" w:eastAsia="Times New Roman" w:hAnsi="David"/>
                <w:b/>
                <w:bCs/>
                <w:sz w:val="20"/>
                <w:szCs w:val="20"/>
              </w:rPr>
            </w:pPr>
            <w:r w:rsidRPr="00545004">
              <w:rPr>
                <w:rFonts w:ascii="David" w:eastAsia="Times New Roman" w:hAnsi="David"/>
                <w:b/>
                <w:bCs/>
                <w:sz w:val="20"/>
                <w:szCs w:val="20"/>
                <w:rtl/>
              </w:rPr>
              <w:t>2021 לעומת 2019</w:t>
            </w:r>
          </w:p>
        </w:tc>
      </w:tr>
      <w:tr w:rsidR="00D2705A" w:rsidRPr="00545004" w:rsidTr="00D2705A">
        <w:trPr>
          <w:gridAfter w:val="1"/>
          <w:wAfter w:w="4" w:type="pct"/>
          <w:trHeight w:val="300"/>
        </w:trPr>
        <w:tc>
          <w:tcPr>
            <w:tcW w:w="2902" w:type="pct"/>
            <w:gridSpan w:val="6"/>
            <w:tcBorders>
              <w:top w:val="single" w:sz="8" w:space="0" w:color="auto"/>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b/>
                <w:bCs/>
                <w:sz w:val="20"/>
                <w:szCs w:val="20"/>
                <w:rtl/>
              </w:rPr>
            </w:pPr>
            <w:r w:rsidRPr="00545004">
              <w:rPr>
                <w:rFonts w:ascii="David" w:eastAsia="Times New Roman" w:hAnsi="David"/>
                <w:b/>
                <w:bCs/>
                <w:sz w:val="20"/>
                <w:szCs w:val="20"/>
                <w:rtl/>
              </w:rPr>
              <w:t>הגידול בפועל</w:t>
            </w:r>
            <w:r w:rsidRPr="00545004">
              <w:rPr>
                <w:rFonts w:ascii="David" w:eastAsia="Times New Roman" w:hAnsi="David"/>
                <w:b/>
                <w:bCs/>
                <w:sz w:val="20"/>
                <w:szCs w:val="20"/>
                <w:vertAlign w:val="superscript"/>
                <w:rtl/>
              </w:rPr>
              <w:t>1</w:t>
            </w:r>
          </w:p>
        </w:tc>
        <w:tc>
          <w:tcPr>
            <w:tcW w:w="377" w:type="pct"/>
            <w:gridSpan w:val="3"/>
            <w:tcBorders>
              <w:top w:val="single" w:sz="8" w:space="0" w:color="auto"/>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tl/>
              </w:rPr>
            </w:pPr>
            <w:r w:rsidRPr="00545004">
              <w:rPr>
                <w:rFonts w:ascii="David" w:eastAsia="Times New Roman" w:hAnsi="David"/>
                <w:b/>
                <w:bCs/>
                <w:sz w:val="20"/>
                <w:szCs w:val="20"/>
              </w:rPr>
              <w:t>11.1</w:t>
            </w:r>
          </w:p>
        </w:tc>
        <w:tc>
          <w:tcPr>
            <w:tcW w:w="414" w:type="pct"/>
            <w:gridSpan w:val="3"/>
            <w:tcBorders>
              <w:top w:val="single" w:sz="8" w:space="0" w:color="auto"/>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-6.5</w:t>
            </w:r>
          </w:p>
        </w:tc>
        <w:tc>
          <w:tcPr>
            <w:tcW w:w="468" w:type="pct"/>
            <w:gridSpan w:val="3"/>
            <w:tcBorders>
              <w:top w:val="single" w:sz="8" w:space="0" w:color="auto"/>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73.0</w:t>
            </w:r>
          </w:p>
        </w:tc>
        <w:tc>
          <w:tcPr>
            <w:tcW w:w="835" w:type="pct"/>
            <w:gridSpan w:val="2"/>
            <w:tcBorders>
              <w:top w:val="single" w:sz="8" w:space="0" w:color="auto"/>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66.5</w:t>
            </w:r>
          </w:p>
        </w:tc>
      </w:tr>
      <w:tr w:rsidR="00D2705A" w:rsidRPr="00545004" w:rsidTr="00D2705A">
        <w:trPr>
          <w:gridAfter w:val="1"/>
          <w:wAfter w:w="4" w:type="pct"/>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p>
        </w:tc>
        <w:tc>
          <w:tcPr>
            <w:tcW w:w="2758" w:type="pct"/>
            <w:gridSpan w:val="5"/>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b/>
                <w:bCs/>
                <w:sz w:val="20"/>
                <w:szCs w:val="20"/>
              </w:rPr>
            </w:pPr>
            <w:r w:rsidRPr="00545004">
              <w:rPr>
                <w:rFonts w:ascii="David" w:eastAsia="Times New Roman" w:hAnsi="David"/>
                <w:b/>
                <w:bCs/>
                <w:sz w:val="20"/>
                <w:szCs w:val="20"/>
                <w:rtl/>
              </w:rPr>
              <w:t>סה"כ ההסבר לפי מודל המס</w:t>
            </w:r>
            <w:r w:rsidRPr="00545004">
              <w:rPr>
                <w:rFonts w:ascii="David" w:eastAsia="Times New Roman" w:hAnsi="David"/>
                <w:b/>
                <w:bCs/>
                <w:sz w:val="20"/>
                <w:szCs w:val="20"/>
                <w:vertAlign w:val="superscript"/>
                <w:rtl/>
              </w:rPr>
              <w:t>2</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tl/>
              </w:rPr>
            </w:pPr>
            <w:r w:rsidRPr="00545004">
              <w:rPr>
                <w:rFonts w:ascii="David" w:eastAsia="Times New Roman" w:hAnsi="David"/>
                <w:b/>
                <w:bCs/>
                <w:sz w:val="20"/>
                <w:szCs w:val="20"/>
              </w:rPr>
              <w:t>13.9</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-10.6</w:t>
            </w:r>
          </w:p>
        </w:tc>
        <w:tc>
          <w:tcPr>
            <w:tcW w:w="468"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67.5</w:t>
            </w:r>
          </w:p>
        </w:tc>
        <w:tc>
          <w:tcPr>
            <w:tcW w:w="835"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56.9</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tl/>
              </w:rPr>
              <w:t>מזה:</w:t>
            </w:r>
          </w:p>
        </w:tc>
        <w:tc>
          <w:tcPr>
            <w:tcW w:w="1702" w:type="pct"/>
            <w:gridSpan w:val="3"/>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b/>
                <w:bCs/>
                <w:sz w:val="20"/>
                <w:szCs w:val="20"/>
                <w:rtl/>
              </w:rPr>
            </w:pPr>
            <w:r w:rsidRPr="00545004">
              <w:rPr>
                <w:rFonts w:ascii="David" w:eastAsia="Times New Roman" w:hAnsi="David"/>
                <w:b/>
                <w:bCs/>
                <w:sz w:val="20"/>
                <w:szCs w:val="20"/>
                <w:rtl/>
              </w:rPr>
              <w:t>תחזית המודל בתרחיש "עסקים כרגיל"</w:t>
            </w:r>
          </w:p>
        </w:tc>
        <w:tc>
          <w:tcPr>
            <w:tcW w:w="700" w:type="pct"/>
            <w:gridSpan w:val="3"/>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sz w:val="20"/>
                <w:szCs w:val="20"/>
                <w:rtl/>
              </w:rPr>
            </w:pPr>
            <w:r w:rsidRPr="00545004">
              <w:rPr>
                <w:rFonts w:ascii="David" w:eastAsia="Times New Roman" w:hAnsi="David"/>
                <w:sz w:val="20"/>
                <w:szCs w:val="20"/>
                <w:rtl/>
              </w:rPr>
              <w:t>מבני</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tl/>
              </w:rPr>
            </w:pPr>
            <w:r w:rsidRPr="00545004">
              <w:rPr>
                <w:rFonts w:ascii="David" w:eastAsia="Times New Roman" w:hAnsi="David"/>
                <w:b/>
                <w:bCs/>
                <w:sz w:val="20"/>
                <w:szCs w:val="20"/>
              </w:rPr>
              <w:t>16.0</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16.3</w:t>
            </w:r>
          </w:p>
        </w:tc>
        <w:tc>
          <w:tcPr>
            <w:tcW w:w="465"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17.4</w:t>
            </w:r>
          </w:p>
        </w:tc>
        <w:tc>
          <w:tcPr>
            <w:tcW w:w="83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33.7</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702" w:type="pct"/>
            <w:gridSpan w:val="3"/>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b/>
                <w:bCs/>
                <w:sz w:val="20"/>
                <w:szCs w:val="20"/>
              </w:rPr>
            </w:pPr>
            <w:r w:rsidRPr="00545004">
              <w:rPr>
                <w:rFonts w:ascii="David" w:eastAsia="Times New Roman" w:hAnsi="David"/>
                <w:b/>
                <w:bCs/>
                <w:sz w:val="20"/>
                <w:szCs w:val="20"/>
                <w:rtl/>
              </w:rPr>
              <w:t>סה"כ ההסבר לפי הסטייה מהמגמה של משתני המקרו</w:t>
            </w:r>
          </w:p>
        </w:tc>
        <w:tc>
          <w:tcPr>
            <w:tcW w:w="700" w:type="pct"/>
            <w:gridSpan w:val="3"/>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sz w:val="20"/>
                <w:szCs w:val="20"/>
                <w:rtl/>
              </w:rPr>
            </w:pPr>
            <w:r>
              <w:rPr>
                <w:rFonts w:ascii="David" w:eastAsia="Times New Roman" w:hAnsi="David" w:hint="cs"/>
                <w:sz w:val="20"/>
                <w:szCs w:val="20"/>
                <w:rtl/>
              </w:rPr>
              <w:t>חריג</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tl/>
              </w:rPr>
            </w:pPr>
            <w:r w:rsidRPr="00545004">
              <w:rPr>
                <w:rFonts w:ascii="David" w:eastAsia="Times New Roman" w:hAnsi="David"/>
                <w:b/>
                <w:bCs/>
                <w:sz w:val="20"/>
                <w:szCs w:val="20"/>
              </w:rPr>
              <w:t>-2.1</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-27.0</w:t>
            </w:r>
          </w:p>
        </w:tc>
        <w:tc>
          <w:tcPr>
            <w:tcW w:w="465"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50.1</w:t>
            </w:r>
          </w:p>
        </w:tc>
        <w:tc>
          <w:tcPr>
            <w:tcW w:w="83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23.2</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tl/>
              </w:rPr>
              <w:t>מזה:</w:t>
            </w: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r w:rsidRPr="00545004">
              <w:rPr>
                <w:rFonts w:ascii="David" w:eastAsia="Times New Roman" w:hAnsi="David"/>
                <w:sz w:val="20"/>
                <w:szCs w:val="20"/>
                <w:rtl/>
              </w:rPr>
              <w:t>רמת התוצר</w:t>
            </w:r>
            <w:r w:rsidRPr="00545004">
              <w:rPr>
                <w:rFonts w:ascii="David" w:eastAsia="Times New Roman" w:hAnsi="David"/>
                <w:sz w:val="20"/>
                <w:szCs w:val="20"/>
                <w:vertAlign w:val="superscript"/>
                <w:rtl/>
              </w:rPr>
              <w:t>3</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-0.2</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-18.0</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14.0</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-4.0</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צמיחת התוצר</w:t>
            </w:r>
            <w:r w:rsidRPr="00545004">
              <w:rPr>
                <w:rFonts w:ascii="David" w:eastAsia="Times New Roman" w:hAnsi="David"/>
                <w:sz w:val="20"/>
                <w:szCs w:val="20"/>
                <w:vertAlign w:val="superscript"/>
                <w:rtl/>
              </w:rPr>
              <w:t>4</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0.0</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-2.2</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5.4</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3.2</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רכיב השכר שאינו תלוי בתוצר</w:t>
            </w:r>
            <w:r w:rsidRPr="00545004">
              <w:rPr>
                <w:rFonts w:ascii="David" w:eastAsia="Times New Roman" w:hAnsi="David"/>
                <w:sz w:val="20"/>
                <w:szCs w:val="20"/>
                <w:vertAlign w:val="superscript"/>
                <w:rtl/>
              </w:rPr>
              <w:t>5</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-1.1</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-5.5</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3.8</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-1.7</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רכיב יבוא מוצרי הצריכה שאינו תלוי בתוצר</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-2.4</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-1.2</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14.4</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13.3</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מדד המניות הכללי בת"א</w:t>
            </w:r>
            <w:r w:rsidRPr="00545004">
              <w:rPr>
                <w:rFonts w:ascii="David" w:eastAsia="Times New Roman" w:hAnsi="David"/>
                <w:sz w:val="20"/>
                <w:szCs w:val="20"/>
                <w:vertAlign w:val="superscript"/>
                <w:rtl/>
              </w:rPr>
              <w:t>6</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0.0</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-1.8</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10.1</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8.3</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עסקות בדירות (סה"כ)</w:t>
            </w:r>
            <w:r w:rsidRPr="00545004">
              <w:rPr>
                <w:rFonts w:ascii="David" w:eastAsia="Times New Roman" w:hAnsi="David"/>
                <w:sz w:val="20"/>
                <w:szCs w:val="20"/>
                <w:vertAlign w:val="superscript"/>
                <w:rtl/>
              </w:rPr>
              <w:t>7</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1.0</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2.1</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2.7</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4.8</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ריבית ב"י</w:t>
            </w:r>
            <w:r w:rsidRPr="00545004">
              <w:rPr>
                <w:rFonts w:ascii="David" w:eastAsia="Times New Roman" w:hAnsi="David"/>
                <w:sz w:val="20"/>
                <w:szCs w:val="20"/>
                <w:vertAlign w:val="superscript"/>
                <w:rtl/>
              </w:rPr>
              <w:t>8</w:t>
            </w:r>
          </w:p>
        </w:tc>
        <w:tc>
          <w:tcPr>
            <w:tcW w:w="696"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0.6</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-0.3</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-0.3</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-0.6</w:t>
            </w:r>
          </w:p>
        </w:tc>
      </w:tr>
      <w:tr w:rsidR="00D2705A" w:rsidRPr="00545004" w:rsidTr="00D2705A">
        <w:trPr>
          <w:gridAfter w:val="1"/>
          <w:wAfter w:w="4" w:type="pct"/>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2758" w:type="pct"/>
            <w:gridSpan w:val="5"/>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b/>
                <w:bCs/>
                <w:sz w:val="20"/>
                <w:szCs w:val="20"/>
              </w:rPr>
            </w:pPr>
            <w:r w:rsidRPr="00545004">
              <w:rPr>
                <w:rFonts w:ascii="David" w:eastAsia="Times New Roman" w:hAnsi="David"/>
                <w:b/>
                <w:bCs/>
                <w:sz w:val="20"/>
                <w:szCs w:val="20"/>
                <w:rtl/>
              </w:rPr>
              <w:t>השארית הלא-מוסברת על-ידי המודל</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tl/>
              </w:rPr>
            </w:pPr>
            <w:r w:rsidRPr="00545004">
              <w:rPr>
                <w:rFonts w:ascii="David" w:eastAsia="Times New Roman" w:hAnsi="David"/>
                <w:b/>
                <w:bCs/>
                <w:sz w:val="20"/>
                <w:szCs w:val="20"/>
              </w:rPr>
              <w:t>-2.8</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4.1</w:t>
            </w:r>
          </w:p>
        </w:tc>
        <w:tc>
          <w:tcPr>
            <w:tcW w:w="468"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5.5</w:t>
            </w:r>
          </w:p>
        </w:tc>
        <w:tc>
          <w:tcPr>
            <w:tcW w:w="835"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b/>
                <w:bCs/>
                <w:sz w:val="20"/>
                <w:szCs w:val="20"/>
              </w:rPr>
            </w:pPr>
            <w:r w:rsidRPr="00545004">
              <w:rPr>
                <w:rFonts w:ascii="David" w:eastAsia="Times New Roman" w:hAnsi="David"/>
                <w:b/>
                <w:bCs/>
                <w:sz w:val="20"/>
                <w:szCs w:val="20"/>
              </w:rPr>
              <w:t>9.6</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b/>
                <w:bCs/>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tl/>
              </w:rPr>
              <w:t>מזה:</w:t>
            </w: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tl/>
              </w:rPr>
            </w:pPr>
            <w:r w:rsidRPr="00545004">
              <w:rPr>
                <w:rFonts w:ascii="David" w:eastAsia="Times New Roman" w:hAnsi="David"/>
                <w:sz w:val="20"/>
                <w:szCs w:val="20"/>
                <w:rtl/>
              </w:rPr>
              <w:t>השינוי הלא-מוסבר בגביית מסי נדל"ן</w:t>
            </w:r>
          </w:p>
        </w:tc>
        <w:tc>
          <w:tcPr>
            <w:tcW w:w="696" w:type="pct"/>
            <w:gridSpan w:val="2"/>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sz w:val="20"/>
                <w:szCs w:val="20"/>
                <w:rtl/>
              </w:rPr>
            </w:pPr>
            <w:r>
              <w:rPr>
                <w:rFonts w:ascii="David" w:eastAsia="Times New Roman" w:hAnsi="David" w:hint="cs"/>
                <w:sz w:val="20"/>
                <w:szCs w:val="20"/>
                <w:rtl/>
              </w:rPr>
              <w:t>חריג</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-0.5</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-1.6</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7.1</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5.5</w:t>
            </w:r>
          </w:p>
        </w:tc>
      </w:tr>
      <w:tr w:rsidR="00D2705A" w:rsidRPr="00545004" w:rsidTr="00D2705A">
        <w:trPr>
          <w:trHeight w:val="31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340" w:type="pct"/>
            <w:gridSpan w:val="2"/>
            <w:tcBorders>
              <w:top w:val="nil"/>
              <w:left w:val="nil"/>
              <w:bottom w:val="nil"/>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שינויי חקיקה</w:t>
            </w:r>
            <w:r w:rsidRPr="00545004">
              <w:rPr>
                <w:rFonts w:ascii="David" w:eastAsia="Times New Roman" w:hAnsi="David"/>
                <w:sz w:val="20"/>
                <w:szCs w:val="20"/>
                <w:vertAlign w:val="superscript"/>
                <w:rtl/>
              </w:rPr>
              <w:t>9</w:t>
            </w:r>
          </w:p>
        </w:tc>
        <w:tc>
          <w:tcPr>
            <w:tcW w:w="696" w:type="pct"/>
            <w:gridSpan w:val="2"/>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sz w:val="20"/>
                <w:szCs w:val="20"/>
                <w:rtl/>
              </w:rPr>
            </w:pPr>
            <w:r w:rsidRPr="00545004">
              <w:rPr>
                <w:rFonts w:ascii="David" w:eastAsia="Times New Roman" w:hAnsi="David"/>
                <w:sz w:val="20"/>
                <w:szCs w:val="20"/>
                <w:rtl/>
              </w:rPr>
              <w:t>מבני</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-0.1</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-0.4</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0.4</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-0.1</w:t>
            </w:r>
          </w:p>
        </w:tc>
      </w:tr>
      <w:tr w:rsidR="00D2705A" w:rsidRPr="00545004" w:rsidTr="00D2705A">
        <w:trPr>
          <w:trHeight w:val="300"/>
        </w:trPr>
        <w:tc>
          <w:tcPr>
            <w:tcW w:w="144"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365" w:type="pct"/>
            <w:tcBorders>
              <w:top w:val="nil"/>
              <w:left w:val="nil"/>
              <w:bottom w:val="single" w:sz="8" w:space="0" w:color="auto"/>
              <w:right w:val="nil"/>
            </w:tcBorders>
            <w:shd w:val="clear" w:color="auto" w:fill="auto"/>
            <w:noWrap/>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362" w:type="pct"/>
            <w:tcBorders>
              <w:top w:val="nil"/>
              <w:left w:val="nil"/>
              <w:bottom w:val="single" w:sz="8" w:space="0" w:color="auto"/>
              <w:right w:val="nil"/>
            </w:tcBorders>
            <w:shd w:val="clear" w:color="auto" w:fill="auto"/>
            <w:noWrap/>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1340" w:type="pct"/>
            <w:gridSpan w:val="2"/>
            <w:tcBorders>
              <w:top w:val="nil"/>
              <w:left w:val="nil"/>
              <w:bottom w:val="single" w:sz="8" w:space="0" w:color="auto"/>
              <w:right w:val="nil"/>
            </w:tcBorders>
            <w:shd w:val="clear" w:color="auto" w:fill="auto"/>
            <w:noWrap/>
            <w:hideMark/>
          </w:tcPr>
          <w:p w:rsidR="00D2705A" w:rsidRPr="00545004" w:rsidRDefault="00D2705A" w:rsidP="00F85AEF">
            <w:pPr>
              <w:spacing w:line="240" w:lineRule="auto"/>
              <w:jc w:val="left"/>
              <w:rPr>
                <w:rFonts w:ascii="David" w:eastAsia="Times New Roman" w:hAnsi="David"/>
                <w:sz w:val="20"/>
                <w:szCs w:val="20"/>
              </w:rPr>
            </w:pPr>
            <w:r w:rsidRPr="00545004">
              <w:rPr>
                <w:rFonts w:ascii="David" w:eastAsia="Times New Roman" w:hAnsi="David"/>
                <w:sz w:val="20"/>
                <w:szCs w:val="20"/>
                <w:rtl/>
              </w:rPr>
              <w:t>הכנסות חריגות</w:t>
            </w:r>
          </w:p>
        </w:tc>
        <w:tc>
          <w:tcPr>
            <w:tcW w:w="696" w:type="pct"/>
            <w:gridSpan w:val="2"/>
            <w:tcBorders>
              <w:top w:val="nil"/>
              <w:left w:val="nil"/>
              <w:bottom w:val="single" w:sz="8" w:space="0" w:color="auto"/>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sz w:val="20"/>
                <w:szCs w:val="20"/>
                <w:rtl/>
              </w:rPr>
            </w:pPr>
            <w:r w:rsidRPr="00545004">
              <w:rPr>
                <w:rFonts w:ascii="David" w:eastAsia="Times New Roman" w:hAnsi="David"/>
                <w:sz w:val="20"/>
                <w:szCs w:val="20"/>
                <w:rtl/>
              </w:rPr>
              <w:t>חד-פעמי</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-2.5</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-0.2</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-1.9</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-2.1</w:t>
            </w:r>
          </w:p>
        </w:tc>
      </w:tr>
      <w:tr w:rsidR="00D2705A" w:rsidRPr="00545004" w:rsidTr="00D2705A">
        <w:trPr>
          <w:trHeight w:val="300"/>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sz w:val="20"/>
                <w:szCs w:val="20"/>
              </w:rPr>
            </w:pPr>
            <w:r w:rsidRPr="00545004">
              <w:rPr>
                <w:rFonts w:ascii="David" w:eastAsia="Times New Roman" w:hAnsi="David"/>
                <w:sz w:val="20"/>
                <w:szCs w:val="20"/>
              </w:rPr>
              <w:t> </w:t>
            </w:r>
          </w:p>
        </w:tc>
        <w:tc>
          <w:tcPr>
            <w:tcW w:w="1041"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sz w:val="20"/>
                <w:szCs w:val="20"/>
              </w:rPr>
            </w:pPr>
            <w:r w:rsidRPr="00545004">
              <w:rPr>
                <w:rFonts w:ascii="David" w:eastAsia="Times New Roman" w:hAnsi="David"/>
                <w:sz w:val="20"/>
                <w:szCs w:val="20"/>
              </w:rPr>
              <w:t> </w:t>
            </w:r>
          </w:p>
        </w:tc>
        <w:tc>
          <w:tcPr>
            <w:tcW w:w="2789" w:type="pct"/>
            <w:gridSpan w:val="13"/>
            <w:tcBorders>
              <w:top w:val="single" w:sz="8" w:space="0" w:color="auto"/>
              <w:left w:val="nil"/>
              <w:bottom w:val="single" w:sz="8" w:space="0" w:color="auto"/>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b/>
                <w:bCs/>
                <w:sz w:val="20"/>
                <w:szCs w:val="20"/>
              </w:rPr>
            </w:pPr>
            <w:r w:rsidRPr="00545004">
              <w:rPr>
                <w:rFonts w:ascii="David" w:eastAsia="Times New Roman" w:hAnsi="David"/>
                <w:b/>
                <w:bCs/>
                <w:sz w:val="20"/>
                <w:szCs w:val="20"/>
                <w:rtl/>
              </w:rPr>
              <w:t>סיכום לפי סוג רכיב:</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spacing w:line="240" w:lineRule="auto"/>
              <w:jc w:val="center"/>
              <w:rPr>
                <w:rFonts w:ascii="David" w:eastAsia="Times New Roman" w:hAnsi="David"/>
                <w:b/>
                <w:bCs/>
                <w:sz w:val="20"/>
                <w:szCs w:val="20"/>
                <w:rtl/>
              </w:rPr>
            </w:pPr>
          </w:p>
        </w:tc>
        <w:tc>
          <w:tcPr>
            <w:tcW w:w="365"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041"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696" w:type="pct"/>
            <w:gridSpan w:val="2"/>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b/>
                <w:bCs/>
                <w:sz w:val="20"/>
                <w:szCs w:val="20"/>
              </w:rPr>
            </w:pPr>
            <w:r w:rsidRPr="00545004">
              <w:rPr>
                <w:rFonts w:ascii="David" w:eastAsia="Times New Roman" w:hAnsi="David"/>
                <w:b/>
                <w:bCs/>
                <w:sz w:val="20"/>
                <w:szCs w:val="20"/>
                <w:rtl/>
              </w:rPr>
              <w:t>מבני</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15.9</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15.9</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17.7</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33.6</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041"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696" w:type="pct"/>
            <w:gridSpan w:val="2"/>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b/>
                <w:bCs/>
                <w:sz w:val="20"/>
                <w:szCs w:val="20"/>
              </w:rPr>
            </w:pPr>
            <w:r>
              <w:rPr>
                <w:rFonts w:ascii="David" w:eastAsia="Times New Roman" w:hAnsi="David" w:hint="cs"/>
                <w:b/>
                <w:bCs/>
                <w:sz w:val="20"/>
                <w:szCs w:val="20"/>
                <w:rtl/>
              </w:rPr>
              <w:t>חריג</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-2.6</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-28.6</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57.3</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28.7</w:t>
            </w:r>
          </w:p>
        </w:tc>
      </w:tr>
      <w:tr w:rsidR="00D2705A" w:rsidRPr="00545004" w:rsidTr="00D2705A">
        <w:trPr>
          <w:trHeight w:val="285"/>
        </w:trPr>
        <w:tc>
          <w:tcPr>
            <w:tcW w:w="144"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center"/>
              <w:rPr>
                <w:rFonts w:ascii="David" w:eastAsia="Times New Roman" w:hAnsi="David"/>
                <w:sz w:val="20"/>
                <w:szCs w:val="20"/>
              </w:rPr>
            </w:pPr>
          </w:p>
        </w:tc>
        <w:tc>
          <w:tcPr>
            <w:tcW w:w="365"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362"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1041" w:type="pct"/>
            <w:tcBorders>
              <w:top w:val="nil"/>
              <w:left w:val="nil"/>
              <w:bottom w:val="nil"/>
              <w:right w:val="nil"/>
            </w:tcBorders>
            <w:shd w:val="clear" w:color="auto" w:fill="auto"/>
            <w:noWrap/>
            <w:vAlign w:val="bottom"/>
            <w:hideMark/>
          </w:tcPr>
          <w:p w:rsidR="00D2705A" w:rsidRPr="00545004" w:rsidRDefault="00D2705A" w:rsidP="00F85AEF">
            <w:pPr>
              <w:bidi w:val="0"/>
              <w:spacing w:line="240" w:lineRule="auto"/>
              <w:jc w:val="left"/>
              <w:rPr>
                <w:rFonts w:ascii="Times New Roman" w:eastAsia="Times New Roman" w:hAnsi="Times New Roman" w:cs="Times New Roman"/>
                <w:sz w:val="20"/>
                <w:szCs w:val="20"/>
              </w:rPr>
            </w:pPr>
          </w:p>
        </w:tc>
        <w:tc>
          <w:tcPr>
            <w:tcW w:w="696" w:type="pct"/>
            <w:gridSpan w:val="2"/>
            <w:tcBorders>
              <w:top w:val="nil"/>
              <w:left w:val="nil"/>
              <w:bottom w:val="nil"/>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b/>
                <w:bCs/>
                <w:sz w:val="20"/>
                <w:szCs w:val="20"/>
              </w:rPr>
            </w:pPr>
            <w:r w:rsidRPr="00545004">
              <w:rPr>
                <w:rFonts w:ascii="David" w:eastAsia="Times New Roman" w:hAnsi="David"/>
                <w:b/>
                <w:bCs/>
                <w:sz w:val="20"/>
                <w:szCs w:val="20"/>
                <w:rtl/>
              </w:rPr>
              <w:t>חד-פעמי</w:t>
            </w:r>
          </w:p>
        </w:tc>
        <w:tc>
          <w:tcPr>
            <w:tcW w:w="377"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-2.5</w:t>
            </w:r>
          </w:p>
        </w:tc>
        <w:tc>
          <w:tcPr>
            <w:tcW w:w="414"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-0.2</w:t>
            </w:r>
          </w:p>
        </w:tc>
        <w:tc>
          <w:tcPr>
            <w:tcW w:w="463" w:type="pct"/>
            <w:gridSpan w:val="2"/>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-1.9</w:t>
            </w:r>
          </w:p>
        </w:tc>
        <w:tc>
          <w:tcPr>
            <w:tcW w:w="839" w:type="pct"/>
            <w:gridSpan w:val="3"/>
            <w:tcBorders>
              <w:top w:val="nil"/>
              <w:left w:val="nil"/>
              <w:bottom w:val="nil"/>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-2.1</w:t>
            </w:r>
          </w:p>
        </w:tc>
      </w:tr>
      <w:tr w:rsidR="00D2705A" w:rsidRPr="00545004" w:rsidTr="00D2705A">
        <w:trPr>
          <w:trHeight w:val="300"/>
        </w:trPr>
        <w:tc>
          <w:tcPr>
            <w:tcW w:w="144"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365"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362"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color w:val="000000"/>
                <w:sz w:val="20"/>
                <w:szCs w:val="20"/>
              </w:rPr>
            </w:pPr>
            <w:r w:rsidRPr="00545004">
              <w:rPr>
                <w:rFonts w:ascii="David" w:eastAsia="Times New Roman" w:hAnsi="David"/>
                <w:color w:val="000000"/>
                <w:sz w:val="20"/>
                <w:szCs w:val="20"/>
              </w:rPr>
              <w:t> </w:t>
            </w:r>
          </w:p>
        </w:tc>
        <w:tc>
          <w:tcPr>
            <w:tcW w:w="299"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b/>
                <w:bCs/>
                <w:sz w:val="20"/>
                <w:szCs w:val="20"/>
              </w:rPr>
            </w:pPr>
            <w:r w:rsidRPr="00545004">
              <w:rPr>
                <w:rFonts w:ascii="David" w:eastAsia="Times New Roman" w:hAnsi="David"/>
                <w:b/>
                <w:bCs/>
                <w:sz w:val="20"/>
                <w:szCs w:val="20"/>
              </w:rPr>
              <w:t> </w:t>
            </w:r>
          </w:p>
        </w:tc>
        <w:tc>
          <w:tcPr>
            <w:tcW w:w="1041" w:type="pct"/>
            <w:tcBorders>
              <w:top w:val="nil"/>
              <w:left w:val="nil"/>
              <w:bottom w:val="single" w:sz="8" w:space="0" w:color="auto"/>
              <w:right w:val="nil"/>
            </w:tcBorders>
            <w:shd w:val="clear" w:color="auto" w:fill="auto"/>
            <w:noWrap/>
            <w:vAlign w:val="bottom"/>
            <w:hideMark/>
          </w:tcPr>
          <w:p w:rsidR="00D2705A" w:rsidRPr="00545004" w:rsidRDefault="00D2705A" w:rsidP="00F85AEF">
            <w:pPr>
              <w:bidi w:val="0"/>
              <w:spacing w:line="240" w:lineRule="auto"/>
              <w:jc w:val="left"/>
              <w:rPr>
                <w:rFonts w:ascii="David" w:eastAsia="Times New Roman" w:hAnsi="David"/>
                <w:b/>
                <w:bCs/>
                <w:sz w:val="20"/>
                <w:szCs w:val="20"/>
              </w:rPr>
            </w:pPr>
            <w:r w:rsidRPr="00545004">
              <w:rPr>
                <w:rFonts w:ascii="David" w:eastAsia="Times New Roman" w:hAnsi="David"/>
                <w:b/>
                <w:bCs/>
                <w:sz w:val="20"/>
                <w:szCs w:val="20"/>
              </w:rPr>
              <w:t> </w:t>
            </w:r>
          </w:p>
        </w:tc>
        <w:tc>
          <w:tcPr>
            <w:tcW w:w="696" w:type="pct"/>
            <w:gridSpan w:val="2"/>
            <w:tcBorders>
              <w:top w:val="nil"/>
              <w:left w:val="nil"/>
              <w:bottom w:val="single" w:sz="8" w:space="0" w:color="auto"/>
              <w:right w:val="nil"/>
            </w:tcBorders>
            <w:shd w:val="clear" w:color="auto" w:fill="auto"/>
            <w:noWrap/>
            <w:vAlign w:val="center"/>
            <w:hideMark/>
          </w:tcPr>
          <w:p w:rsidR="00D2705A" w:rsidRPr="00545004" w:rsidRDefault="00D2705A" w:rsidP="00F85AEF">
            <w:pPr>
              <w:spacing w:line="240" w:lineRule="auto"/>
              <w:jc w:val="center"/>
              <w:rPr>
                <w:rFonts w:ascii="David" w:eastAsia="Times New Roman" w:hAnsi="David"/>
                <w:b/>
                <w:bCs/>
                <w:sz w:val="20"/>
                <w:szCs w:val="20"/>
              </w:rPr>
            </w:pPr>
            <w:r w:rsidRPr="00545004">
              <w:rPr>
                <w:rFonts w:ascii="David" w:eastAsia="Times New Roman" w:hAnsi="David"/>
                <w:b/>
                <w:bCs/>
                <w:sz w:val="20"/>
                <w:szCs w:val="20"/>
                <w:rtl/>
              </w:rPr>
              <w:t>לא-מסווג</w:t>
            </w:r>
          </w:p>
        </w:tc>
        <w:tc>
          <w:tcPr>
            <w:tcW w:w="377" w:type="pct"/>
            <w:gridSpan w:val="3"/>
            <w:tcBorders>
              <w:top w:val="nil"/>
              <w:left w:val="nil"/>
              <w:bottom w:val="single" w:sz="8" w:space="0" w:color="auto"/>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tl/>
              </w:rPr>
            </w:pPr>
            <w:r w:rsidRPr="00545004">
              <w:rPr>
                <w:rFonts w:ascii="David" w:eastAsia="Times New Roman" w:hAnsi="David"/>
                <w:sz w:val="20"/>
                <w:szCs w:val="20"/>
              </w:rPr>
              <w:t>0.3</w:t>
            </w:r>
          </w:p>
        </w:tc>
        <w:tc>
          <w:tcPr>
            <w:tcW w:w="414" w:type="pct"/>
            <w:gridSpan w:val="3"/>
            <w:tcBorders>
              <w:top w:val="nil"/>
              <w:left w:val="nil"/>
              <w:bottom w:val="single" w:sz="8" w:space="0" w:color="auto"/>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6.4</w:t>
            </w:r>
          </w:p>
        </w:tc>
        <w:tc>
          <w:tcPr>
            <w:tcW w:w="463" w:type="pct"/>
            <w:gridSpan w:val="2"/>
            <w:tcBorders>
              <w:top w:val="nil"/>
              <w:left w:val="nil"/>
              <w:bottom w:val="single" w:sz="8" w:space="0" w:color="auto"/>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-0.1</w:t>
            </w:r>
          </w:p>
        </w:tc>
        <w:tc>
          <w:tcPr>
            <w:tcW w:w="839" w:type="pct"/>
            <w:gridSpan w:val="3"/>
            <w:tcBorders>
              <w:top w:val="nil"/>
              <w:left w:val="nil"/>
              <w:bottom w:val="single" w:sz="8" w:space="0" w:color="auto"/>
              <w:right w:val="nil"/>
            </w:tcBorders>
            <w:shd w:val="clear" w:color="auto" w:fill="auto"/>
            <w:noWrap/>
            <w:vAlign w:val="center"/>
            <w:hideMark/>
          </w:tcPr>
          <w:p w:rsidR="00D2705A" w:rsidRPr="00545004" w:rsidRDefault="00D2705A" w:rsidP="00F85AEF">
            <w:pPr>
              <w:bidi w:val="0"/>
              <w:spacing w:line="240" w:lineRule="auto"/>
              <w:jc w:val="center"/>
              <w:rPr>
                <w:rFonts w:ascii="David" w:eastAsia="Times New Roman" w:hAnsi="David"/>
                <w:sz w:val="20"/>
                <w:szCs w:val="20"/>
              </w:rPr>
            </w:pPr>
            <w:r w:rsidRPr="00545004">
              <w:rPr>
                <w:rFonts w:ascii="David" w:eastAsia="Times New Roman" w:hAnsi="David"/>
                <w:sz w:val="20"/>
                <w:szCs w:val="20"/>
              </w:rPr>
              <w:t>6.3</w:t>
            </w:r>
          </w:p>
        </w:tc>
      </w:tr>
      <w:tr w:rsidR="00D2705A" w:rsidRPr="00545004" w:rsidTr="00D2705A">
        <w:trPr>
          <w:gridAfter w:val="1"/>
          <w:wAfter w:w="4" w:type="pct"/>
          <w:trHeight w:val="2279"/>
        </w:trPr>
        <w:tc>
          <w:tcPr>
            <w:tcW w:w="4996" w:type="pct"/>
            <w:gridSpan w:val="17"/>
            <w:tcBorders>
              <w:top w:val="nil"/>
              <w:left w:val="nil"/>
              <w:bottom w:val="nil"/>
              <w:right w:val="nil"/>
            </w:tcBorders>
            <w:shd w:val="clear" w:color="auto" w:fill="auto"/>
            <w:hideMark/>
          </w:tcPr>
          <w:p w:rsidR="00D2705A" w:rsidRPr="00545004" w:rsidRDefault="00D2705A" w:rsidP="00F85AEF">
            <w:pPr>
              <w:spacing w:line="240" w:lineRule="auto"/>
              <w:jc w:val="left"/>
              <w:rPr>
                <w:rFonts w:ascii="David" w:eastAsia="Times New Roman" w:hAnsi="David"/>
                <w:color w:val="000000"/>
                <w:sz w:val="18"/>
                <w:szCs w:val="18"/>
              </w:rPr>
            </w:pPr>
            <w:r w:rsidRPr="00545004">
              <w:rPr>
                <w:rFonts w:ascii="David" w:eastAsia="Times New Roman" w:hAnsi="David"/>
                <w:color w:val="000000"/>
                <w:sz w:val="18"/>
                <w:szCs w:val="18"/>
                <w:vertAlign w:val="superscript"/>
                <w:rtl/>
              </w:rPr>
              <w:t xml:space="preserve">1 </w:t>
            </w:r>
            <w:r w:rsidRPr="00545004">
              <w:rPr>
                <w:rFonts w:ascii="David" w:eastAsia="Times New Roman" w:hAnsi="David"/>
                <w:color w:val="000000"/>
                <w:sz w:val="18"/>
                <w:szCs w:val="18"/>
                <w:rtl/>
              </w:rPr>
              <w:t>הגידול הנומינלי בגביית המסים לאחר התאמות לפי הגדרות תקציב המדינה.</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2</w:t>
            </w:r>
            <w:r w:rsidRPr="00545004">
              <w:rPr>
                <w:rFonts w:ascii="David" w:eastAsia="Times New Roman" w:hAnsi="David"/>
                <w:color w:val="000000"/>
                <w:sz w:val="18"/>
                <w:szCs w:val="18"/>
                <w:rtl/>
              </w:rPr>
              <w:t xml:space="preserve"> לפי הגדרות רשות המסים (לפני התאמות להגדרות התקציב).</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3</w:t>
            </w:r>
            <w:r w:rsidRPr="00545004">
              <w:rPr>
                <w:rFonts w:ascii="David" w:eastAsia="Times New Roman" w:hAnsi="David"/>
                <w:color w:val="000000"/>
                <w:sz w:val="18"/>
                <w:szCs w:val="18"/>
                <w:rtl/>
              </w:rPr>
              <w:t xml:space="preserve"> סכום התרומות של רמת התוצר בפיגור של רבעון אחד ובפיגור של חמישה רבעונים.</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4</w:t>
            </w:r>
            <w:r w:rsidRPr="00545004">
              <w:rPr>
                <w:rFonts w:ascii="David" w:eastAsia="Times New Roman" w:hAnsi="David"/>
                <w:color w:val="000000"/>
                <w:sz w:val="18"/>
                <w:szCs w:val="18"/>
                <w:rtl/>
              </w:rPr>
              <w:t xml:space="preserve"> צמיחת התוצר בפיגור של שני רבעונים.</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5</w:t>
            </w:r>
            <w:r w:rsidRPr="00545004">
              <w:rPr>
                <w:rFonts w:ascii="David" w:eastAsia="Times New Roman" w:hAnsi="David"/>
                <w:color w:val="000000"/>
                <w:sz w:val="18"/>
                <w:szCs w:val="18"/>
                <w:rtl/>
              </w:rPr>
              <w:t xml:space="preserve"> נתוני השכר הממוצע הותאמו בשנים 2020 - 2021 כדי לשקף את השכר הממוצע של העובדים המתמידים, במקום את השפעת הרכב המועסקים על הממוצע (לפרטים ראו פרק ב'</w:t>
            </w:r>
            <w:r w:rsidR="00F1661E">
              <w:rPr>
                <w:rFonts w:ascii="David" w:eastAsia="Times New Roman" w:hAnsi="David" w:hint="cs"/>
                <w:color w:val="000000"/>
                <w:sz w:val="18"/>
                <w:szCs w:val="18"/>
                <w:rtl/>
              </w:rPr>
              <w:t xml:space="preserve"> בדוח בנק ישראל לשנת 2021</w:t>
            </w:r>
            <w:r w:rsidRPr="00545004">
              <w:rPr>
                <w:rFonts w:ascii="David" w:eastAsia="Times New Roman" w:hAnsi="David"/>
                <w:color w:val="000000"/>
                <w:sz w:val="18"/>
                <w:szCs w:val="18"/>
                <w:rtl/>
              </w:rPr>
              <w:t>).</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6</w:t>
            </w:r>
            <w:r w:rsidRPr="00545004">
              <w:rPr>
                <w:rFonts w:ascii="David" w:eastAsia="Times New Roman" w:hAnsi="David"/>
                <w:color w:val="000000"/>
                <w:sz w:val="18"/>
                <w:szCs w:val="18"/>
                <w:rtl/>
              </w:rPr>
              <w:t xml:space="preserve"> סכום של תרומת השינוי במדד באותו רבעון וברבעון הקודם.</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7</w:t>
            </w:r>
            <w:r w:rsidRPr="00545004">
              <w:rPr>
                <w:rFonts w:ascii="David" w:eastAsia="Times New Roman" w:hAnsi="David"/>
                <w:color w:val="000000"/>
                <w:sz w:val="18"/>
                <w:szCs w:val="18"/>
                <w:rtl/>
              </w:rPr>
              <w:t xml:space="preserve"> בפיגור של שלושה רבעונים.</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8</w:t>
            </w:r>
            <w:r w:rsidRPr="00545004">
              <w:rPr>
                <w:rFonts w:ascii="David" w:eastAsia="Times New Roman" w:hAnsi="David"/>
                <w:color w:val="000000"/>
                <w:sz w:val="18"/>
                <w:szCs w:val="18"/>
                <w:rtl/>
              </w:rPr>
              <w:t xml:space="preserve"> בפיגור של רבעון אחד.</w:t>
            </w:r>
            <w:r w:rsidRPr="00545004">
              <w:rPr>
                <w:rFonts w:ascii="David" w:eastAsia="Times New Roman" w:hAnsi="David"/>
                <w:color w:val="000000"/>
                <w:sz w:val="18"/>
                <w:szCs w:val="18"/>
                <w:rtl/>
              </w:rPr>
              <w:br/>
            </w:r>
            <w:r w:rsidRPr="00545004">
              <w:rPr>
                <w:rFonts w:ascii="David" w:eastAsia="Times New Roman" w:hAnsi="David"/>
                <w:color w:val="000000"/>
                <w:sz w:val="18"/>
                <w:szCs w:val="18"/>
                <w:vertAlign w:val="superscript"/>
                <w:rtl/>
              </w:rPr>
              <w:t>9</w:t>
            </w:r>
            <w:r w:rsidRPr="00545004">
              <w:rPr>
                <w:rFonts w:ascii="David" w:eastAsia="Times New Roman" w:hAnsi="David"/>
                <w:color w:val="000000"/>
                <w:sz w:val="18"/>
                <w:szCs w:val="18"/>
                <w:rtl/>
              </w:rPr>
              <w:t xml:space="preserve"> לפי  הערכות משרד האוצר שינויי חקיקה צמצמו את גביית המסים בכ-0.4 מיליארד ₪ ב-2020 והגדילו את הגבייה בסכום דומה ב-2021, כך שההשפעה המצטברת הייתה זניחה.</w:t>
            </w:r>
            <w:r w:rsidRPr="00545004">
              <w:rPr>
                <w:rFonts w:ascii="David" w:eastAsia="Times New Roman" w:hAnsi="David"/>
                <w:color w:val="000000"/>
                <w:sz w:val="18"/>
                <w:szCs w:val="18"/>
                <w:rtl/>
              </w:rPr>
              <w:br/>
            </w:r>
            <w:r w:rsidRPr="00545004">
              <w:rPr>
                <w:rFonts w:ascii="David" w:eastAsia="Times New Roman" w:hAnsi="David"/>
                <w:b/>
                <w:bCs/>
                <w:color w:val="000000"/>
                <w:sz w:val="18"/>
                <w:szCs w:val="18"/>
                <w:rtl/>
              </w:rPr>
              <w:t>המקור:</w:t>
            </w:r>
            <w:r w:rsidRPr="00545004">
              <w:rPr>
                <w:rFonts w:ascii="David" w:eastAsia="Times New Roman" w:hAnsi="David"/>
                <w:color w:val="000000"/>
                <w:sz w:val="18"/>
                <w:szCs w:val="18"/>
                <w:rtl/>
              </w:rPr>
              <w:t xml:space="preserve"> עיבודי בנק ישראל.</w:t>
            </w:r>
          </w:p>
        </w:tc>
      </w:tr>
    </w:tbl>
    <w:p w:rsidR="00B00CC2" w:rsidRPr="00D2705A" w:rsidRDefault="00B00CC2"/>
    <w:sectPr w:rsidR="00B00CC2" w:rsidRPr="00D2705A" w:rsidSect="00B5268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6E1" w:rsidRDefault="007D66E1" w:rsidP="00060B17">
      <w:pPr>
        <w:spacing w:line="240" w:lineRule="auto"/>
      </w:pPr>
      <w:r>
        <w:separator/>
      </w:r>
    </w:p>
  </w:endnote>
  <w:endnote w:type="continuationSeparator" w:id="0">
    <w:p w:rsidR="007D66E1" w:rsidRDefault="007D66E1" w:rsidP="00060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24111759"/>
      <w:docPartObj>
        <w:docPartGallery w:val="Page Numbers (Bottom of Page)"/>
        <w:docPartUnique/>
      </w:docPartObj>
    </w:sdtPr>
    <w:sdtEndPr/>
    <w:sdtContent>
      <w:p w:rsidR="005B1898" w:rsidRDefault="005B1898">
        <w:pPr>
          <w:pStyle w:val="a9"/>
          <w:jc w:val="center"/>
          <w:rPr>
            <w:rtl/>
            <w:cs/>
          </w:rPr>
        </w:pPr>
        <w:r>
          <w:fldChar w:fldCharType="begin"/>
        </w:r>
        <w:r>
          <w:rPr>
            <w:rtl/>
            <w:cs/>
          </w:rPr>
          <w:instrText>PAGE   \* MERGEFORMAT</w:instrText>
        </w:r>
        <w:r>
          <w:fldChar w:fldCharType="separate"/>
        </w:r>
        <w:r w:rsidR="00D7269E" w:rsidRPr="00D7269E">
          <w:rPr>
            <w:noProof/>
            <w:rtl/>
            <w:lang w:val="he-IL"/>
          </w:rPr>
          <w:t>1</w:t>
        </w:r>
        <w:r>
          <w:fldChar w:fldCharType="end"/>
        </w:r>
      </w:p>
    </w:sdtContent>
  </w:sdt>
  <w:p w:rsidR="005B1898" w:rsidRDefault="005B18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6E1" w:rsidRDefault="007D66E1" w:rsidP="00060B17">
      <w:pPr>
        <w:spacing w:line="240" w:lineRule="auto"/>
      </w:pPr>
      <w:r>
        <w:separator/>
      </w:r>
    </w:p>
  </w:footnote>
  <w:footnote w:type="continuationSeparator" w:id="0">
    <w:p w:rsidR="007D66E1" w:rsidRDefault="007D66E1" w:rsidP="00060B17">
      <w:pPr>
        <w:spacing w:line="240" w:lineRule="auto"/>
      </w:pPr>
      <w:r>
        <w:continuationSeparator/>
      </w:r>
    </w:p>
  </w:footnote>
  <w:footnote w:id="1">
    <w:p w:rsidR="00060B17" w:rsidRPr="00A8306F" w:rsidRDefault="00060B17" w:rsidP="00060B17">
      <w:pPr>
        <w:pStyle w:val="a5"/>
        <w:bidi w:val="0"/>
        <w:jc w:val="both"/>
        <w:rPr>
          <w:rFonts w:ascii="David" w:hAnsi="David" w:cs="David"/>
        </w:rPr>
      </w:pPr>
      <w:r w:rsidRPr="00C774B4">
        <w:rPr>
          <w:rStyle w:val="a6"/>
          <w:rFonts w:ascii="David" w:hAnsi="David"/>
        </w:rPr>
        <w:footnoteRef/>
      </w:r>
      <w:r w:rsidRPr="00A8306F">
        <w:rPr>
          <w:rFonts w:ascii="David" w:hAnsi="David" w:cs="David"/>
          <w:rtl/>
        </w:rPr>
        <w:t xml:space="preserve"> </w:t>
      </w:r>
      <w:r w:rsidRPr="00A8306F">
        <w:rPr>
          <w:rFonts w:ascii="David" w:hAnsi="David" w:cs="David"/>
          <w:color w:val="222222"/>
          <w:shd w:val="clear" w:color="auto" w:fill="FFFFFF"/>
        </w:rPr>
        <w:t xml:space="preserve">P. Dudine </w:t>
      </w:r>
      <w:r>
        <w:rPr>
          <w:rFonts w:ascii="David" w:hAnsi="David" w:cs="David"/>
          <w:color w:val="222222"/>
          <w:shd w:val="clear" w:color="auto" w:fill="FFFFFF"/>
        </w:rPr>
        <w:t>and</w:t>
      </w:r>
      <w:r w:rsidRPr="00A8306F">
        <w:rPr>
          <w:rFonts w:ascii="David" w:hAnsi="David" w:cs="David"/>
          <w:color w:val="222222"/>
          <w:shd w:val="clear" w:color="auto" w:fill="FFFFFF"/>
        </w:rPr>
        <w:t xml:space="preserve"> J. T. Jalles (2018). "How buoyant is the tax system? New evidence from a large heterogeneous panel"</w:t>
      </w:r>
      <w:r>
        <w:rPr>
          <w:rFonts w:ascii="David" w:hAnsi="David" w:cs="David"/>
          <w:color w:val="222222"/>
          <w:shd w:val="clear" w:color="auto" w:fill="FFFFFF"/>
        </w:rPr>
        <w:t>,</w:t>
      </w:r>
      <w:r w:rsidRPr="00A8306F">
        <w:rPr>
          <w:rFonts w:ascii="David" w:hAnsi="David" w:cs="David"/>
          <w:color w:val="222222"/>
          <w:shd w:val="clear" w:color="auto" w:fill="FFFFFF"/>
        </w:rPr>
        <w:t> </w:t>
      </w:r>
      <w:r w:rsidRPr="00A8306F">
        <w:rPr>
          <w:rFonts w:ascii="David" w:hAnsi="David" w:cs="David"/>
          <w:i/>
          <w:iCs/>
        </w:rPr>
        <w:t>Journal of International Development</w:t>
      </w:r>
      <w:r w:rsidRPr="00A8306F">
        <w:rPr>
          <w:rFonts w:ascii="David" w:hAnsi="David" w:cs="David"/>
        </w:rPr>
        <w:t>, </w:t>
      </w:r>
      <w:r w:rsidRPr="00B97C85">
        <w:rPr>
          <w:rFonts w:ascii="David" w:hAnsi="David" w:cs="David"/>
        </w:rPr>
        <w:t>30</w:t>
      </w:r>
      <w:r w:rsidRPr="00DD7CD0">
        <w:rPr>
          <w:rFonts w:ascii="David" w:hAnsi="David" w:cs="David"/>
        </w:rPr>
        <w:t>(6), 961</w:t>
      </w:r>
      <w:r>
        <w:rPr>
          <w:rFonts w:ascii="David" w:hAnsi="David" w:cs="David"/>
        </w:rPr>
        <w:t>–</w:t>
      </w:r>
      <w:r w:rsidRPr="00DD7CD0">
        <w:rPr>
          <w:rFonts w:ascii="David" w:hAnsi="David" w:cs="David"/>
        </w:rPr>
        <w:t>991.</w:t>
      </w:r>
    </w:p>
  </w:footnote>
  <w:footnote w:id="2">
    <w:p w:rsidR="00060B17" w:rsidRPr="006703BB" w:rsidRDefault="00060B17" w:rsidP="00060B17">
      <w:pPr>
        <w:pStyle w:val="a5"/>
        <w:jc w:val="both"/>
        <w:rPr>
          <w:rFonts w:ascii="David" w:hAnsi="David" w:cs="David"/>
          <w:color w:val="222222"/>
          <w:shd w:val="clear" w:color="auto" w:fill="FFFFFF"/>
          <w:rtl/>
        </w:rPr>
      </w:pPr>
      <w:r w:rsidRPr="00A8306F">
        <w:rPr>
          <w:rFonts w:ascii="David" w:hAnsi="David" w:cs="David"/>
          <w:color w:val="222222"/>
          <w:shd w:val="clear" w:color="auto" w:fill="FFFFFF"/>
          <w:vertAlign w:val="superscript"/>
        </w:rPr>
        <w:footnoteRef/>
      </w:r>
      <w:r w:rsidRPr="00A8306F">
        <w:rPr>
          <w:rFonts w:ascii="David" w:hAnsi="David" w:cs="David"/>
          <w:color w:val="222222"/>
          <w:shd w:val="clear" w:color="auto" w:fill="FFFFFF"/>
          <w:rtl/>
        </w:rPr>
        <w:t xml:space="preserve"> גם במדינות מפותחות אחרות ישנם ניסיונות אמפיריים לקבוע </w:t>
      </w:r>
      <w:r>
        <w:rPr>
          <w:rFonts w:ascii="David" w:hAnsi="David" w:cs="David" w:hint="cs"/>
          <w:color w:val="222222"/>
          <w:shd w:val="clear" w:color="auto" w:fill="FFFFFF"/>
          <w:rtl/>
        </w:rPr>
        <w:t>אילו</w:t>
      </w:r>
      <w:r w:rsidRPr="00A8306F">
        <w:rPr>
          <w:rFonts w:ascii="David" w:hAnsi="David" w:cs="David"/>
          <w:color w:val="222222"/>
          <w:shd w:val="clear" w:color="auto" w:fill="FFFFFF"/>
          <w:rtl/>
        </w:rPr>
        <w:t xml:space="preserve"> </w:t>
      </w:r>
      <w:r>
        <w:rPr>
          <w:rFonts w:ascii="David" w:hAnsi="David" w:cs="David" w:hint="cs"/>
          <w:color w:val="222222"/>
          <w:shd w:val="clear" w:color="auto" w:fill="FFFFFF"/>
          <w:rtl/>
        </w:rPr>
        <w:t xml:space="preserve">מהשינויים בהכנסות </w:t>
      </w:r>
      <w:r w:rsidRPr="00A8306F">
        <w:rPr>
          <w:rFonts w:ascii="David" w:hAnsi="David" w:cs="David"/>
          <w:color w:val="222222"/>
          <w:shd w:val="clear" w:color="auto" w:fill="FFFFFF"/>
          <w:rtl/>
        </w:rPr>
        <w:t xml:space="preserve">הם </w:t>
      </w:r>
      <w:r>
        <w:rPr>
          <w:rFonts w:ascii="David" w:hAnsi="David" w:cs="David" w:hint="cs"/>
          <w:color w:val="222222"/>
          <w:shd w:val="clear" w:color="auto" w:fill="FFFFFF"/>
          <w:rtl/>
        </w:rPr>
        <w:t xml:space="preserve">מבניים </w:t>
      </w:r>
      <w:r w:rsidRPr="00A8306F">
        <w:rPr>
          <w:rFonts w:ascii="David" w:hAnsi="David" w:cs="David"/>
          <w:color w:val="222222"/>
          <w:shd w:val="clear" w:color="auto" w:fill="FFFFFF"/>
          <w:rtl/>
        </w:rPr>
        <w:t>ו</w:t>
      </w:r>
      <w:r>
        <w:rPr>
          <w:rFonts w:ascii="David" w:hAnsi="David" w:cs="David" w:hint="cs"/>
          <w:color w:val="222222"/>
          <w:shd w:val="clear" w:color="auto" w:fill="FFFFFF"/>
          <w:rtl/>
        </w:rPr>
        <w:t>אילו</w:t>
      </w:r>
      <w:r w:rsidRPr="00A8306F">
        <w:rPr>
          <w:rFonts w:ascii="David" w:hAnsi="David" w:cs="David"/>
          <w:color w:val="222222"/>
          <w:shd w:val="clear" w:color="auto" w:fill="FFFFFF"/>
          <w:rtl/>
        </w:rPr>
        <w:t xml:space="preserve"> מהם </w:t>
      </w:r>
      <w:r>
        <w:rPr>
          <w:rFonts w:ascii="David" w:hAnsi="David" w:cs="David" w:hint="cs"/>
          <w:color w:val="222222"/>
          <w:shd w:val="clear" w:color="auto" w:fill="FFFFFF"/>
          <w:rtl/>
        </w:rPr>
        <w:t>חריגים,</w:t>
      </w:r>
      <w:r w:rsidRPr="00A8306F">
        <w:rPr>
          <w:rFonts w:ascii="David" w:hAnsi="David" w:cs="David"/>
          <w:color w:val="222222"/>
          <w:shd w:val="clear" w:color="auto" w:fill="FFFFFF"/>
          <w:rtl/>
        </w:rPr>
        <w:t xml:space="preserve"> כדי לקבוע מהי רמת הג</w:t>
      </w:r>
      <w:r>
        <w:rPr>
          <w:rFonts w:ascii="David" w:hAnsi="David" w:cs="David" w:hint="cs"/>
          <w:color w:val="222222"/>
          <w:shd w:val="clear" w:color="auto" w:fill="FFFFFF"/>
          <w:rtl/>
        </w:rPr>
        <w:t>י</w:t>
      </w:r>
      <w:r>
        <w:rPr>
          <w:rFonts w:ascii="David" w:hAnsi="David" w:cs="David"/>
          <w:color w:val="222222"/>
          <w:shd w:val="clear" w:color="auto" w:fill="FFFFFF"/>
          <w:rtl/>
        </w:rPr>
        <w:t>רעון המבני</w:t>
      </w:r>
      <w:r>
        <w:rPr>
          <w:rFonts w:ascii="David" w:hAnsi="David" w:cs="David" w:hint="cs"/>
          <w:color w:val="222222"/>
          <w:shd w:val="clear" w:color="auto" w:fill="FFFFFF"/>
          <w:rtl/>
        </w:rPr>
        <w:t>, למשל</w:t>
      </w:r>
      <w:r w:rsidRPr="00A8306F">
        <w:rPr>
          <w:rFonts w:ascii="David" w:hAnsi="David" w:cs="David"/>
          <w:color w:val="222222"/>
          <w:shd w:val="clear" w:color="auto" w:fill="FFFFFF"/>
          <w:rtl/>
        </w:rPr>
        <w:t xml:space="preserve"> </w:t>
      </w:r>
      <w:r>
        <w:rPr>
          <w:rFonts w:ascii="David" w:hAnsi="David" w:cs="David" w:hint="cs"/>
          <w:color w:val="222222"/>
          <w:shd w:val="clear" w:color="auto" w:fill="FFFFFF"/>
          <w:rtl/>
        </w:rPr>
        <w:t xml:space="preserve">באמצעות </w:t>
      </w:r>
      <w:r w:rsidRPr="00A8306F">
        <w:rPr>
          <w:rFonts w:ascii="David" w:hAnsi="David" w:cs="David"/>
          <w:color w:val="222222"/>
          <w:shd w:val="clear" w:color="auto" w:fill="FFFFFF"/>
          <w:rtl/>
        </w:rPr>
        <w:t xml:space="preserve">הערכה של גידול </w:t>
      </w:r>
      <w:r>
        <w:rPr>
          <w:rFonts w:ascii="David" w:hAnsi="David" w:cs="David" w:hint="cs"/>
          <w:color w:val="222222"/>
          <w:shd w:val="clear" w:color="auto" w:fill="FFFFFF"/>
          <w:rtl/>
        </w:rPr>
        <w:t>ה</w:t>
      </w:r>
      <w:r w:rsidRPr="00A8306F">
        <w:rPr>
          <w:rFonts w:ascii="David" w:hAnsi="David" w:cs="David"/>
          <w:color w:val="222222"/>
          <w:shd w:val="clear" w:color="auto" w:fill="FFFFFF"/>
          <w:rtl/>
        </w:rPr>
        <w:t xml:space="preserve">הכנסות </w:t>
      </w:r>
      <w:r>
        <w:rPr>
          <w:rFonts w:ascii="David" w:hAnsi="David" w:cs="David" w:hint="cs"/>
          <w:color w:val="222222"/>
          <w:shd w:val="clear" w:color="auto" w:fill="FFFFFF"/>
          <w:rtl/>
        </w:rPr>
        <w:t>ה</w:t>
      </w:r>
      <w:r w:rsidRPr="00A8306F">
        <w:rPr>
          <w:rFonts w:ascii="David" w:hAnsi="David" w:cs="David"/>
          <w:color w:val="222222"/>
          <w:shd w:val="clear" w:color="auto" w:fill="FFFFFF"/>
          <w:rtl/>
        </w:rPr>
        <w:t xml:space="preserve">נובע ממחזוריות מחירי הנכסים (פיזיים ופיננסיים). לדוגמה: </w:t>
      </w:r>
      <w:r w:rsidRPr="008E5F13">
        <w:rPr>
          <w:rFonts w:ascii="David" w:hAnsi="David" w:cs="David"/>
          <w:color w:val="222222"/>
          <w:shd w:val="clear" w:color="auto" w:fill="FFFFFF"/>
        </w:rPr>
        <w:t xml:space="preserve">Richard </w:t>
      </w:r>
      <w:hyperlink r:id="rId1" w:history="1">
        <w:r w:rsidRPr="00A8306F">
          <w:rPr>
            <w:rFonts w:ascii="David" w:hAnsi="David" w:cs="David"/>
            <w:color w:val="222222"/>
            <w:shd w:val="clear" w:color="auto" w:fill="FFFFFF"/>
          </w:rPr>
          <w:t xml:space="preserve">Morris, and Ludger Schuknecht, </w:t>
        </w:r>
        <w:r>
          <w:rPr>
            <w:rFonts w:ascii="David" w:hAnsi="David" w:cs="David"/>
            <w:color w:val="222222"/>
            <w:shd w:val="clear" w:color="auto" w:fill="FFFFFF"/>
          </w:rPr>
          <w:t>(</w:t>
        </w:r>
        <w:r w:rsidRPr="00A8306F">
          <w:rPr>
            <w:rFonts w:ascii="David" w:hAnsi="David" w:cs="David"/>
            <w:color w:val="222222"/>
            <w:shd w:val="clear" w:color="auto" w:fill="FFFFFF"/>
          </w:rPr>
          <w:t>2007</w:t>
        </w:r>
        <w:r>
          <w:rPr>
            <w:rFonts w:ascii="David" w:hAnsi="David" w:cs="David"/>
            <w:color w:val="222222"/>
            <w:shd w:val="clear" w:color="auto" w:fill="FFFFFF"/>
          </w:rPr>
          <w:t>).</w:t>
        </w:r>
        <w:r w:rsidRPr="00A8306F">
          <w:rPr>
            <w:rFonts w:ascii="David" w:hAnsi="David" w:cs="David"/>
            <w:color w:val="222222"/>
            <w:shd w:val="clear" w:color="auto" w:fill="FFFFFF"/>
          </w:rPr>
          <w:t xml:space="preserve"> “Structural balances and revenue windfalls - the role of asset prices revisited” ECB Working Paper 737 (Frankfurt: European Central Bank).</w:t>
        </w:r>
      </w:hyperlink>
    </w:p>
  </w:footnote>
  <w:footnote w:id="3">
    <w:p w:rsidR="00060B17" w:rsidRPr="00A8306F" w:rsidRDefault="00060B17" w:rsidP="00060B17">
      <w:pPr>
        <w:pStyle w:val="a5"/>
        <w:jc w:val="both"/>
        <w:rPr>
          <w:rFonts w:ascii="David" w:hAnsi="David" w:cs="David"/>
        </w:rPr>
      </w:pPr>
      <w:r w:rsidRPr="00A8306F">
        <w:rPr>
          <w:rStyle w:val="a6"/>
          <w:rFonts w:ascii="David" w:hAnsi="David"/>
        </w:rPr>
        <w:footnoteRef/>
      </w:r>
      <w:r w:rsidR="00F1661E">
        <w:rPr>
          <w:rFonts w:ascii="David" w:hAnsi="David" w:cs="David"/>
          <w:rtl/>
        </w:rPr>
        <w:t xml:space="preserve"> לפירוט ראו פרק א' בדוח </w:t>
      </w:r>
      <w:r w:rsidR="00F1661E">
        <w:rPr>
          <w:rFonts w:ascii="David" w:hAnsi="David" w:cs="David" w:hint="cs"/>
          <w:rtl/>
        </w:rPr>
        <w:t>בנק ישראל לשנת 2021</w:t>
      </w:r>
      <w:r w:rsidRPr="00A8306F">
        <w:rPr>
          <w:rFonts w:ascii="David" w:hAnsi="David" w:cs="David"/>
          <w:rtl/>
        </w:rPr>
        <w:t>.</w:t>
      </w:r>
    </w:p>
  </w:footnote>
  <w:footnote w:id="4">
    <w:p w:rsidR="00060B17" w:rsidRPr="00A8306F" w:rsidRDefault="00060B17" w:rsidP="00F1661E">
      <w:pPr>
        <w:pStyle w:val="a5"/>
        <w:jc w:val="both"/>
        <w:rPr>
          <w:rFonts w:ascii="David" w:hAnsi="David" w:cs="David"/>
        </w:rPr>
      </w:pPr>
      <w:r w:rsidRPr="00A8306F">
        <w:rPr>
          <w:rStyle w:val="a6"/>
          <w:rFonts w:ascii="David" w:hAnsi="David"/>
        </w:rPr>
        <w:footnoteRef/>
      </w:r>
      <w:r w:rsidRPr="00A8306F">
        <w:rPr>
          <w:rFonts w:ascii="David" w:hAnsi="David" w:cs="David"/>
          <w:rtl/>
        </w:rPr>
        <w:t xml:space="preserve"> להרחבה ראו פרק ט' בדוח </w:t>
      </w:r>
      <w:r w:rsidR="00F1661E">
        <w:rPr>
          <w:rFonts w:ascii="David" w:hAnsi="David" w:cs="David" w:hint="cs"/>
          <w:rtl/>
        </w:rPr>
        <w:t>בנק ישראל לשנת 2021</w:t>
      </w:r>
      <w:r w:rsidRPr="00A8306F">
        <w:rPr>
          <w:rFonts w:ascii="David" w:hAnsi="David" w:cs="David"/>
          <w:rtl/>
        </w:rPr>
        <w:t>.</w:t>
      </w:r>
    </w:p>
  </w:footnote>
  <w:footnote w:id="5">
    <w:p w:rsidR="00060B17" w:rsidRPr="00A8306F" w:rsidRDefault="00060B17" w:rsidP="00060B17">
      <w:pPr>
        <w:autoSpaceDE w:val="0"/>
        <w:autoSpaceDN w:val="0"/>
        <w:adjustRightInd w:val="0"/>
        <w:spacing w:line="240" w:lineRule="auto"/>
        <w:rPr>
          <w:rFonts w:ascii="David" w:hAnsi="David"/>
          <w:sz w:val="20"/>
          <w:szCs w:val="20"/>
        </w:rPr>
      </w:pPr>
      <w:r w:rsidRPr="00A8306F">
        <w:rPr>
          <w:rStyle w:val="a6"/>
          <w:rFonts w:ascii="David" w:hAnsi="David"/>
        </w:rPr>
        <w:footnoteRef/>
      </w:r>
      <w:r w:rsidRPr="00A8306F">
        <w:rPr>
          <w:rFonts w:ascii="David" w:hAnsi="David"/>
          <w:sz w:val="20"/>
          <w:szCs w:val="20"/>
          <w:rtl/>
        </w:rPr>
        <w:t xml:space="preserve"> להרחבה על הגמישות הגבוהה יחסית של השכר בענפי ההיי-טק והמחזוריות שאפיינה ענפים אלו מאז תחילת שנות ה-90 ראו: יואב פרידמן (2017)</w:t>
      </w:r>
      <w:r>
        <w:rPr>
          <w:rFonts w:ascii="David" w:hAnsi="David" w:hint="cs"/>
          <w:sz w:val="20"/>
          <w:szCs w:val="20"/>
          <w:rtl/>
        </w:rPr>
        <w:t>.</w:t>
      </w:r>
      <w:r w:rsidRPr="00A8306F">
        <w:rPr>
          <w:rFonts w:ascii="David" w:hAnsi="David"/>
          <w:sz w:val="20"/>
          <w:szCs w:val="20"/>
          <w:rtl/>
        </w:rPr>
        <w:t xml:space="preserve"> </w:t>
      </w:r>
      <w:r>
        <w:rPr>
          <w:rFonts w:ascii="David" w:hAnsi="David" w:hint="cs"/>
          <w:sz w:val="20"/>
          <w:szCs w:val="20"/>
          <w:rtl/>
        </w:rPr>
        <w:t>"</w:t>
      </w:r>
      <w:r w:rsidRPr="00A8306F">
        <w:rPr>
          <w:rFonts w:ascii="David" w:hAnsi="David"/>
          <w:sz w:val="20"/>
          <w:szCs w:val="20"/>
          <w:rtl/>
        </w:rPr>
        <w:t>ענפי</w:t>
      </w:r>
      <w:r w:rsidRPr="00A8306F">
        <w:rPr>
          <w:rFonts w:ascii="David" w:hAnsi="David"/>
          <w:sz w:val="20"/>
          <w:szCs w:val="20"/>
        </w:rPr>
        <w:t xml:space="preserve"> </w:t>
      </w:r>
      <w:r w:rsidRPr="00A8306F">
        <w:rPr>
          <w:rFonts w:ascii="David" w:hAnsi="David"/>
          <w:sz w:val="20"/>
          <w:szCs w:val="20"/>
          <w:rtl/>
        </w:rPr>
        <w:t>טכנולוגיות</w:t>
      </w:r>
      <w:r w:rsidRPr="00A8306F">
        <w:rPr>
          <w:rFonts w:ascii="David" w:hAnsi="David"/>
          <w:sz w:val="20"/>
          <w:szCs w:val="20"/>
        </w:rPr>
        <w:t xml:space="preserve"> </w:t>
      </w:r>
      <w:r w:rsidRPr="00A8306F">
        <w:rPr>
          <w:rFonts w:ascii="David" w:hAnsi="David"/>
          <w:sz w:val="20"/>
          <w:szCs w:val="20"/>
          <w:rtl/>
        </w:rPr>
        <w:t>המידע</w:t>
      </w:r>
      <w:r w:rsidRPr="00C774B4">
        <w:rPr>
          <w:rFonts w:ascii="David" w:hAnsi="David" w:hint="cs"/>
          <w:sz w:val="20"/>
          <w:szCs w:val="20"/>
          <w:rtl/>
        </w:rPr>
        <w:t xml:space="preserve">: </w:t>
      </w:r>
      <w:r w:rsidRPr="00A8306F">
        <w:rPr>
          <w:rFonts w:ascii="David" w:hAnsi="David"/>
          <w:sz w:val="20"/>
          <w:szCs w:val="20"/>
          <w:rtl/>
        </w:rPr>
        <w:t>עובדים</w:t>
      </w:r>
      <w:r w:rsidRPr="00A8306F">
        <w:rPr>
          <w:rFonts w:ascii="David" w:hAnsi="David"/>
          <w:sz w:val="20"/>
          <w:szCs w:val="20"/>
        </w:rPr>
        <w:t xml:space="preserve">, </w:t>
      </w:r>
      <w:r w:rsidRPr="00A8306F">
        <w:rPr>
          <w:rFonts w:ascii="David" w:hAnsi="David"/>
          <w:sz w:val="20"/>
          <w:szCs w:val="20"/>
          <w:rtl/>
        </w:rPr>
        <w:t>שכר</w:t>
      </w:r>
      <w:r w:rsidRPr="00A8306F">
        <w:rPr>
          <w:rFonts w:ascii="David" w:hAnsi="David"/>
          <w:sz w:val="20"/>
          <w:szCs w:val="20"/>
        </w:rPr>
        <w:t xml:space="preserve"> </w:t>
      </w:r>
      <w:r w:rsidRPr="00A8306F">
        <w:rPr>
          <w:rFonts w:ascii="David" w:hAnsi="David"/>
          <w:sz w:val="20"/>
          <w:szCs w:val="20"/>
          <w:rtl/>
        </w:rPr>
        <w:t>והתמודדות עם</w:t>
      </w:r>
      <w:r w:rsidRPr="00A8306F">
        <w:rPr>
          <w:rFonts w:ascii="David" w:hAnsi="David"/>
          <w:sz w:val="20"/>
          <w:szCs w:val="20"/>
        </w:rPr>
        <w:t xml:space="preserve"> </w:t>
      </w:r>
      <w:r w:rsidRPr="00A8306F">
        <w:rPr>
          <w:rFonts w:ascii="David" w:hAnsi="David"/>
          <w:sz w:val="20"/>
          <w:szCs w:val="20"/>
          <w:rtl/>
        </w:rPr>
        <w:t>זעזועים</w:t>
      </w:r>
      <w:r>
        <w:rPr>
          <w:rFonts w:ascii="David" w:hAnsi="David" w:hint="cs"/>
          <w:sz w:val="20"/>
          <w:szCs w:val="20"/>
          <w:rtl/>
        </w:rPr>
        <w:t>"</w:t>
      </w:r>
      <w:r w:rsidRPr="00A8306F">
        <w:rPr>
          <w:rFonts w:ascii="David" w:hAnsi="David"/>
          <w:sz w:val="20"/>
          <w:szCs w:val="20"/>
          <w:rtl/>
        </w:rPr>
        <w:t xml:space="preserve">, </w:t>
      </w:r>
      <w:r w:rsidRPr="00B97C85">
        <w:rPr>
          <w:rFonts w:ascii="David" w:hAnsi="David"/>
          <w:i/>
          <w:iCs/>
          <w:sz w:val="20"/>
          <w:szCs w:val="20"/>
          <w:rtl/>
        </w:rPr>
        <w:t>הרבעון לכלכלה</w:t>
      </w:r>
      <w:r w:rsidRPr="00A8306F">
        <w:rPr>
          <w:rFonts w:ascii="David" w:hAnsi="David"/>
          <w:sz w:val="20"/>
          <w:szCs w:val="20"/>
          <w:rtl/>
        </w:rPr>
        <w:t>, 61(1), 145</w:t>
      </w:r>
      <w:r>
        <w:rPr>
          <w:rFonts w:ascii="David" w:hAnsi="David" w:hint="cs"/>
          <w:sz w:val="20"/>
          <w:szCs w:val="20"/>
          <w:rtl/>
        </w:rPr>
        <w:t>–</w:t>
      </w:r>
      <w:r w:rsidRPr="00A8306F">
        <w:rPr>
          <w:rFonts w:ascii="David" w:hAnsi="David"/>
          <w:sz w:val="20"/>
          <w:szCs w:val="20"/>
          <w:rtl/>
        </w:rPr>
        <w:t>178, יוני</w:t>
      </w:r>
      <w:r>
        <w:rPr>
          <w:rFonts w:ascii="David" w:hAnsi="David" w:hint="cs"/>
          <w:sz w:val="20"/>
          <w:szCs w:val="20"/>
          <w:rtl/>
        </w:rPr>
        <w:t>.</w:t>
      </w:r>
    </w:p>
  </w:footnote>
  <w:footnote w:id="6">
    <w:p w:rsidR="00060B17" w:rsidRPr="00A8306F" w:rsidRDefault="00060B17" w:rsidP="00060B17">
      <w:pPr>
        <w:pStyle w:val="a5"/>
        <w:jc w:val="both"/>
        <w:rPr>
          <w:rFonts w:ascii="David" w:hAnsi="David" w:cs="David"/>
          <w:rtl/>
        </w:rPr>
      </w:pPr>
      <w:r w:rsidRPr="00A8306F">
        <w:rPr>
          <w:rStyle w:val="a6"/>
          <w:rFonts w:ascii="David" w:hAnsi="David"/>
        </w:rPr>
        <w:footnoteRef/>
      </w:r>
      <w:r w:rsidRPr="00A8306F">
        <w:rPr>
          <w:rFonts w:ascii="David" w:hAnsi="David" w:cs="David"/>
          <w:rtl/>
        </w:rPr>
        <w:t xml:space="preserve"> דוגמה משמעותית לגבייה חד</w:t>
      </w:r>
      <w:r>
        <w:rPr>
          <w:rFonts w:ascii="David" w:hAnsi="David" w:cs="David" w:hint="cs"/>
          <w:rtl/>
        </w:rPr>
        <w:t>-</w:t>
      </w:r>
      <w:r w:rsidRPr="00A8306F">
        <w:rPr>
          <w:rFonts w:ascii="David" w:hAnsi="David" w:cs="David"/>
          <w:rtl/>
        </w:rPr>
        <w:t xml:space="preserve">פעמית הייתה ב-2017, כאשר הממשלה החליטה </w:t>
      </w:r>
      <w:r>
        <w:rPr>
          <w:rFonts w:ascii="David" w:hAnsi="David" w:cs="David" w:hint="cs"/>
          <w:rtl/>
        </w:rPr>
        <w:t>על הפחתה זמנית של</w:t>
      </w:r>
      <w:r w:rsidRPr="00A8306F">
        <w:rPr>
          <w:rFonts w:ascii="David" w:hAnsi="David" w:cs="David"/>
          <w:rtl/>
        </w:rPr>
        <w:t xml:space="preserve"> המס על דיווידנדים לבעלי חברות ארנק. מדיניות זו עודדה חלוקת דיווידנדים בהיקפים חריגים וגבייה שהסתכמה בכ-1</w:t>
      </w:r>
      <w:r>
        <w:rPr>
          <w:rFonts w:ascii="David" w:hAnsi="David" w:cs="David" w:hint="cs"/>
          <w:rtl/>
        </w:rPr>
        <w:t>1</w:t>
      </w:r>
      <w:r w:rsidRPr="00A8306F">
        <w:rPr>
          <w:rFonts w:ascii="David" w:hAnsi="David" w:cs="David"/>
          <w:rtl/>
        </w:rPr>
        <w:t xml:space="preserve"> מיליארדי ש"ח. בשל אותה הקדמה נצפתה </w:t>
      </w:r>
      <w:r>
        <w:rPr>
          <w:rFonts w:ascii="David" w:hAnsi="David" w:cs="David" w:hint="cs"/>
          <w:rtl/>
        </w:rPr>
        <w:t>ירידה</w:t>
      </w:r>
      <w:r w:rsidRPr="00A8306F">
        <w:rPr>
          <w:rFonts w:ascii="David" w:hAnsi="David" w:cs="David"/>
          <w:rtl/>
        </w:rPr>
        <w:t xml:space="preserve"> בגבייה מדיווידנדים </w:t>
      </w:r>
      <w:r>
        <w:rPr>
          <w:rFonts w:ascii="David" w:hAnsi="David" w:cs="David" w:hint="cs"/>
          <w:rtl/>
        </w:rPr>
        <w:t>וגידול של החזרי המס</w:t>
      </w:r>
      <w:r w:rsidRPr="00A8306F">
        <w:rPr>
          <w:rFonts w:ascii="David" w:hAnsi="David" w:cs="David"/>
          <w:rtl/>
        </w:rPr>
        <w:t xml:space="preserve"> בשנים הבאות. להרחבה ראו דוח בנק ישראל לשנת 2018, פרק </w:t>
      </w:r>
      <w:r>
        <w:rPr>
          <w:rFonts w:ascii="David" w:hAnsi="David" w:cs="David" w:hint="cs"/>
          <w:rtl/>
        </w:rPr>
        <w:t>ו' "</w:t>
      </w:r>
      <w:r w:rsidRPr="00A8306F">
        <w:rPr>
          <w:rFonts w:ascii="David" w:hAnsi="David" w:cs="David"/>
          <w:rtl/>
        </w:rPr>
        <w:t>המגזר הציבורי ומימונו</w:t>
      </w:r>
      <w:r>
        <w:rPr>
          <w:rFonts w:ascii="David" w:hAnsi="David" w:cs="David" w:hint="cs"/>
          <w:rtl/>
        </w:rPr>
        <w:t>"</w:t>
      </w:r>
      <w:r w:rsidRPr="00A8306F">
        <w:rPr>
          <w:rFonts w:ascii="David" w:hAnsi="David" w:cs="David"/>
          <w:rtl/>
        </w:rPr>
        <w:t>, עמ' 148–149.</w:t>
      </w:r>
    </w:p>
  </w:footnote>
  <w:footnote w:id="7">
    <w:p w:rsidR="00060B17" w:rsidRPr="00A8306F" w:rsidRDefault="00060B17" w:rsidP="00060B17">
      <w:pPr>
        <w:pStyle w:val="a5"/>
        <w:jc w:val="both"/>
        <w:rPr>
          <w:rFonts w:ascii="David" w:hAnsi="David" w:cs="David"/>
          <w:rtl/>
        </w:rPr>
      </w:pPr>
      <w:r w:rsidRPr="00A8306F">
        <w:rPr>
          <w:rStyle w:val="a6"/>
          <w:rFonts w:ascii="David" w:hAnsi="David"/>
        </w:rPr>
        <w:footnoteRef/>
      </w:r>
      <w:r w:rsidRPr="00A8306F">
        <w:rPr>
          <w:rFonts w:ascii="David" w:hAnsi="David" w:cs="David"/>
          <w:rtl/>
        </w:rPr>
        <w:t xml:space="preserve"> לפרטים על מודל המס ראו: </w:t>
      </w:r>
      <w:r w:rsidRPr="00A8306F">
        <w:rPr>
          <w:rFonts w:ascii="David" w:hAnsi="David" w:cs="David"/>
        </w:rPr>
        <w:t xml:space="preserve">A. Brender and G. Navon (2010). "Predicting government tax revenues and analyzing forecast uncertainty", </w:t>
      </w:r>
      <w:r w:rsidRPr="00A8306F">
        <w:rPr>
          <w:rFonts w:ascii="David" w:hAnsi="David" w:cs="David"/>
          <w:i/>
          <w:iCs/>
        </w:rPr>
        <w:t>Israel Economic Review</w:t>
      </w:r>
      <w:r w:rsidRPr="00A8306F">
        <w:rPr>
          <w:rFonts w:ascii="David" w:hAnsi="David" w:cs="David"/>
        </w:rPr>
        <w:t>, 7(2), 81–111.</w:t>
      </w:r>
      <w:r w:rsidRPr="00A8306F">
        <w:rPr>
          <w:rFonts w:ascii="David" w:hAnsi="David" w:cs="David"/>
          <w:rtl/>
        </w:rPr>
        <w:t xml:space="preserve"> הפרמטרים של המודל נאמדו באמצעות מדגם מהשנים 1995–2019.</w:t>
      </w:r>
    </w:p>
  </w:footnote>
  <w:footnote w:id="8">
    <w:p w:rsidR="00060B17" w:rsidRPr="00A8306F" w:rsidRDefault="00060B17" w:rsidP="00060B17">
      <w:pPr>
        <w:pStyle w:val="a5"/>
        <w:jc w:val="both"/>
        <w:rPr>
          <w:rFonts w:ascii="David" w:hAnsi="David" w:cs="David"/>
          <w:rtl/>
        </w:rPr>
      </w:pPr>
      <w:r w:rsidRPr="00A8306F">
        <w:rPr>
          <w:rStyle w:val="a6"/>
          <w:rFonts w:ascii="David" w:hAnsi="David"/>
        </w:rPr>
        <w:footnoteRef/>
      </w:r>
      <w:r w:rsidRPr="00A8306F">
        <w:rPr>
          <w:rFonts w:ascii="David" w:hAnsi="David" w:cs="David"/>
          <w:rtl/>
        </w:rPr>
        <w:t xml:space="preserve"> שני גורמים אפשריים לעליית תקבולי המס על השכר שאינם נכללים במודלהם: התרכזות עלייתו של השכר הממוצע ב-2021 בעיקר בבעלי שכר גבוה, שהמס השולי על הכנסתם גבוה מהממוצע במשק; </w:t>
      </w:r>
      <w:r>
        <w:rPr>
          <w:rFonts w:ascii="David" w:hAnsi="David" w:cs="David" w:hint="cs"/>
          <w:rtl/>
        </w:rPr>
        <w:t>ו</w:t>
      </w:r>
      <w:r w:rsidRPr="00A8306F">
        <w:rPr>
          <w:rFonts w:ascii="David" w:hAnsi="David" w:cs="David"/>
          <w:rtl/>
        </w:rPr>
        <w:t xml:space="preserve">גיוסי הון מסיביים של חברות במגזר ההיי-טק </w:t>
      </w:r>
      <w:r>
        <w:rPr>
          <w:rFonts w:ascii="David" w:hAnsi="David" w:cs="David" w:hint="cs"/>
          <w:rtl/>
        </w:rPr>
        <w:t>,</w:t>
      </w:r>
      <w:r w:rsidRPr="00A8306F">
        <w:rPr>
          <w:rFonts w:ascii="David" w:hAnsi="David" w:cs="David"/>
          <w:rtl/>
        </w:rPr>
        <w:t xml:space="preserve">שתורגמו בחלקם למימושי אופציות על ידי העובדים, ותשלומי מס של חלק מבעלי החברות בגינם. נתונים מדויקים על שני רכיבים אלו אינם זמינים </w:t>
      </w:r>
      <w:r>
        <w:rPr>
          <w:rFonts w:ascii="David" w:hAnsi="David" w:cs="David" w:hint="cs"/>
          <w:rtl/>
        </w:rPr>
        <w:t>כעת,</w:t>
      </w:r>
      <w:r w:rsidRPr="00A8306F">
        <w:rPr>
          <w:rFonts w:ascii="David" w:hAnsi="David" w:cs="David"/>
          <w:rtl/>
        </w:rPr>
        <w:t xml:space="preserve"> אך מסימולציות שערכנו עולה כי הם עשויים להסתכם בכמה מיליארדי ש"ח.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560DE"/>
    <w:multiLevelType w:val="hybridMultilevel"/>
    <w:tmpl w:val="BBEC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17"/>
    <w:rsid w:val="00060B17"/>
    <w:rsid w:val="001C1AFE"/>
    <w:rsid w:val="001C7F48"/>
    <w:rsid w:val="002A6BD5"/>
    <w:rsid w:val="00335EF4"/>
    <w:rsid w:val="00503796"/>
    <w:rsid w:val="0053703A"/>
    <w:rsid w:val="0058689D"/>
    <w:rsid w:val="005B1898"/>
    <w:rsid w:val="005C620B"/>
    <w:rsid w:val="00657A5C"/>
    <w:rsid w:val="007D66E1"/>
    <w:rsid w:val="00982FF9"/>
    <w:rsid w:val="009B615B"/>
    <w:rsid w:val="00A90673"/>
    <w:rsid w:val="00B00CC2"/>
    <w:rsid w:val="00B52685"/>
    <w:rsid w:val="00C07B31"/>
    <w:rsid w:val="00C42E6C"/>
    <w:rsid w:val="00CB0A26"/>
    <w:rsid w:val="00D2705A"/>
    <w:rsid w:val="00D7269E"/>
    <w:rsid w:val="00DA1593"/>
    <w:rsid w:val="00DA6385"/>
    <w:rsid w:val="00DE219E"/>
    <w:rsid w:val="00E7436E"/>
    <w:rsid w:val="00EA502A"/>
    <w:rsid w:val="00EE0294"/>
    <w:rsid w:val="00F03B6A"/>
    <w:rsid w:val="00F122FA"/>
    <w:rsid w:val="00F1661E"/>
    <w:rsid w:val="00FF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B626"/>
  <w15:chartTrackingRefBased/>
  <w15:docId w15:val="{7338CC2D-440E-4529-A112-4383C1D8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B17"/>
    <w:pPr>
      <w:bidi/>
      <w:spacing w:after="0"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B17"/>
    <w:pPr>
      <w:ind w:left="720"/>
      <w:contextualSpacing/>
    </w:pPr>
  </w:style>
  <w:style w:type="character" w:customStyle="1" w:styleId="a4">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fn תו,fn Char תו,single space תו,תו תו"/>
    <w:basedOn w:val="a0"/>
    <w:link w:val="a5"/>
    <w:uiPriority w:val="99"/>
    <w:locked/>
    <w:rsid w:val="00060B17"/>
    <w:rPr>
      <w:sz w:val="20"/>
      <w:szCs w:val="20"/>
    </w:rPr>
  </w:style>
  <w:style w:type="paragraph" w:styleId="a5">
    <w:name w:val="footnote text"/>
    <w:aliases w:val="טקסט הערות שוליים תו2,טקסט הערות שוליים תו1 תו,טקסט הערות שוליים תו תו תו,טקסט הערות שוליים תו תו1,תו תו תו1,Footnote Text תו,תו תו תו תו,fn,fn Char,single space,Footnote Text Char Char Char Char Char Char,תו"/>
    <w:basedOn w:val="a"/>
    <w:link w:val="a4"/>
    <w:uiPriority w:val="99"/>
    <w:unhideWhenUsed/>
    <w:rsid w:val="00060B17"/>
    <w:pPr>
      <w:spacing w:line="240" w:lineRule="auto"/>
      <w:jc w:val="left"/>
    </w:pPr>
    <w:rPr>
      <w:rFonts w:cstheme="minorBidi"/>
      <w:sz w:val="20"/>
      <w:szCs w:val="20"/>
    </w:rPr>
  </w:style>
  <w:style w:type="character" w:customStyle="1" w:styleId="1">
    <w:name w:val="טקסט הערת שוליים תו1"/>
    <w:basedOn w:val="a0"/>
    <w:uiPriority w:val="99"/>
    <w:semiHidden/>
    <w:rsid w:val="00060B17"/>
    <w:rPr>
      <w:rFonts w:cs="David"/>
      <w:sz w:val="20"/>
      <w:szCs w:val="20"/>
    </w:rPr>
  </w:style>
  <w:style w:type="character" w:styleId="a6">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060B17"/>
    <w:rPr>
      <w:vertAlign w:val="superscript"/>
    </w:rPr>
  </w:style>
  <w:style w:type="paragraph" w:styleId="a7">
    <w:name w:val="header"/>
    <w:basedOn w:val="a"/>
    <w:link w:val="a8"/>
    <w:uiPriority w:val="99"/>
    <w:unhideWhenUsed/>
    <w:rsid w:val="005B1898"/>
    <w:pPr>
      <w:tabs>
        <w:tab w:val="center" w:pos="4153"/>
        <w:tab w:val="right" w:pos="8306"/>
      </w:tabs>
      <w:spacing w:line="240" w:lineRule="auto"/>
    </w:pPr>
  </w:style>
  <w:style w:type="character" w:customStyle="1" w:styleId="a8">
    <w:name w:val="כותרת עליונה תו"/>
    <w:basedOn w:val="a0"/>
    <w:link w:val="a7"/>
    <w:uiPriority w:val="99"/>
    <w:rsid w:val="005B1898"/>
    <w:rPr>
      <w:rFonts w:cs="David"/>
    </w:rPr>
  </w:style>
  <w:style w:type="paragraph" w:styleId="a9">
    <w:name w:val="footer"/>
    <w:basedOn w:val="a"/>
    <w:link w:val="aa"/>
    <w:uiPriority w:val="99"/>
    <w:unhideWhenUsed/>
    <w:rsid w:val="005B1898"/>
    <w:pPr>
      <w:tabs>
        <w:tab w:val="center" w:pos="4153"/>
        <w:tab w:val="right" w:pos="8306"/>
      </w:tabs>
      <w:spacing w:line="240" w:lineRule="auto"/>
    </w:pPr>
  </w:style>
  <w:style w:type="character" w:customStyle="1" w:styleId="aa">
    <w:name w:val="כותרת תחתונה תו"/>
    <w:basedOn w:val="a0"/>
    <w:link w:val="a9"/>
    <w:uiPriority w:val="99"/>
    <w:rsid w:val="005B1898"/>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int/pub/pdf/scpwps/ecbwp73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68D045F-3BAD-44FD-AFB0-E86814C50962}"/>
</file>

<file path=customXml/itemProps2.xml><?xml version="1.0" encoding="utf-8"?>
<ds:datastoreItem xmlns:ds="http://schemas.openxmlformats.org/officeDocument/2006/customXml" ds:itemID="{486C92BD-2FDA-4F01-9D8A-D6026663520A}"/>
</file>

<file path=customXml/itemProps3.xml><?xml version="1.0" encoding="utf-8"?>
<ds:datastoreItem xmlns:ds="http://schemas.openxmlformats.org/officeDocument/2006/customXml" ds:itemID="{AEB8F30C-5E03-4D0D-9C69-B138D4AAB3BE}"/>
</file>

<file path=docProps/app.xml><?xml version="1.0" encoding="utf-8"?>
<Properties xmlns="http://schemas.openxmlformats.org/officeDocument/2006/extended-properties" xmlns:vt="http://schemas.openxmlformats.org/officeDocument/2006/docPropsVTypes">
  <Template>Normal.dotm</Template>
  <TotalTime>2</TotalTime>
  <Pages>1</Pages>
  <Words>1591</Words>
  <Characters>7959</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פינקלשטיין</dc:creator>
  <cp:keywords/>
  <dc:description/>
  <cp:lastModifiedBy>עדי פינקלשטיין</cp:lastModifiedBy>
  <cp:revision>3</cp:revision>
  <dcterms:created xsi:type="dcterms:W3CDTF">2022-03-21T09:03:00Z</dcterms:created>
  <dcterms:modified xsi:type="dcterms:W3CDTF">2022-03-21T09:03:00Z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