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78" w:rsidRDefault="00C05BED" w:rsidP="00CB5D78">
      <w:pPr>
        <w:bidi w:val="0"/>
        <w:jc w:val="center"/>
      </w:pPr>
      <w:r>
        <w:rPr>
          <w:noProof/>
        </w:rPr>
        <w:drawing>
          <wp:inline distT="0" distB="0" distL="0" distR="0" wp14:anchorId="53B009AD" wp14:editId="1B499E73">
            <wp:extent cx="772160" cy="769620"/>
            <wp:effectExtent l="0" t="0" r="8890" b="0"/>
            <wp:docPr id="2" name="תמונה 2" descr="Bank of Israel Logo" title="Bank of Israel Logo"/>
            <wp:cNvGraphicFramePr/>
            <a:graphic xmlns:a="http://schemas.openxmlformats.org/drawingml/2006/main">
              <a:graphicData uri="http://schemas.openxmlformats.org/drawingml/2006/picture">
                <pic:pic xmlns:pic="http://schemas.openxmlformats.org/drawingml/2006/picture">
                  <pic:nvPicPr>
                    <pic:cNvPr id="2" name="תמונה 2" descr="K:\Dover\תפעול לשכת הדובר\כלים\לוגו\boi_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769620"/>
                    </a:xfrm>
                    <a:prstGeom prst="rect">
                      <a:avLst/>
                    </a:prstGeom>
                    <a:noFill/>
                    <a:ln>
                      <a:noFill/>
                    </a:ln>
                  </pic:spPr>
                </pic:pic>
              </a:graphicData>
            </a:graphic>
          </wp:inline>
        </w:drawing>
      </w:r>
    </w:p>
    <w:p w:rsidR="0037177F" w:rsidRPr="00E8008F" w:rsidRDefault="0037177F" w:rsidP="0037177F">
      <w:pPr>
        <w:bidi w:val="0"/>
        <w:jc w:val="center"/>
        <w:rPr>
          <w:rtl/>
        </w:rPr>
      </w:pPr>
    </w:p>
    <w:p w:rsidR="00CB5D78" w:rsidRPr="008E4D8E" w:rsidRDefault="00CB5D78" w:rsidP="0094738B">
      <w:pPr>
        <w:pStyle w:val="LetterheadBOI"/>
      </w:pPr>
      <w:r w:rsidRPr="008E4D8E">
        <w:t>BANK OF ISRAEL</w:t>
      </w:r>
    </w:p>
    <w:p w:rsidR="00CB5D78" w:rsidRPr="008E4D8E" w:rsidRDefault="00CB5D78" w:rsidP="0094738B">
      <w:pPr>
        <w:pStyle w:val="Letterhead2"/>
        <w:rPr>
          <w:b/>
        </w:rPr>
      </w:pPr>
      <w:r w:rsidRPr="008E4D8E">
        <w:t>Office of the Spokesperson and Economic Information</w:t>
      </w:r>
    </w:p>
    <w:p w:rsidR="00CB5D78" w:rsidRDefault="00CB5D78" w:rsidP="00CB5D78">
      <w:pPr>
        <w:bidi w:val="0"/>
        <w:jc w:val="center"/>
        <w:rPr>
          <w:rFonts w:cs="David"/>
          <w:b/>
          <w:bCs/>
          <w:sz w:val="26"/>
          <w:szCs w:val="26"/>
        </w:rPr>
      </w:pPr>
    </w:p>
    <w:p w:rsidR="00CB5D78" w:rsidRDefault="00B264C2" w:rsidP="00616381">
      <w:pPr>
        <w:bidi w:val="0"/>
        <w:jc w:val="right"/>
      </w:pPr>
      <w:r>
        <w:t>September 17</w:t>
      </w:r>
      <w:r w:rsidR="000C6D17">
        <w:t>, 2017</w:t>
      </w:r>
    </w:p>
    <w:p w:rsidR="00883627" w:rsidRDefault="00883627" w:rsidP="0094738B">
      <w:pPr>
        <w:pStyle w:val="PressReleaseTitle"/>
      </w:pPr>
    </w:p>
    <w:p w:rsidR="00CB5D78" w:rsidRPr="00D030B9" w:rsidRDefault="00CB5D78" w:rsidP="0094738B">
      <w:pPr>
        <w:pStyle w:val="PressReleaseTitle"/>
        <w:rPr>
          <w:b w:val="0"/>
          <w:bCs w:val="0"/>
          <w:sz w:val="24"/>
          <w:szCs w:val="24"/>
        </w:rPr>
      </w:pPr>
      <w:r w:rsidRPr="00D030B9">
        <w:rPr>
          <w:b w:val="0"/>
          <w:bCs w:val="0"/>
          <w:sz w:val="24"/>
          <w:szCs w:val="24"/>
        </w:rPr>
        <w:t>Press Release</w:t>
      </w:r>
    </w:p>
    <w:p w:rsidR="0094738B" w:rsidRPr="0094738B" w:rsidRDefault="0094738B" w:rsidP="0094738B">
      <w:pPr>
        <w:pStyle w:val="PressReleaseTitle"/>
      </w:pPr>
    </w:p>
    <w:p w:rsidR="0094738B" w:rsidRPr="00D030B9" w:rsidRDefault="00DD15DC" w:rsidP="00B264C2">
      <w:pPr>
        <w:pStyle w:val="PressReleaseTitle"/>
        <w:rPr>
          <w:sz w:val="27"/>
          <w:szCs w:val="27"/>
        </w:rPr>
      </w:pPr>
      <w:bookmarkStart w:id="0" w:name="_GoBack"/>
      <w:r w:rsidRPr="00D030B9">
        <w:rPr>
          <w:sz w:val="27"/>
          <w:szCs w:val="27"/>
        </w:rPr>
        <w:t xml:space="preserve">Israel’s International Investment Position (IIP), </w:t>
      </w:r>
      <w:r w:rsidR="00B264C2" w:rsidRPr="00D030B9">
        <w:rPr>
          <w:sz w:val="27"/>
          <w:szCs w:val="27"/>
        </w:rPr>
        <w:t>Second</w:t>
      </w:r>
      <w:r w:rsidR="007975F1" w:rsidRPr="00D030B9">
        <w:rPr>
          <w:sz w:val="27"/>
          <w:szCs w:val="27"/>
        </w:rPr>
        <w:t xml:space="preserve"> </w:t>
      </w:r>
      <w:r w:rsidR="00B264C2" w:rsidRPr="00D030B9">
        <w:rPr>
          <w:sz w:val="27"/>
          <w:szCs w:val="27"/>
        </w:rPr>
        <w:t>Q</w:t>
      </w:r>
      <w:r w:rsidR="007975F1" w:rsidRPr="00D030B9">
        <w:rPr>
          <w:sz w:val="27"/>
          <w:szCs w:val="27"/>
        </w:rPr>
        <w:t>uarter</w:t>
      </w:r>
      <w:r w:rsidR="000C6D17" w:rsidRPr="00D030B9">
        <w:rPr>
          <w:sz w:val="27"/>
          <w:szCs w:val="27"/>
        </w:rPr>
        <w:t xml:space="preserve"> of </w:t>
      </w:r>
      <w:r w:rsidR="007975F1" w:rsidRPr="00D030B9">
        <w:rPr>
          <w:sz w:val="27"/>
          <w:szCs w:val="27"/>
        </w:rPr>
        <w:t>2017</w:t>
      </w:r>
    </w:p>
    <w:bookmarkEnd w:id="0"/>
    <w:p w:rsidR="0094738B" w:rsidRDefault="0094738B" w:rsidP="0094738B">
      <w:pPr>
        <w:pStyle w:val="PressReleaseTitle"/>
      </w:pPr>
    </w:p>
    <w:p w:rsidR="00DD15DC" w:rsidRDefault="00DD15DC" w:rsidP="00DD15DC">
      <w:pPr>
        <w:pStyle w:val="regpar"/>
        <w:jc w:val="center"/>
        <w:outlineLvl w:val="0"/>
        <w:rPr>
          <w:b/>
          <w:bCs/>
        </w:rPr>
      </w:pPr>
    </w:p>
    <w:p w:rsidR="00DD15DC" w:rsidRDefault="00DD15DC" w:rsidP="00DD15DC">
      <w:pPr>
        <w:pStyle w:val="regpar"/>
        <w:jc w:val="center"/>
        <w:outlineLvl w:val="0"/>
        <w:rPr>
          <w:sz w:val="22"/>
        </w:rPr>
      </w:pPr>
    </w:p>
    <w:p w:rsidR="00DD15DC" w:rsidRDefault="00DD15DC" w:rsidP="00926D84">
      <w:pPr>
        <w:pStyle w:val="regpar"/>
        <w:numPr>
          <w:ilvl w:val="0"/>
          <w:numId w:val="2"/>
        </w:numPr>
        <w:tabs>
          <w:tab w:val="clear" w:pos="720"/>
          <w:tab w:val="num" w:pos="360"/>
        </w:tabs>
        <w:ind w:left="360"/>
        <w:rPr>
          <w:b/>
          <w:bCs/>
        </w:rPr>
      </w:pPr>
      <w:r>
        <w:rPr>
          <w:b/>
          <w:bCs/>
        </w:rPr>
        <w:t xml:space="preserve">In the </w:t>
      </w:r>
      <w:r w:rsidR="00B264C2">
        <w:rPr>
          <w:b/>
          <w:bCs/>
        </w:rPr>
        <w:t>second</w:t>
      </w:r>
      <w:r w:rsidR="007975F1">
        <w:rPr>
          <w:b/>
          <w:bCs/>
        </w:rPr>
        <w:t xml:space="preserve"> quarter</w:t>
      </w:r>
      <w:r>
        <w:rPr>
          <w:b/>
          <w:bCs/>
        </w:rPr>
        <w:t xml:space="preserve"> of </w:t>
      </w:r>
      <w:r w:rsidR="007975F1">
        <w:rPr>
          <w:b/>
          <w:bCs/>
        </w:rPr>
        <w:t>2017</w:t>
      </w:r>
      <w:r>
        <w:rPr>
          <w:b/>
          <w:bCs/>
        </w:rPr>
        <w:t xml:space="preserve">, Israel’s surplus of assets over liabilities vis-à-vis abroad </w:t>
      </w:r>
      <w:r w:rsidR="00B264C2">
        <w:rPr>
          <w:b/>
          <w:bCs/>
        </w:rPr>
        <w:t>declin</w:t>
      </w:r>
      <w:r w:rsidR="00FA56EC">
        <w:rPr>
          <w:b/>
          <w:bCs/>
        </w:rPr>
        <w:t>ed</w:t>
      </w:r>
      <w:r>
        <w:rPr>
          <w:b/>
          <w:bCs/>
        </w:rPr>
        <w:t xml:space="preserve"> by about $</w:t>
      </w:r>
      <w:r w:rsidR="00B264C2">
        <w:rPr>
          <w:b/>
          <w:bCs/>
        </w:rPr>
        <w:t>1.8</w:t>
      </w:r>
      <w:r w:rsidR="007975F1">
        <w:rPr>
          <w:b/>
          <w:bCs/>
        </w:rPr>
        <w:t xml:space="preserve"> </w:t>
      </w:r>
      <w:r>
        <w:rPr>
          <w:b/>
          <w:bCs/>
        </w:rPr>
        <w:t xml:space="preserve">billion (about </w:t>
      </w:r>
      <w:r w:rsidR="00B264C2">
        <w:rPr>
          <w:b/>
          <w:bCs/>
        </w:rPr>
        <w:t>1</w:t>
      </w:r>
      <w:r w:rsidR="007975F1">
        <w:rPr>
          <w:b/>
          <w:bCs/>
        </w:rPr>
        <w:t>.5</w:t>
      </w:r>
      <w:r>
        <w:rPr>
          <w:b/>
          <w:bCs/>
        </w:rPr>
        <w:t xml:space="preserve"> percent), </w:t>
      </w:r>
      <w:r w:rsidR="00B264C2">
        <w:rPr>
          <w:b/>
          <w:bCs/>
        </w:rPr>
        <w:t>in contrast with</w:t>
      </w:r>
      <w:r>
        <w:rPr>
          <w:b/>
          <w:bCs/>
        </w:rPr>
        <w:t xml:space="preserve"> </w:t>
      </w:r>
      <w:r w:rsidR="00FA56EC">
        <w:rPr>
          <w:b/>
          <w:bCs/>
        </w:rPr>
        <w:t>an</w:t>
      </w:r>
      <w:r w:rsidRPr="001C144B">
        <w:rPr>
          <w:b/>
          <w:bCs/>
        </w:rPr>
        <w:t xml:space="preserve"> </w:t>
      </w:r>
      <w:r>
        <w:rPr>
          <w:b/>
          <w:bCs/>
        </w:rPr>
        <w:t>increase of about $</w:t>
      </w:r>
      <w:r w:rsidR="00B264C2">
        <w:rPr>
          <w:b/>
          <w:bCs/>
        </w:rPr>
        <w:t>7.1</w:t>
      </w:r>
      <w:r>
        <w:rPr>
          <w:b/>
          <w:bCs/>
        </w:rPr>
        <w:t xml:space="preserve"> billion (</w:t>
      </w:r>
      <w:r w:rsidR="00B264C2">
        <w:rPr>
          <w:b/>
          <w:bCs/>
        </w:rPr>
        <w:t>6.</w:t>
      </w:r>
      <w:r w:rsidR="007975F1">
        <w:rPr>
          <w:b/>
          <w:bCs/>
        </w:rPr>
        <w:t>5</w:t>
      </w:r>
      <w:r>
        <w:rPr>
          <w:b/>
          <w:bCs/>
        </w:rPr>
        <w:t xml:space="preserve"> percent)</w:t>
      </w:r>
      <w:r w:rsidR="00FA56EC">
        <w:rPr>
          <w:b/>
          <w:bCs/>
        </w:rPr>
        <w:t xml:space="preserve"> in </w:t>
      </w:r>
      <w:r w:rsidR="00B264C2">
        <w:rPr>
          <w:b/>
          <w:bCs/>
        </w:rPr>
        <w:t>the first quarter of the year</w:t>
      </w:r>
      <w:r w:rsidR="006677F8">
        <w:rPr>
          <w:b/>
          <w:bCs/>
        </w:rPr>
        <w:t>.</w:t>
      </w:r>
      <w:r>
        <w:rPr>
          <w:b/>
          <w:bCs/>
        </w:rPr>
        <w:t xml:space="preserve"> </w:t>
      </w:r>
      <w:r w:rsidR="00926D84">
        <w:rPr>
          <w:b/>
          <w:bCs/>
        </w:rPr>
        <w:t>Outstanding liabilities to abroad increased by a greater amount than Israel’s assets vis-à-vis abroad.</w:t>
      </w:r>
    </w:p>
    <w:p w:rsidR="00200E59" w:rsidRDefault="00200E59" w:rsidP="0093019F">
      <w:pPr>
        <w:pStyle w:val="regpar"/>
        <w:numPr>
          <w:ilvl w:val="0"/>
          <w:numId w:val="2"/>
        </w:numPr>
        <w:tabs>
          <w:tab w:val="clear" w:pos="720"/>
          <w:tab w:val="num" w:pos="360"/>
        </w:tabs>
        <w:ind w:left="360"/>
        <w:rPr>
          <w:b/>
          <w:bCs/>
        </w:rPr>
      </w:pPr>
      <w:r w:rsidRPr="001D407E">
        <w:rPr>
          <w:b/>
          <w:bCs/>
        </w:rPr>
        <w:t xml:space="preserve">The increase in the value of the portfolio of Israelis’ assets held abroad in the </w:t>
      </w:r>
      <w:r w:rsidR="00926D84">
        <w:rPr>
          <w:b/>
          <w:bCs/>
        </w:rPr>
        <w:t>second</w:t>
      </w:r>
      <w:r w:rsidR="007975F1" w:rsidRPr="001D407E">
        <w:rPr>
          <w:b/>
          <w:bCs/>
        </w:rPr>
        <w:t xml:space="preserve"> quarter</w:t>
      </w:r>
      <w:r w:rsidRPr="001D407E">
        <w:rPr>
          <w:b/>
          <w:bCs/>
        </w:rPr>
        <w:t xml:space="preserve"> ($</w:t>
      </w:r>
      <w:r w:rsidR="00926D84">
        <w:rPr>
          <w:b/>
          <w:bCs/>
        </w:rPr>
        <w:t>9</w:t>
      </w:r>
      <w:r w:rsidRPr="001D407E">
        <w:rPr>
          <w:b/>
          <w:bCs/>
        </w:rPr>
        <w:t xml:space="preserve">.4 billion, </w:t>
      </w:r>
      <w:r w:rsidR="00926D84">
        <w:rPr>
          <w:b/>
          <w:bCs/>
        </w:rPr>
        <w:t>2.4</w:t>
      </w:r>
      <w:r w:rsidR="001D407E">
        <w:rPr>
          <w:b/>
          <w:bCs/>
        </w:rPr>
        <w:t xml:space="preserve"> percent) was a </w:t>
      </w:r>
      <w:r w:rsidR="00926D84">
        <w:rPr>
          <w:b/>
          <w:bCs/>
        </w:rPr>
        <w:t xml:space="preserve">mainly </w:t>
      </w:r>
      <w:r w:rsidR="001D407E">
        <w:rPr>
          <w:b/>
          <w:bCs/>
        </w:rPr>
        <w:t xml:space="preserve">result of </w:t>
      </w:r>
      <w:r w:rsidR="00926D84">
        <w:rPr>
          <w:b/>
          <w:bCs/>
        </w:rPr>
        <w:t xml:space="preserve">an increase in the prices of foreign </w:t>
      </w:r>
      <w:r w:rsidR="0093019F">
        <w:rPr>
          <w:b/>
          <w:bCs/>
        </w:rPr>
        <w:t>stocks</w:t>
      </w:r>
      <w:r w:rsidR="00926D84">
        <w:rPr>
          <w:b/>
          <w:bCs/>
        </w:rPr>
        <w:t xml:space="preserve"> and bonds ($3.1 billion, 0.8 percent) and an increase in Israel’s reserve assets ($5.5 billion, 5.4 percent)</w:t>
      </w:r>
      <w:r>
        <w:rPr>
          <w:b/>
          <w:bCs/>
        </w:rPr>
        <w:t>.</w:t>
      </w:r>
    </w:p>
    <w:p w:rsidR="00DD15DC" w:rsidRPr="00450723" w:rsidRDefault="00DD15DC" w:rsidP="0093019F">
      <w:pPr>
        <w:pStyle w:val="regpar"/>
        <w:numPr>
          <w:ilvl w:val="0"/>
          <w:numId w:val="2"/>
        </w:numPr>
        <w:tabs>
          <w:tab w:val="clear" w:pos="720"/>
          <w:tab w:val="num" w:pos="360"/>
        </w:tabs>
        <w:ind w:left="360"/>
        <w:rPr>
          <w:b/>
          <w:bCs/>
        </w:rPr>
      </w:pPr>
      <w:r w:rsidRPr="0093019F">
        <w:rPr>
          <w:b/>
          <w:bCs/>
        </w:rPr>
        <w:t xml:space="preserve">The </w:t>
      </w:r>
      <w:r w:rsidR="001D407E" w:rsidRPr="0093019F">
        <w:rPr>
          <w:b/>
          <w:bCs/>
        </w:rPr>
        <w:t>increase</w:t>
      </w:r>
      <w:r>
        <w:rPr>
          <w:b/>
          <w:bCs/>
        </w:rPr>
        <w:t xml:space="preserve"> in the gross balance of liabilities to abroad </w:t>
      </w:r>
      <w:r w:rsidR="00FA56EC">
        <w:rPr>
          <w:b/>
          <w:bCs/>
        </w:rPr>
        <w:t xml:space="preserve">in the </w:t>
      </w:r>
      <w:r w:rsidR="0093019F">
        <w:rPr>
          <w:b/>
          <w:bCs/>
        </w:rPr>
        <w:t>second</w:t>
      </w:r>
      <w:r w:rsidR="007975F1">
        <w:rPr>
          <w:b/>
          <w:bCs/>
        </w:rPr>
        <w:t xml:space="preserve"> quarter</w:t>
      </w:r>
      <w:r w:rsidR="00FA56EC">
        <w:rPr>
          <w:b/>
          <w:bCs/>
        </w:rPr>
        <w:t xml:space="preserve"> </w:t>
      </w:r>
      <w:r w:rsidR="00200E59">
        <w:rPr>
          <w:b/>
          <w:bCs/>
        </w:rPr>
        <w:t>($</w:t>
      </w:r>
      <w:r w:rsidR="0093019F">
        <w:rPr>
          <w:b/>
          <w:bCs/>
        </w:rPr>
        <w:t>11.1</w:t>
      </w:r>
      <w:r w:rsidR="00200E59">
        <w:rPr>
          <w:b/>
          <w:bCs/>
        </w:rPr>
        <w:t xml:space="preserve"> billion, </w:t>
      </w:r>
      <w:r w:rsidR="0093019F">
        <w:rPr>
          <w:b/>
          <w:bCs/>
        </w:rPr>
        <w:t>4</w:t>
      </w:r>
      <w:r w:rsidR="00200E59">
        <w:rPr>
          <w:b/>
          <w:bCs/>
        </w:rPr>
        <w:t xml:space="preserve"> percent) </w:t>
      </w:r>
      <w:r w:rsidR="0093019F">
        <w:rPr>
          <w:b/>
          <w:bCs/>
        </w:rPr>
        <w:t xml:space="preserve">was </w:t>
      </w:r>
      <w:r>
        <w:rPr>
          <w:b/>
          <w:bCs/>
        </w:rPr>
        <w:t xml:space="preserve">mainly </w:t>
      </w:r>
      <w:r w:rsidR="0093019F">
        <w:rPr>
          <w:b/>
          <w:bCs/>
        </w:rPr>
        <w:t>a result of</w:t>
      </w:r>
      <w:r>
        <w:rPr>
          <w:b/>
          <w:bCs/>
        </w:rPr>
        <w:t xml:space="preserve"> </w:t>
      </w:r>
      <w:r w:rsidR="001D407E">
        <w:rPr>
          <w:b/>
          <w:bCs/>
        </w:rPr>
        <w:t xml:space="preserve">the flow of financial investments in </w:t>
      </w:r>
      <w:r w:rsidR="0093019F">
        <w:rPr>
          <w:b/>
          <w:bCs/>
        </w:rPr>
        <w:t xml:space="preserve">stocks and </w:t>
      </w:r>
      <w:r w:rsidR="001D407E">
        <w:rPr>
          <w:b/>
          <w:bCs/>
        </w:rPr>
        <w:t>bonds ($</w:t>
      </w:r>
      <w:r w:rsidR="0093019F">
        <w:rPr>
          <w:b/>
          <w:bCs/>
        </w:rPr>
        <w:t>2.8</w:t>
      </w:r>
      <w:r w:rsidR="001D407E">
        <w:rPr>
          <w:b/>
          <w:bCs/>
        </w:rPr>
        <w:t xml:space="preserve"> billion, </w:t>
      </w:r>
      <w:r w:rsidR="0093019F">
        <w:rPr>
          <w:b/>
          <w:bCs/>
        </w:rPr>
        <w:t>1</w:t>
      </w:r>
      <w:r w:rsidR="001D407E">
        <w:rPr>
          <w:b/>
          <w:bCs/>
        </w:rPr>
        <w:t xml:space="preserve"> percent) and direct investments in shares ($</w:t>
      </w:r>
      <w:r w:rsidR="0093019F">
        <w:rPr>
          <w:b/>
          <w:bCs/>
        </w:rPr>
        <w:t>2</w:t>
      </w:r>
      <w:r w:rsidR="001D407E">
        <w:rPr>
          <w:b/>
          <w:bCs/>
        </w:rPr>
        <w:t xml:space="preserve"> billion, 0.</w:t>
      </w:r>
      <w:r w:rsidR="0093019F">
        <w:rPr>
          <w:b/>
          <w:bCs/>
        </w:rPr>
        <w:t>7</w:t>
      </w:r>
      <w:r w:rsidR="001D407E">
        <w:rPr>
          <w:b/>
          <w:bCs/>
        </w:rPr>
        <w:t xml:space="preserve"> percent), in parallel with an increase in the prices of Israeli shares held by nonresidents ($3.</w:t>
      </w:r>
      <w:r w:rsidR="0093019F">
        <w:rPr>
          <w:b/>
          <w:bCs/>
        </w:rPr>
        <w:t>1</w:t>
      </w:r>
      <w:r w:rsidR="001D407E">
        <w:rPr>
          <w:b/>
          <w:bCs/>
        </w:rPr>
        <w:t xml:space="preserve"> billion, 1.</w:t>
      </w:r>
      <w:r w:rsidR="0093019F">
        <w:rPr>
          <w:b/>
          <w:bCs/>
        </w:rPr>
        <w:t>1</w:t>
      </w:r>
      <w:r w:rsidR="001D407E">
        <w:rPr>
          <w:b/>
          <w:bCs/>
        </w:rPr>
        <w:t xml:space="preserve"> percent). </w:t>
      </w:r>
    </w:p>
    <w:p w:rsidR="00200E59" w:rsidRDefault="00200E59" w:rsidP="0093019F">
      <w:pPr>
        <w:pStyle w:val="regpar"/>
        <w:numPr>
          <w:ilvl w:val="0"/>
          <w:numId w:val="2"/>
        </w:numPr>
        <w:tabs>
          <w:tab w:val="clear" w:pos="720"/>
          <w:tab w:val="num" w:pos="360"/>
        </w:tabs>
        <w:ind w:left="360"/>
        <w:rPr>
          <w:b/>
          <w:bCs/>
        </w:rPr>
      </w:pPr>
      <w:r>
        <w:rPr>
          <w:b/>
          <w:bCs/>
        </w:rPr>
        <w:t>The surplus of assets over liabilities vis-à-vis abroad in debt instruments alone</w:t>
      </w:r>
      <w:r w:rsidRPr="00B64E6A">
        <w:rPr>
          <w:b/>
          <w:bCs/>
        </w:rPr>
        <w:t xml:space="preserve"> </w:t>
      </w:r>
      <w:r>
        <w:rPr>
          <w:b/>
          <w:bCs/>
        </w:rPr>
        <w:t xml:space="preserve">(negative net external debt) increased in the </w:t>
      </w:r>
      <w:r w:rsidR="0093019F">
        <w:rPr>
          <w:b/>
          <w:bCs/>
        </w:rPr>
        <w:t>second</w:t>
      </w:r>
      <w:r w:rsidR="007975F1">
        <w:rPr>
          <w:b/>
          <w:bCs/>
        </w:rPr>
        <w:t xml:space="preserve"> quarter</w:t>
      </w:r>
      <w:r>
        <w:rPr>
          <w:b/>
          <w:bCs/>
        </w:rPr>
        <w:t xml:space="preserve"> of </w:t>
      </w:r>
      <w:r w:rsidR="007975F1">
        <w:rPr>
          <w:b/>
          <w:bCs/>
        </w:rPr>
        <w:t>2017</w:t>
      </w:r>
      <w:r>
        <w:rPr>
          <w:b/>
          <w:bCs/>
        </w:rPr>
        <w:t xml:space="preserve"> by about $</w:t>
      </w:r>
      <w:r w:rsidR="0093019F">
        <w:rPr>
          <w:b/>
          <w:bCs/>
        </w:rPr>
        <w:t>1.</w:t>
      </w:r>
      <w:r w:rsidR="001D407E">
        <w:rPr>
          <w:b/>
          <w:bCs/>
        </w:rPr>
        <w:t>6</w:t>
      </w:r>
      <w:r>
        <w:rPr>
          <w:b/>
          <w:bCs/>
        </w:rPr>
        <w:t xml:space="preserve"> billion (</w:t>
      </w:r>
      <w:r w:rsidR="0093019F">
        <w:rPr>
          <w:b/>
          <w:bCs/>
        </w:rPr>
        <w:t>1.1</w:t>
      </w:r>
      <w:r>
        <w:rPr>
          <w:b/>
          <w:bCs/>
        </w:rPr>
        <w:t xml:space="preserve"> percent), to about $1</w:t>
      </w:r>
      <w:r w:rsidR="001D407E">
        <w:rPr>
          <w:b/>
          <w:bCs/>
        </w:rPr>
        <w:t>4</w:t>
      </w:r>
      <w:r w:rsidR="0093019F">
        <w:rPr>
          <w:b/>
          <w:bCs/>
        </w:rPr>
        <w:t>2</w:t>
      </w:r>
      <w:r>
        <w:rPr>
          <w:b/>
          <w:bCs/>
        </w:rPr>
        <w:t xml:space="preserve"> billion at the end of </w:t>
      </w:r>
      <w:r w:rsidRPr="00F273FA">
        <w:rPr>
          <w:b/>
          <w:bCs/>
        </w:rPr>
        <w:t xml:space="preserve">the </w:t>
      </w:r>
      <w:r w:rsidRPr="00A96DDE">
        <w:rPr>
          <w:b/>
          <w:bCs/>
        </w:rPr>
        <w:t>quarter</w:t>
      </w:r>
      <w:r w:rsidRPr="00F273FA">
        <w:rPr>
          <w:b/>
          <w:bCs/>
        </w:rPr>
        <w:t>.</w:t>
      </w:r>
    </w:p>
    <w:p w:rsidR="00200E59" w:rsidRDefault="006677F8" w:rsidP="0093019F">
      <w:pPr>
        <w:pStyle w:val="regpar"/>
        <w:numPr>
          <w:ilvl w:val="0"/>
          <w:numId w:val="2"/>
        </w:numPr>
        <w:tabs>
          <w:tab w:val="clear" w:pos="720"/>
          <w:tab w:val="num" w:pos="360"/>
        </w:tabs>
        <w:ind w:left="360"/>
        <w:rPr>
          <w:b/>
          <w:bCs/>
        </w:rPr>
      </w:pPr>
      <w:r>
        <w:rPr>
          <w:b/>
          <w:bCs/>
        </w:rPr>
        <w:t>T</w:t>
      </w:r>
      <w:r w:rsidR="00DD15DC">
        <w:rPr>
          <w:b/>
          <w:bCs/>
        </w:rPr>
        <w:t xml:space="preserve">he gross external debt to GDP ratio </w:t>
      </w:r>
      <w:r w:rsidR="001D407E">
        <w:rPr>
          <w:b/>
          <w:bCs/>
        </w:rPr>
        <w:t>declin</w:t>
      </w:r>
      <w:r w:rsidR="00405EEE">
        <w:rPr>
          <w:b/>
          <w:bCs/>
        </w:rPr>
        <w:t xml:space="preserve">ed in the </w:t>
      </w:r>
      <w:r w:rsidR="0093019F">
        <w:rPr>
          <w:b/>
          <w:bCs/>
        </w:rPr>
        <w:t>second</w:t>
      </w:r>
      <w:r w:rsidR="007975F1">
        <w:rPr>
          <w:b/>
          <w:bCs/>
        </w:rPr>
        <w:t xml:space="preserve"> quarter</w:t>
      </w:r>
      <w:r>
        <w:rPr>
          <w:b/>
          <w:bCs/>
        </w:rPr>
        <w:t xml:space="preserve">, </w:t>
      </w:r>
      <w:r w:rsidR="00200E59">
        <w:rPr>
          <w:b/>
          <w:bCs/>
        </w:rPr>
        <w:t>to</w:t>
      </w:r>
      <w:r w:rsidR="00DD15DC">
        <w:rPr>
          <w:b/>
          <w:bCs/>
        </w:rPr>
        <w:t xml:space="preserve"> </w:t>
      </w:r>
      <w:r w:rsidR="00FA56EC">
        <w:rPr>
          <w:b/>
          <w:bCs/>
        </w:rPr>
        <w:t>2</w:t>
      </w:r>
      <w:r w:rsidR="00405EEE">
        <w:rPr>
          <w:b/>
          <w:bCs/>
        </w:rPr>
        <w:t>6</w:t>
      </w:r>
      <w:r w:rsidR="00DD15DC">
        <w:rPr>
          <w:b/>
          <w:bCs/>
        </w:rPr>
        <w:t xml:space="preserve"> percent at the end of </w:t>
      </w:r>
      <w:r w:rsidR="0093019F">
        <w:rPr>
          <w:b/>
          <w:bCs/>
        </w:rPr>
        <w:t>June</w:t>
      </w:r>
      <w:r w:rsidR="00200E59">
        <w:rPr>
          <w:b/>
          <w:bCs/>
        </w:rPr>
        <w:t>, the result of</w:t>
      </w:r>
      <w:r>
        <w:rPr>
          <w:b/>
          <w:bCs/>
        </w:rPr>
        <w:t xml:space="preserve"> </w:t>
      </w:r>
      <w:r w:rsidR="00200E59">
        <w:rPr>
          <w:b/>
          <w:bCs/>
        </w:rPr>
        <w:t>a</w:t>
      </w:r>
      <w:r w:rsidR="00405EEE">
        <w:rPr>
          <w:b/>
          <w:bCs/>
        </w:rPr>
        <w:t xml:space="preserve"> </w:t>
      </w:r>
      <w:r w:rsidR="0093019F">
        <w:rPr>
          <w:b/>
          <w:bCs/>
        </w:rPr>
        <w:t>negligible increase</w:t>
      </w:r>
      <w:r w:rsidR="00200E59">
        <w:rPr>
          <w:b/>
          <w:bCs/>
        </w:rPr>
        <w:t xml:space="preserve"> </w:t>
      </w:r>
      <w:r w:rsidR="00DC598D">
        <w:rPr>
          <w:b/>
          <w:bCs/>
        </w:rPr>
        <w:t xml:space="preserve">in the shekel value of gross external debt </w:t>
      </w:r>
      <w:r w:rsidR="0093019F">
        <w:rPr>
          <w:b/>
          <w:bCs/>
        </w:rPr>
        <w:t>due to</w:t>
      </w:r>
      <w:r w:rsidR="001D407E">
        <w:rPr>
          <w:b/>
          <w:bCs/>
        </w:rPr>
        <w:t xml:space="preserve"> the appreciation of the shekel, in parallel with an </w:t>
      </w:r>
      <w:r w:rsidR="00200E59">
        <w:rPr>
          <w:b/>
          <w:bCs/>
        </w:rPr>
        <w:t>increase in GDP.</w:t>
      </w:r>
    </w:p>
    <w:p w:rsidR="00DD15DC" w:rsidRDefault="00200E59" w:rsidP="00200E59">
      <w:pPr>
        <w:pStyle w:val="regpar"/>
        <w:ind w:left="360" w:firstLine="0"/>
        <w:rPr>
          <w:b/>
          <w:bCs/>
        </w:rPr>
      </w:pPr>
      <w:r>
        <w:rPr>
          <w:b/>
          <w:bCs/>
        </w:rPr>
        <w:t xml:space="preserve"> </w:t>
      </w: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r w:rsidRPr="003300B7">
        <w:rPr>
          <w:noProof/>
        </w:rPr>
        <w:lastRenderedPageBreak/>
        <w:drawing>
          <wp:anchor distT="0" distB="0" distL="114300" distR="114300" simplePos="0" relativeHeight="251658240" behindDoc="0" locked="0" layoutInCell="1" allowOverlap="1" wp14:anchorId="077FB56A" wp14:editId="495F5D47">
            <wp:simplePos x="0" y="0"/>
            <wp:positionH relativeFrom="column">
              <wp:posOffset>-817245</wp:posOffset>
            </wp:positionH>
            <wp:positionV relativeFrom="paragraph">
              <wp:posOffset>144145</wp:posOffset>
            </wp:positionV>
            <wp:extent cx="6924675" cy="3009900"/>
            <wp:effectExtent l="0" t="0" r="9525" b="0"/>
            <wp:wrapNone/>
            <wp:docPr id="1" name="תמונה 1" descr="A table detailing the balance of Israel’s assets and liabilities vis-à-vis abroad, and the changes in those categories.  The table can be found in the Excel file attached to this notice in the “Table” worksheet." title="Table 1: Balance of Assets and Liabilities and changes i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924675" cy="3009900"/>
                    </a:xfrm>
                    <a:prstGeom prst="rect">
                      <a:avLst/>
                    </a:prstGeom>
                  </pic:spPr>
                </pic:pic>
              </a:graphicData>
            </a:graphic>
            <wp14:sizeRelH relativeFrom="page">
              <wp14:pctWidth>0</wp14:pctWidth>
            </wp14:sizeRelH>
            <wp14:sizeRelV relativeFrom="page">
              <wp14:pctHeight>0</wp14:pctHeight>
            </wp14:sizeRelV>
          </wp:anchor>
        </w:drawing>
      </w: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rPr>
          <w:b/>
          <w:bCs/>
        </w:rPr>
      </w:pPr>
    </w:p>
    <w:p w:rsidR="003300B7" w:rsidRDefault="003300B7" w:rsidP="00DD15DC">
      <w:pPr>
        <w:pStyle w:val="regpar"/>
        <w:ind w:firstLine="0"/>
      </w:pPr>
    </w:p>
    <w:p w:rsidR="003300B7" w:rsidRDefault="003300B7" w:rsidP="00DD15DC">
      <w:pPr>
        <w:pStyle w:val="regpar"/>
        <w:ind w:firstLine="0"/>
      </w:pPr>
    </w:p>
    <w:p w:rsidR="003300B7" w:rsidRDefault="003300B7" w:rsidP="00DD15DC">
      <w:pPr>
        <w:pStyle w:val="regpar"/>
        <w:ind w:firstLine="0"/>
      </w:pPr>
    </w:p>
    <w:p w:rsidR="003300B7" w:rsidRDefault="003300B7" w:rsidP="00DD15DC">
      <w:pPr>
        <w:pStyle w:val="regpar"/>
        <w:ind w:firstLine="0"/>
      </w:pPr>
    </w:p>
    <w:p w:rsidR="003300B7" w:rsidRDefault="003300B7" w:rsidP="00DD15DC">
      <w:pPr>
        <w:pStyle w:val="regpar"/>
        <w:ind w:firstLine="0"/>
      </w:pPr>
    </w:p>
    <w:p w:rsidR="003300B7" w:rsidRDefault="003300B7" w:rsidP="00DD15DC">
      <w:pPr>
        <w:pStyle w:val="regpar"/>
        <w:ind w:firstLine="0"/>
      </w:pPr>
    </w:p>
    <w:p w:rsidR="00DD15DC" w:rsidRDefault="00DD15DC" w:rsidP="00DD15DC">
      <w:pPr>
        <w:pStyle w:val="regpar"/>
        <w:ind w:firstLine="0"/>
        <w:rPr>
          <w:b/>
          <w:bCs/>
        </w:rPr>
      </w:pPr>
    </w:p>
    <w:p w:rsidR="00763F37" w:rsidRDefault="00763F37" w:rsidP="00763F37">
      <w:pPr>
        <w:pStyle w:val="regpar"/>
        <w:numPr>
          <w:ilvl w:val="0"/>
          <w:numId w:val="4"/>
        </w:numPr>
        <w:rPr>
          <w:b/>
          <w:bCs/>
        </w:rPr>
      </w:pPr>
      <w:r>
        <w:rPr>
          <w:b/>
          <w:bCs/>
        </w:rPr>
        <w:t>Israel’s surplus assets over liabilities abroad</w:t>
      </w:r>
    </w:p>
    <w:p w:rsidR="00763F37" w:rsidRDefault="00763F37" w:rsidP="00DD15DC">
      <w:pPr>
        <w:pStyle w:val="regpar"/>
        <w:ind w:firstLine="0"/>
        <w:rPr>
          <w:b/>
          <w:bCs/>
        </w:rPr>
      </w:pPr>
    </w:p>
    <w:p w:rsidR="009B252B" w:rsidRDefault="00DD15DC" w:rsidP="0093019F">
      <w:pPr>
        <w:autoSpaceDE w:val="0"/>
        <w:autoSpaceDN w:val="0"/>
        <w:bidi w:val="0"/>
        <w:adjustRightInd w:val="0"/>
        <w:jc w:val="both"/>
      </w:pPr>
      <w:r w:rsidRPr="00A21E68">
        <w:rPr>
          <w:b/>
          <w:bCs/>
        </w:rPr>
        <w:t xml:space="preserve">Israel's net </w:t>
      </w:r>
      <w:r>
        <w:rPr>
          <w:b/>
          <w:bCs/>
        </w:rPr>
        <w:t>assets</w:t>
      </w:r>
      <w:r w:rsidRPr="00A21E68">
        <w:rPr>
          <w:b/>
          <w:bCs/>
        </w:rPr>
        <w:t xml:space="preserve"> abroad</w:t>
      </w:r>
      <w:r>
        <w:t xml:space="preserve"> (the surplus of assets over liabilities) </w:t>
      </w:r>
      <w:r w:rsidR="0093019F">
        <w:t>declin</w:t>
      </w:r>
      <w:r>
        <w:t>ed by $</w:t>
      </w:r>
      <w:r w:rsidR="0093019F">
        <w:t>1.8</w:t>
      </w:r>
      <w:r>
        <w:t xml:space="preserve"> billion (</w:t>
      </w:r>
      <w:r w:rsidR="0093019F">
        <w:t>1</w:t>
      </w:r>
      <w:r w:rsidR="001D407E">
        <w:t>.5</w:t>
      </w:r>
      <w:r>
        <w:t xml:space="preserve"> percent) in </w:t>
      </w:r>
      <w:r w:rsidR="00FA56EC">
        <w:t xml:space="preserve">the </w:t>
      </w:r>
      <w:r w:rsidR="0093019F">
        <w:t>second</w:t>
      </w:r>
      <w:r w:rsidR="007975F1">
        <w:t xml:space="preserve"> quarter</w:t>
      </w:r>
      <w:r w:rsidR="00FA56EC">
        <w:t xml:space="preserve"> of </w:t>
      </w:r>
      <w:r w:rsidR="007975F1">
        <w:t>2017</w:t>
      </w:r>
      <w:r>
        <w:t>, to around $</w:t>
      </w:r>
      <w:r w:rsidR="00405EEE">
        <w:t>1</w:t>
      </w:r>
      <w:r w:rsidR="001D407E">
        <w:t>1</w:t>
      </w:r>
      <w:r w:rsidR="0093019F">
        <w:t>4</w:t>
      </w:r>
      <w:r>
        <w:t xml:space="preserve"> billion at the end of </w:t>
      </w:r>
      <w:r w:rsidR="0093019F">
        <w:t>June</w:t>
      </w:r>
      <w:r>
        <w:t xml:space="preserve">. </w:t>
      </w:r>
      <w:r w:rsidR="001D407E">
        <w:t>There was a</w:t>
      </w:r>
      <w:r w:rsidR="006C1428">
        <w:t>n increase of $</w:t>
      </w:r>
      <w:r w:rsidR="0093019F">
        <w:t>9</w:t>
      </w:r>
      <w:r w:rsidR="006C1428">
        <w:t>.4 billion (</w:t>
      </w:r>
      <w:r w:rsidR="0093019F">
        <w:t>2.4</w:t>
      </w:r>
      <w:r w:rsidR="006C1428">
        <w:t xml:space="preserve"> percent) in the value of Israelis’ assets abroad </w:t>
      </w:r>
      <w:r w:rsidR="001D407E">
        <w:t>together with an increase</w:t>
      </w:r>
      <w:r w:rsidR="00E4556A">
        <w:t xml:space="preserve"> of $</w:t>
      </w:r>
      <w:r w:rsidR="0093019F">
        <w:t>11.1</w:t>
      </w:r>
      <w:r w:rsidR="00E4556A">
        <w:t xml:space="preserve"> billion (</w:t>
      </w:r>
      <w:r w:rsidR="0093019F">
        <w:t>4</w:t>
      </w:r>
      <w:r w:rsidR="00E4556A">
        <w:t xml:space="preserve"> percent) in the value of Israelis</w:t>
      </w:r>
      <w:r w:rsidR="001D407E">
        <w:t>’</w:t>
      </w:r>
      <w:r w:rsidR="00E4556A">
        <w:t xml:space="preserve"> liabilities to nonresidents </w:t>
      </w:r>
      <w:r>
        <w:t>(Figure 1).</w:t>
      </w:r>
    </w:p>
    <w:p w:rsidR="009B252B" w:rsidRDefault="009B252B" w:rsidP="009B252B">
      <w:pPr>
        <w:autoSpaceDE w:val="0"/>
        <w:autoSpaceDN w:val="0"/>
        <w:bidi w:val="0"/>
        <w:adjustRightInd w:val="0"/>
        <w:jc w:val="both"/>
      </w:pPr>
    </w:p>
    <w:p w:rsidR="00DD15DC" w:rsidRDefault="00DD15DC" w:rsidP="009B252B">
      <w:pPr>
        <w:autoSpaceDE w:val="0"/>
        <w:autoSpaceDN w:val="0"/>
        <w:bidi w:val="0"/>
        <w:adjustRightInd w:val="0"/>
        <w:jc w:val="both"/>
      </w:pPr>
      <w:r>
        <w:t xml:space="preserve"> </w:t>
      </w:r>
    </w:p>
    <w:p w:rsidR="003300B7" w:rsidRDefault="003300B7" w:rsidP="009B252B">
      <w:pPr>
        <w:autoSpaceDE w:val="0"/>
        <w:autoSpaceDN w:val="0"/>
        <w:bidi w:val="0"/>
        <w:adjustRightInd w:val="0"/>
        <w:ind w:left="-709"/>
        <w:jc w:val="both"/>
      </w:pPr>
      <w:r>
        <w:rPr>
          <w:noProof/>
        </w:rPr>
        <w:drawing>
          <wp:inline distT="0" distB="0" distL="0" distR="0" wp14:anchorId="14330880">
            <wp:extent cx="6264000" cy="3822219"/>
            <wp:effectExtent l="0" t="0" r="3810" b="6985"/>
            <wp:docPr id="3" name="תמונה 3" descr="The figure shows the development over time of assets, liabilities, and the surplus of assets over liabilities.  The figure can be found in the Excel file attached to this notice in the worksheet entitled “Figure1”." title="Surplus of Israel’s assets over liabilities vis-à-vis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4000" cy="3822219"/>
                    </a:xfrm>
                    <a:prstGeom prst="rect">
                      <a:avLst/>
                    </a:prstGeom>
                    <a:noFill/>
                  </pic:spPr>
                </pic:pic>
              </a:graphicData>
            </a:graphic>
          </wp:inline>
        </w:drawing>
      </w:r>
    </w:p>
    <w:p w:rsidR="00DD15DC" w:rsidRDefault="00DD15DC" w:rsidP="00DD15DC">
      <w:pPr>
        <w:pStyle w:val="regpar"/>
        <w:ind w:firstLine="0"/>
        <w:rPr>
          <w:b/>
          <w:bCs/>
        </w:rPr>
      </w:pPr>
    </w:p>
    <w:p w:rsidR="009B252B" w:rsidRDefault="009B252B" w:rsidP="00DD15DC">
      <w:pPr>
        <w:pStyle w:val="regpar"/>
        <w:ind w:firstLine="0"/>
        <w:rPr>
          <w:b/>
          <w:bCs/>
        </w:rPr>
      </w:pPr>
    </w:p>
    <w:p w:rsidR="009B252B" w:rsidRDefault="009B252B" w:rsidP="00DD15DC">
      <w:pPr>
        <w:pStyle w:val="regpar"/>
        <w:ind w:firstLine="0"/>
        <w:rPr>
          <w:b/>
          <w:bCs/>
        </w:rPr>
      </w:pPr>
    </w:p>
    <w:p w:rsidR="009B252B" w:rsidRDefault="009B252B" w:rsidP="00DD15DC">
      <w:pPr>
        <w:pStyle w:val="regpar"/>
        <w:ind w:firstLine="0"/>
        <w:rPr>
          <w:b/>
          <w:bCs/>
        </w:rPr>
      </w:pPr>
    </w:p>
    <w:p w:rsidR="009B252B" w:rsidRDefault="009B252B" w:rsidP="00DD15DC">
      <w:pPr>
        <w:pStyle w:val="regpar"/>
        <w:ind w:firstLine="0"/>
        <w:rPr>
          <w:b/>
          <w:bCs/>
        </w:rPr>
      </w:pPr>
    </w:p>
    <w:p w:rsidR="00763F37" w:rsidRDefault="00763F37" w:rsidP="00763F37">
      <w:pPr>
        <w:pStyle w:val="regpar"/>
        <w:numPr>
          <w:ilvl w:val="0"/>
          <w:numId w:val="4"/>
        </w:numPr>
        <w:rPr>
          <w:b/>
          <w:bCs/>
        </w:rPr>
      </w:pPr>
      <w:r>
        <w:rPr>
          <w:b/>
          <w:bCs/>
        </w:rPr>
        <w:lastRenderedPageBreak/>
        <w:t>The value of Israel’s assets abroad</w:t>
      </w:r>
    </w:p>
    <w:p w:rsidR="00763F37" w:rsidRDefault="00763F37" w:rsidP="00DD15DC">
      <w:pPr>
        <w:pStyle w:val="regpar"/>
        <w:ind w:firstLine="0"/>
        <w:rPr>
          <w:b/>
          <w:bCs/>
        </w:rPr>
      </w:pPr>
    </w:p>
    <w:p w:rsidR="00DD15DC" w:rsidRPr="006B6D8B" w:rsidRDefault="00DD15DC" w:rsidP="0048218A">
      <w:pPr>
        <w:pStyle w:val="regpar"/>
        <w:ind w:firstLine="0"/>
      </w:pPr>
      <w:r w:rsidRPr="004E690E">
        <w:rPr>
          <w:rFonts w:ascii="Times New Roman" w:hAnsi="Times New Roman" w:cs="Times New Roman"/>
          <w:b/>
          <w:bCs/>
        </w:rPr>
        <w:t xml:space="preserve">The </w:t>
      </w:r>
      <w:r>
        <w:rPr>
          <w:rFonts w:ascii="Times New Roman" w:hAnsi="Times New Roman" w:cs="Times New Roman"/>
          <w:b/>
          <w:bCs/>
        </w:rPr>
        <w:t>value</w:t>
      </w:r>
      <w:r w:rsidRPr="004E690E">
        <w:rPr>
          <w:rFonts w:ascii="Times New Roman" w:hAnsi="Times New Roman" w:cs="Times New Roman"/>
          <w:b/>
          <w:bCs/>
        </w:rPr>
        <w:t xml:space="preserve"> of Israel's assets abroad</w:t>
      </w:r>
      <w:r>
        <w:rPr>
          <w:rFonts w:ascii="Times New Roman" w:hAnsi="Times New Roman" w:cs="Times New Roman"/>
        </w:rPr>
        <w:t xml:space="preserve"> increased in </w:t>
      </w:r>
      <w:r w:rsidR="00297C28">
        <w:rPr>
          <w:rFonts w:ascii="Times New Roman" w:hAnsi="Times New Roman" w:cs="Times New Roman"/>
        </w:rPr>
        <w:t xml:space="preserve">the </w:t>
      </w:r>
      <w:r w:rsidR="0048218A">
        <w:rPr>
          <w:rFonts w:ascii="Times New Roman" w:hAnsi="Times New Roman" w:cs="Times New Roman"/>
        </w:rPr>
        <w:t>second</w:t>
      </w:r>
      <w:r w:rsidR="007975F1">
        <w:rPr>
          <w:rFonts w:ascii="Times New Roman" w:hAnsi="Times New Roman" w:cs="Times New Roman"/>
        </w:rPr>
        <w:t xml:space="preserve"> quarter</w:t>
      </w:r>
      <w:r w:rsidR="00297C28">
        <w:rPr>
          <w:rFonts w:ascii="Times New Roman" w:hAnsi="Times New Roman" w:cs="Times New Roman"/>
        </w:rPr>
        <w:t xml:space="preserve"> of </w:t>
      </w:r>
      <w:r w:rsidR="007975F1">
        <w:rPr>
          <w:rFonts w:ascii="Times New Roman" w:hAnsi="Times New Roman" w:cs="Times New Roman"/>
        </w:rPr>
        <w:t>2017</w:t>
      </w:r>
      <w:r>
        <w:rPr>
          <w:rFonts w:ascii="Times New Roman" w:hAnsi="Times New Roman" w:cs="Times New Roman"/>
        </w:rPr>
        <w:t xml:space="preserve"> by about $</w:t>
      </w:r>
      <w:r w:rsidR="0048218A">
        <w:rPr>
          <w:rFonts w:ascii="Times New Roman" w:hAnsi="Times New Roman" w:cs="Times New Roman"/>
        </w:rPr>
        <w:t>9</w:t>
      </w:r>
      <w:r w:rsidR="006C1428">
        <w:rPr>
          <w:rFonts w:ascii="Times New Roman" w:hAnsi="Times New Roman" w:cs="Times New Roman"/>
        </w:rPr>
        <w:t>.4</w:t>
      </w:r>
      <w:r w:rsidR="004E0F06">
        <w:rPr>
          <w:rFonts w:ascii="Times New Roman" w:hAnsi="Times New Roman" w:cs="Times New Roman"/>
        </w:rPr>
        <w:t xml:space="preserve"> </w:t>
      </w:r>
      <w:r w:rsidR="006C1428">
        <w:rPr>
          <w:rFonts w:ascii="Times New Roman" w:hAnsi="Times New Roman" w:cs="Times New Roman"/>
        </w:rPr>
        <w:t>b</w:t>
      </w:r>
      <w:r>
        <w:rPr>
          <w:rFonts w:ascii="Times New Roman" w:hAnsi="Times New Roman" w:cs="Times New Roman"/>
        </w:rPr>
        <w:t>illion (</w:t>
      </w:r>
      <w:r w:rsidR="0048218A">
        <w:rPr>
          <w:rFonts w:ascii="Times New Roman" w:hAnsi="Times New Roman" w:cs="Times New Roman"/>
        </w:rPr>
        <w:t>2.4</w:t>
      </w:r>
      <w:r>
        <w:rPr>
          <w:rFonts w:ascii="Times New Roman" w:hAnsi="Times New Roman" w:cs="Times New Roman"/>
        </w:rPr>
        <w:t xml:space="preserve"> percent), to about $</w:t>
      </w:r>
      <w:r w:rsidR="0048218A">
        <w:rPr>
          <w:rFonts w:ascii="Times New Roman" w:hAnsi="Times New Roman" w:cs="Times New Roman"/>
        </w:rPr>
        <w:t>40</w:t>
      </w:r>
      <w:r w:rsidR="001D407E">
        <w:rPr>
          <w:rFonts w:ascii="Times New Roman" w:hAnsi="Times New Roman" w:cs="Times New Roman"/>
        </w:rPr>
        <w:t>4</w:t>
      </w:r>
      <w:r w:rsidR="006C1428">
        <w:rPr>
          <w:rFonts w:ascii="Times New Roman" w:hAnsi="Times New Roman" w:cs="Times New Roman"/>
        </w:rPr>
        <w:t xml:space="preserve"> </w:t>
      </w:r>
      <w:r>
        <w:rPr>
          <w:rFonts w:ascii="Times New Roman" w:hAnsi="Times New Roman" w:cs="Times New Roman"/>
        </w:rPr>
        <w:t xml:space="preserve">billion at the end </w:t>
      </w:r>
      <w:r w:rsidR="0048218A">
        <w:rPr>
          <w:rFonts w:ascii="Times New Roman" w:hAnsi="Times New Roman" w:cs="Times New Roman"/>
        </w:rPr>
        <w:t>of June</w:t>
      </w:r>
      <w:r>
        <w:rPr>
          <w:rFonts w:ascii="Times New Roman" w:hAnsi="Times New Roman" w:cs="Times New Roman"/>
        </w:rPr>
        <w:t xml:space="preserve">, mainly </w:t>
      </w:r>
      <w:r w:rsidR="00297C28">
        <w:rPr>
          <w:rFonts w:ascii="Times New Roman" w:hAnsi="Times New Roman" w:cs="Times New Roman"/>
        </w:rPr>
        <w:t xml:space="preserve">as a result </w:t>
      </w:r>
      <w:r w:rsidR="00405EEE">
        <w:rPr>
          <w:rFonts w:ascii="Times New Roman" w:hAnsi="Times New Roman" w:cs="Times New Roman"/>
        </w:rPr>
        <w:t xml:space="preserve">of </w:t>
      </w:r>
      <w:r w:rsidR="006C1428">
        <w:rPr>
          <w:rFonts w:ascii="Times New Roman" w:hAnsi="Times New Roman" w:cs="Times New Roman"/>
        </w:rPr>
        <w:t>increase</w:t>
      </w:r>
      <w:r w:rsidR="0048218A">
        <w:rPr>
          <w:rFonts w:ascii="Times New Roman" w:hAnsi="Times New Roman" w:cs="Times New Roman"/>
        </w:rPr>
        <w:t>s</w:t>
      </w:r>
      <w:r w:rsidR="006C1428">
        <w:rPr>
          <w:rFonts w:ascii="Times New Roman" w:hAnsi="Times New Roman" w:cs="Times New Roman"/>
        </w:rPr>
        <w:t xml:space="preserve"> in the </w:t>
      </w:r>
      <w:r w:rsidR="001D407E">
        <w:rPr>
          <w:rFonts w:ascii="Times New Roman" w:hAnsi="Times New Roman" w:cs="Times New Roman"/>
        </w:rPr>
        <w:t>prices of tradable assets</w:t>
      </w:r>
      <w:r w:rsidR="0048218A">
        <w:rPr>
          <w:rFonts w:ascii="Times New Roman" w:hAnsi="Times New Roman" w:cs="Times New Roman"/>
        </w:rPr>
        <w:t xml:space="preserve"> and in the balance of Israel’s reserves</w:t>
      </w:r>
      <w:r w:rsidR="001D407E">
        <w:rPr>
          <w:rFonts w:ascii="Times New Roman" w:hAnsi="Times New Roman" w:cs="Times New Roman"/>
        </w:rPr>
        <w:t>.</w:t>
      </w:r>
      <w:r w:rsidR="006C1428">
        <w:rPr>
          <w:rFonts w:ascii="Times New Roman" w:hAnsi="Times New Roman" w:cs="Times New Roman"/>
        </w:rPr>
        <w:t xml:space="preserve"> </w:t>
      </w:r>
    </w:p>
    <w:p w:rsidR="00DD15DC" w:rsidRPr="00332725" w:rsidRDefault="00DD15DC" w:rsidP="00496B00">
      <w:pPr>
        <w:pStyle w:val="regpar"/>
        <w:ind w:firstLine="0"/>
        <w:rPr>
          <w:rFonts w:ascii="Times New Roman" w:hAnsi="Times New Roman" w:cs="Times New Roman"/>
        </w:rPr>
      </w:pPr>
      <w:r>
        <w:rPr>
          <w:rFonts w:ascii="Times New Roman" w:hAnsi="Times New Roman" w:cs="Times New Roman"/>
          <w:b/>
          <w:bCs/>
        </w:rPr>
        <w:t>The value of the financial investments portfolio</w:t>
      </w:r>
      <w:r>
        <w:rPr>
          <w:rFonts w:ascii="Times New Roman" w:hAnsi="Times New Roman" w:cs="Times New Roman"/>
        </w:rPr>
        <w:t xml:space="preserve"> </w:t>
      </w:r>
      <w:r w:rsidR="006C1428">
        <w:rPr>
          <w:rFonts w:ascii="Times New Roman" w:hAnsi="Times New Roman" w:cs="Times New Roman"/>
        </w:rPr>
        <w:t>increas</w:t>
      </w:r>
      <w:r w:rsidR="005A5955">
        <w:rPr>
          <w:rFonts w:ascii="Times New Roman" w:hAnsi="Times New Roman" w:cs="Times New Roman"/>
        </w:rPr>
        <w:t>e</w:t>
      </w:r>
      <w:r>
        <w:rPr>
          <w:rFonts w:ascii="Times New Roman" w:hAnsi="Times New Roman" w:cs="Times New Roman"/>
        </w:rPr>
        <w:t xml:space="preserve">d by </w:t>
      </w:r>
      <w:r w:rsidR="00405EEE">
        <w:rPr>
          <w:rFonts w:ascii="Times New Roman" w:hAnsi="Times New Roman" w:cs="Times New Roman"/>
        </w:rPr>
        <w:t xml:space="preserve">about </w:t>
      </w:r>
      <w:r>
        <w:rPr>
          <w:rFonts w:ascii="Times New Roman" w:hAnsi="Times New Roman" w:cs="Times New Roman"/>
        </w:rPr>
        <w:t>$</w:t>
      </w:r>
      <w:r w:rsidR="0048218A">
        <w:rPr>
          <w:rFonts w:ascii="Times New Roman" w:hAnsi="Times New Roman" w:cs="Times New Roman"/>
        </w:rPr>
        <w:t>3.3</w:t>
      </w:r>
      <w:r>
        <w:rPr>
          <w:rFonts w:ascii="Times New Roman" w:hAnsi="Times New Roman" w:cs="Times New Roman"/>
        </w:rPr>
        <w:t xml:space="preserve"> </w:t>
      </w:r>
      <w:r w:rsidR="006C1428">
        <w:rPr>
          <w:rFonts w:ascii="Times New Roman" w:hAnsi="Times New Roman" w:cs="Times New Roman"/>
        </w:rPr>
        <w:t>b</w:t>
      </w:r>
      <w:r w:rsidR="004E0F06">
        <w:rPr>
          <w:rFonts w:ascii="Times New Roman" w:hAnsi="Times New Roman" w:cs="Times New Roman"/>
        </w:rPr>
        <w:t>i</w:t>
      </w:r>
      <w:r>
        <w:rPr>
          <w:rFonts w:ascii="Times New Roman" w:hAnsi="Times New Roman" w:cs="Times New Roman"/>
        </w:rPr>
        <w:t>llion (</w:t>
      </w:r>
      <w:r w:rsidR="0048218A">
        <w:rPr>
          <w:rFonts w:ascii="Times New Roman" w:hAnsi="Times New Roman" w:cs="Times New Roman"/>
        </w:rPr>
        <w:t>2.5</w:t>
      </w:r>
      <w:r>
        <w:rPr>
          <w:rFonts w:ascii="Times New Roman" w:hAnsi="Times New Roman" w:cs="Times New Roman"/>
        </w:rPr>
        <w:t xml:space="preserve"> percent) in </w:t>
      </w:r>
      <w:r w:rsidR="00297C28">
        <w:rPr>
          <w:rFonts w:ascii="Times New Roman" w:hAnsi="Times New Roman" w:cs="Times New Roman"/>
        </w:rPr>
        <w:t xml:space="preserve">the </w:t>
      </w:r>
      <w:r w:rsidR="0048218A">
        <w:rPr>
          <w:rFonts w:ascii="Times New Roman" w:hAnsi="Times New Roman" w:cs="Times New Roman"/>
        </w:rPr>
        <w:t>second</w:t>
      </w:r>
      <w:r w:rsidR="007975F1">
        <w:rPr>
          <w:rFonts w:ascii="Times New Roman" w:hAnsi="Times New Roman" w:cs="Times New Roman"/>
        </w:rPr>
        <w:t xml:space="preserve"> quarter</w:t>
      </w:r>
      <w:r w:rsidR="005A5955">
        <w:rPr>
          <w:rFonts w:ascii="Times New Roman" w:hAnsi="Times New Roman" w:cs="Times New Roman"/>
        </w:rPr>
        <w:t xml:space="preserve">.  </w:t>
      </w:r>
      <w:r w:rsidR="00833AF3">
        <w:rPr>
          <w:rFonts w:ascii="Times New Roman" w:hAnsi="Times New Roman" w:cs="Times New Roman"/>
        </w:rPr>
        <w:t>There were also increases in the prices of foreign shares that increased the value of Israelis’ financial portfolio abroad by about $2.</w:t>
      </w:r>
      <w:r w:rsidR="0048218A">
        <w:rPr>
          <w:rFonts w:ascii="Times New Roman" w:hAnsi="Times New Roman" w:cs="Times New Roman"/>
        </w:rPr>
        <w:t>3</w:t>
      </w:r>
      <w:r w:rsidR="00833AF3">
        <w:rPr>
          <w:rFonts w:ascii="Times New Roman" w:hAnsi="Times New Roman" w:cs="Times New Roman"/>
        </w:rPr>
        <w:t xml:space="preserve"> billion (</w:t>
      </w:r>
      <w:r w:rsidR="0048218A">
        <w:rPr>
          <w:rFonts w:ascii="Times New Roman" w:hAnsi="Times New Roman" w:cs="Times New Roman"/>
        </w:rPr>
        <w:t>1.8</w:t>
      </w:r>
      <w:r w:rsidR="00833AF3">
        <w:rPr>
          <w:rFonts w:ascii="Times New Roman" w:hAnsi="Times New Roman" w:cs="Times New Roman"/>
        </w:rPr>
        <w:t xml:space="preserve"> percent)</w:t>
      </w:r>
      <w:r w:rsidR="0048218A">
        <w:rPr>
          <w:rFonts w:ascii="Times New Roman" w:hAnsi="Times New Roman" w:cs="Times New Roman"/>
        </w:rPr>
        <w:t>, and in the prices of foreign bonds, which led to an increase of about $</w:t>
      </w:r>
      <w:r w:rsidR="00496B00">
        <w:rPr>
          <w:rFonts w:ascii="Times New Roman" w:hAnsi="Times New Roman" w:cs="Times New Roman"/>
        </w:rPr>
        <w:t>0.8 bi</w:t>
      </w:r>
      <w:r w:rsidR="0048218A">
        <w:rPr>
          <w:rFonts w:ascii="Times New Roman" w:hAnsi="Times New Roman" w:cs="Times New Roman"/>
        </w:rPr>
        <w:t>llion (0.6 percent) in the portfolio</w:t>
      </w:r>
      <w:r w:rsidR="00833AF3">
        <w:rPr>
          <w:rFonts w:ascii="Times New Roman" w:hAnsi="Times New Roman" w:cs="Times New Roman"/>
        </w:rPr>
        <w:t>.</w:t>
      </w:r>
    </w:p>
    <w:p w:rsidR="00DD15DC" w:rsidRDefault="00DD15DC" w:rsidP="00496B00">
      <w:pPr>
        <w:pStyle w:val="regpar"/>
        <w:ind w:firstLine="0"/>
        <w:rPr>
          <w:rFonts w:ascii="Times New Roman" w:hAnsi="Times New Roman" w:cs="Times New Roman"/>
        </w:rPr>
      </w:pPr>
      <w:r>
        <w:rPr>
          <w:rFonts w:ascii="Times New Roman" w:hAnsi="Times New Roman" w:cs="Times New Roman"/>
          <w:b/>
          <w:bCs/>
        </w:rPr>
        <w:t>The value of direct investments abroad</w:t>
      </w:r>
      <w:r>
        <w:rPr>
          <w:rFonts w:ascii="Times New Roman" w:hAnsi="Times New Roman" w:cs="Times New Roman"/>
        </w:rPr>
        <w:t xml:space="preserve"> increased by about $</w:t>
      </w:r>
      <w:r w:rsidR="00496B00">
        <w:rPr>
          <w:rFonts w:ascii="Times New Roman" w:hAnsi="Times New Roman" w:cs="Times New Roman"/>
        </w:rPr>
        <w:t>1.2</w:t>
      </w:r>
      <w:r>
        <w:rPr>
          <w:rFonts w:ascii="Times New Roman" w:hAnsi="Times New Roman" w:cs="Times New Roman"/>
        </w:rPr>
        <w:t xml:space="preserve"> </w:t>
      </w:r>
      <w:r w:rsidR="006C1428">
        <w:rPr>
          <w:rFonts w:ascii="Times New Roman" w:hAnsi="Times New Roman" w:cs="Times New Roman"/>
        </w:rPr>
        <w:t>b</w:t>
      </w:r>
      <w:r>
        <w:rPr>
          <w:rFonts w:ascii="Times New Roman" w:hAnsi="Times New Roman" w:cs="Times New Roman"/>
        </w:rPr>
        <w:t>illion (</w:t>
      </w:r>
      <w:r w:rsidR="00496B00">
        <w:rPr>
          <w:rFonts w:ascii="Times New Roman" w:hAnsi="Times New Roman" w:cs="Times New Roman"/>
        </w:rPr>
        <w:t>1.2</w:t>
      </w:r>
      <w:r>
        <w:rPr>
          <w:rFonts w:ascii="Times New Roman" w:hAnsi="Times New Roman" w:cs="Times New Roman"/>
        </w:rPr>
        <w:t xml:space="preserve"> percent) in </w:t>
      </w:r>
      <w:r w:rsidR="00297C28">
        <w:rPr>
          <w:rFonts w:ascii="Times New Roman" w:hAnsi="Times New Roman" w:cs="Times New Roman"/>
        </w:rPr>
        <w:t xml:space="preserve">the </w:t>
      </w:r>
      <w:r w:rsidR="00496B00">
        <w:rPr>
          <w:rFonts w:ascii="Times New Roman" w:hAnsi="Times New Roman" w:cs="Times New Roman"/>
        </w:rPr>
        <w:t>second</w:t>
      </w:r>
      <w:r w:rsidR="007975F1">
        <w:rPr>
          <w:rFonts w:ascii="Times New Roman" w:hAnsi="Times New Roman" w:cs="Times New Roman"/>
        </w:rPr>
        <w:t xml:space="preserve"> quarter</w:t>
      </w:r>
      <w:r>
        <w:rPr>
          <w:rFonts w:ascii="Times New Roman" w:hAnsi="Times New Roman" w:cs="Times New Roman"/>
        </w:rPr>
        <w:t>, mainly as a result of the flow of investments in share capital</w:t>
      </w:r>
      <w:r w:rsidR="006C1428">
        <w:rPr>
          <w:rFonts w:ascii="Times New Roman" w:hAnsi="Times New Roman" w:cs="Times New Roman"/>
        </w:rPr>
        <w:t xml:space="preserve"> totaling about $</w:t>
      </w:r>
      <w:r w:rsidR="00833AF3">
        <w:rPr>
          <w:rFonts w:ascii="Times New Roman" w:hAnsi="Times New Roman" w:cs="Times New Roman"/>
        </w:rPr>
        <w:t>0.6</w:t>
      </w:r>
      <w:r w:rsidR="006C1428">
        <w:rPr>
          <w:rFonts w:ascii="Times New Roman" w:hAnsi="Times New Roman" w:cs="Times New Roman"/>
        </w:rPr>
        <w:t xml:space="preserve"> billion</w:t>
      </w:r>
      <w:r w:rsidR="00297C28">
        <w:rPr>
          <w:rFonts w:ascii="Times New Roman" w:hAnsi="Times New Roman" w:cs="Times New Roman"/>
        </w:rPr>
        <w:t>.</w:t>
      </w:r>
      <w:r>
        <w:rPr>
          <w:rFonts w:ascii="Times New Roman" w:hAnsi="Times New Roman" w:cs="Times New Roman"/>
        </w:rPr>
        <w:t xml:space="preserve"> </w:t>
      </w:r>
    </w:p>
    <w:p w:rsidR="00DD15DC" w:rsidRDefault="00DD15DC" w:rsidP="003770FA">
      <w:pPr>
        <w:pStyle w:val="regpar"/>
        <w:ind w:firstLine="0"/>
        <w:rPr>
          <w:rFonts w:ascii="Times New Roman" w:hAnsi="Times New Roman" w:cs="Times New Roman"/>
        </w:rPr>
      </w:pPr>
      <w:r>
        <w:rPr>
          <w:rFonts w:ascii="Times New Roman" w:hAnsi="Times New Roman" w:cs="Times New Roman"/>
          <w:b/>
          <w:bCs/>
        </w:rPr>
        <w:t>The value of o</w:t>
      </w:r>
      <w:r w:rsidRPr="00644E56">
        <w:rPr>
          <w:rFonts w:ascii="Times New Roman" w:hAnsi="Times New Roman" w:cs="Times New Roman"/>
          <w:b/>
          <w:bCs/>
        </w:rPr>
        <w:t>ther investments</w:t>
      </w:r>
      <w:r>
        <w:rPr>
          <w:rFonts w:ascii="Times New Roman" w:hAnsi="Times New Roman" w:cs="Times New Roman"/>
          <w:b/>
          <w:bCs/>
        </w:rPr>
        <w:t xml:space="preserve"> abroad</w:t>
      </w:r>
      <w:r>
        <w:rPr>
          <w:rFonts w:ascii="Times New Roman" w:hAnsi="Times New Roman" w:cs="Times New Roman"/>
        </w:rPr>
        <w:t xml:space="preserve"> </w:t>
      </w:r>
      <w:r w:rsidR="00496B00">
        <w:rPr>
          <w:rFonts w:ascii="Times New Roman" w:hAnsi="Times New Roman" w:cs="Times New Roman"/>
        </w:rPr>
        <w:t>declin</w:t>
      </w:r>
      <w:r w:rsidR="005A5955">
        <w:rPr>
          <w:rFonts w:ascii="Times New Roman" w:hAnsi="Times New Roman" w:cs="Times New Roman"/>
        </w:rPr>
        <w:t>ed</w:t>
      </w:r>
      <w:r>
        <w:rPr>
          <w:rFonts w:ascii="Times New Roman" w:hAnsi="Times New Roman" w:cs="Times New Roman"/>
        </w:rPr>
        <w:t xml:space="preserve"> in </w:t>
      </w:r>
      <w:r w:rsidR="00297C28">
        <w:rPr>
          <w:rFonts w:ascii="Times New Roman" w:hAnsi="Times New Roman" w:cs="Times New Roman"/>
        </w:rPr>
        <w:t xml:space="preserve">the </w:t>
      </w:r>
      <w:r w:rsidR="00496B00">
        <w:rPr>
          <w:rFonts w:ascii="Times New Roman" w:hAnsi="Times New Roman" w:cs="Times New Roman"/>
        </w:rPr>
        <w:t>second</w:t>
      </w:r>
      <w:r w:rsidR="007975F1">
        <w:rPr>
          <w:rFonts w:ascii="Times New Roman" w:hAnsi="Times New Roman" w:cs="Times New Roman"/>
        </w:rPr>
        <w:t xml:space="preserve"> quarter</w:t>
      </w:r>
      <w:r w:rsidR="005A5955">
        <w:rPr>
          <w:rFonts w:ascii="Times New Roman" w:hAnsi="Times New Roman" w:cs="Times New Roman"/>
        </w:rPr>
        <w:t xml:space="preserve"> by $</w:t>
      </w:r>
      <w:r w:rsidR="00496B00">
        <w:rPr>
          <w:rFonts w:ascii="Times New Roman" w:hAnsi="Times New Roman" w:cs="Times New Roman"/>
        </w:rPr>
        <w:t>0.3</w:t>
      </w:r>
      <w:r w:rsidR="005A5955">
        <w:rPr>
          <w:rFonts w:ascii="Times New Roman" w:hAnsi="Times New Roman" w:cs="Times New Roman"/>
        </w:rPr>
        <w:t xml:space="preserve"> </w:t>
      </w:r>
      <w:r w:rsidR="00405EEE">
        <w:rPr>
          <w:rFonts w:ascii="Times New Roman" w:hAnsi="Times New Roman" w:cs="Times New Roman"/>
        </w:rPr>
        <w:t>b</w:t>
      </w:r>
      <w:r w:rsidR="005A5955">
        <w:rPr>
          <w:rFonts w:ascii="Times New Roman" w:hAnsi="Times New Roman" w:cs="Times New Roman"/>
        </w:rPr>
        <w:t>illion (</w:t>
      </w:r>
      <w:r w:rsidR="00496B00">
        <w:rPr>
          <w:rFonts w:ascii="Times New Roman" w:hAnsi="Times New Roman" w:cs="Times New Roman"/>
        </w:rPr>
        <w:t>0.5</w:t>
      </w:r>
      <w:r w:rsidR="005A5955">
        <w:rPr>
          <w:rFonts w:ascii="Times New Roman" w:hAnsi="Times New Roman" w:cs="Times New Roman"/>
        </w:rPr>
        <w:t xml:space="preserve"> percent), mainly due to </w:t>
      </w:r>
      <w:r w:rsidR="00496B00">
        <w:rPr>
          <w:rFonts w:ascii="Times New Roman" w:hAnsi="Times New Roman" w:cs="Times New Roman"/>
        </w:rPr>
        <w:t>net withdrawals</w:t>
      </w:r>
      <w:r w:rsidR="00833AF3">
        <w:rPr>
          <w:rFonts w:ascii="Times New Roman" w:hAnsi="Times New Roman" w:cs="Times New Roman"/>
        </w:rPr>
        <w:t xml:space="preserve"> of about $1</w:t>
      </w:r>
      <w:r w:rsidR="00496B00">
        <w:rPr>
          <w:rFonts w:ascii="Times New Roman" w:hAnsi="Times New Roman" w:cs="Times New Roman"/>
        </w:rPr>
        <w:t>.6</w:t>
      </w:r>
      <w:r w:rsidR="00833AF3">
        <w:rPr>
          <w:rFonts w:ascii="Times New Roman" w:hAnsi="Times New Roman" w:cs="Times New Roman"/>
        </w:rPr>
        <w:t xml:space="preserve"> billion (</w:t>
      </w:r>
      <w:r w:rsidR="00496B00">
        <w:rPr>
          <w:rFonts w:ascii="Times New Roman" w:hAnsi="Times New Roman" w:cs="Times New Roman"/>
        </w:rPr>
        <w:t>2</w:t>
      </w:r>
      <w:r w:rsidR="00833AF3">
        <w:rPr>
          <w:rFonts w:ascii="Times New Roman" w:hAnsi="Times New Roman" w:cs="Times New Roman"/>
        </w:rPr>
        <w:t>.5 percent)</w:t>
      </w:r>
      <w:r w:rsidR="00496B00">
        <w:rPr>
          <w:rFonts w:ascii="Times New Roman" w:hAnsi="Times New Roman" w:cs="Times New Roman"/>
        </w:rPr>
        <w:t xml:space="preserve"> from Israelis’ deposits abroad, and of about $0.6 billion (0.8 percent) from deposits abroad by Israeli banks.  There was also a decline</w:t>
      </w:r>
      <w:r w:rsidR="003770FA">
        <w:rPr>
          <w:rFonts w:ascii="Times New Roman" w:hAnsi="Times New Roman" w:cs="Times New Roman"/>
        </w:rPr>
        <w:t xml:space="preserve"> of about $0.7 billion (1.1 percent) in customer credit during the second quarter.  These were partly offset by an increase of $1.1 billion (1.6 percent) in </w:t>
      </w:r>
      <w:r w:rsidR="00833AF3">
        <w:rPr>
          <w:rFonts w:ascii="Times New Roman" w:hAnsi="Times New Roman" w:cs="Times New Roman"/>
        </w:rPr>
        <w:t>the balance of loans provided by Israelis to nonresidents</w:t>
      </w:r>
      <w:r w:rsidR="003770FA">
        <w:rPr>
          <w:rFonts w:ascii="Times New Roman" w:hAnsi="Times New Roman" w:cs="Times New Roman"/>
        </w:rPr>
        <w:t>.</w:t>
      </w:r>
    </w:p>
    <w:p w:rsidR="00DD15DC" w:rsidRPr="006C33F2" w:rsidRDefault="00DD15DC" w:rsidP="003770FA">
      <w:pPr>
        <w:pStyle w:val="regpar"/>
        <w:ind w:firstLine="0"/>
        <w:rPr>
          <w:rFonts w:ascii="Times New Roman" w:hAnsi="Times New Roman" w:cs="Times New Roman"/>
        </w:rPr>
      </w:pPr>
      <w:r>
        <w:rPr>
          <w:rFonts w:ascii="Times New Roman" w:hAnsi="Times New Roman" w:cs="Times New Roman"/>
          <w:b/>
          <w:bCs/>
        </w:rPr>
        <w:t xml:space="preserve">The value of </w:t>
      </w:r>
      <w:r w:rsidR="00137AAC">
        <w:rPr>
          <w:rFonts w:ascii="Times New Roman" w:hAnsi="Times New Roman" w:cs="Times New Roman"/>
          <w:b/>
          <w:bCs/>
        </w:rPr>
        <w:t xml:space="preserve">the </w:t>
      </w:r>
      <w:r>
        <w:rPr>
          <w:rFonts w:ascii="Times New Roman" w:hAnsi="Times New Roman" w:cs="Times New Roman"/>
          <w:b/>
          <w:bCs/>
        </w:rPr>
        <w:t>foreign exchange reserves</w:t>
      </w:r>
      <w:r>
        <w:rPr>
          <w:rFonts w:ascii="Times New Roman" w:hAnsi="Times New Roman" w:cs="Times New Roman"/>
        </w:rPr>
        <w:t xml:space="preserve"> </w:t>
      </w:r>
      <w:r w:rsidR="00642F05">
        <w:rPr>
          <w:rFonts w:ascii="Times New Roman" w:hAnsi="Times New Roman" w:cs="Times New Roman"/>
        </w:rPr>
        <w:t xml:space="preserve">increased in the </w:t>
      </w:r>
      <w:r w:rsidR="003770FA">
        <w:rPr>
          <w:rFonts w:ascii="Times New Roman" w:hAnsi="Times New Roman" w:cs="Times New Roman"/>
        </w:rPr>
        <w:t>second</w:t>
      </w:r>
      <w:r w:rsidR="00642F05">
        <w:rPr>
          <w:rFonts w:ascii="Times New Roman" w:hAnsi="Times New Roman" w:cs="Times New Roman"/>
        </w:rPr>
        <w:t xml:space="preserve"> quarter by about $</w:t>
      </w:r>
      <w:r w:rsidR="003770FA">
        <w:rPr>
          <w:rFonts w:ascii="Times New Roman" w:hAnsi="Times New Roman" w:cs="Times New Roman"/>
        </w:rPr>
        <w:t>5.5</w:t>
      </w:r>
      <w:r w:rsidR="00642F05">
        <w:rPr>
          <w:rFonts w:ascii="Times New Roman" w:hAnsi="Times New Roman" w:cs="Times New Roman"/>
        </w:rPr>
        <w:t xml:space="preserve"> billion (</w:t>
      </w:r>
      <w:r w:rsidR="003770FA">
        <w:rPr>
          <w:rFonts w:ascii="Times New Roman" w:hAnsi="Times New Roman" w:cs="Times New Roman"/>
        </w:rPr>
        <w:t>5.4</w:t>
      </w:r>
      <w:r w:rsidR="00642F05">
        <w:rPr>
          <w:rFonts w:ascii="Times New Roman" w:hAnsi="Times New Roman" w:cs="Times New Roman"/>
        </w:rPr>
        <w:t xml:space="preserve"> percent), to $10</w:t>
      </w:r>
      <w:r w:rsidR="003770FA">
        <w:rPr>
          <w:rFonts w:ascii="Times New Roman" w:hAnsi="Times New Roman" w:cs="Times New Roman"/>
        </w:rPr>
        <w:t>9</w:t>
      </w:r>
      <w:r w:rsidR="00642F05">
        <w:rPr>
          <w:rFonts w:ascii="Times New Roman" w:hAnsi="Times New Roman" w:cs="Times New Roman"/>
        </w:rPr>
        <w:t xml:space="preserve"> billion at the end of the</w:t>
      </w:r>
      <w:r w:rsidR="007975F1">
        <w:rPr>
          <w:rFonts w:ascii="Times New Roman" w:hAnsi="Times New Roman" w:cs="Times New Roman"/>
        </w:rPr>
        <w:t xml:space="preserve"> quarter</w:t>
      </w:r>
      <w:r w:rsidR="00405EEE">
        <w:rPr>
          <w:rFonts w:ascii="Times New Roman" w:hAnsi="Times New Roman" w:cs="Times New Roman"/>
        </w:rPr>
        <w:t>.</w:t>
      </w:r>
    </w:p>
    <w:p w:rsidR="00DD15DC" w:rsidRDefault="00DD15DC" w:rsidP="003770FA">
      <w:pPr>
        <w:pStyle w:val="regpar"/>
        <w:ind w:firstLine="0"/>
        <w:rPr>
          <w:rFonts w:ascii="Times New Roman" w:hAnsi="Times New Roman" w:cs="Times New Roman"/>
        </w:rPr>
      </w:pPr>
      <w:r w:rsidRPr="009B2CEF">
        <w:rPr>
          <w:rFonts w:ascii="Times New Roman" w:hAnsi="Times New Roman" w:cs="Times New Roman"/>
        </w:rPr>
        <w:t xml:space="preserve">The </w:t>
      </w:r>
      <w:r w:rsidRPr="009B2CEF">
        <w:rPr>
          <w:rFonts w:ascii="Times New Roman" w:hAnsi="Times New Roman" w:cs="Times New Roman"/>
          <w:b/>
          <w:bCs/>
        </w:rPr>
        <w:t xml:space="preserve">composition of </w:t>
      </w:r>
      <w:r w:rsidR="00405EEE">
        <w:rPr>
          <w:rFonts w:ascii="Times New Roman" w:hAnsi="Times New Roman" w:cs="Times New Roman"/>
          <w:b/>
          <w:bCs/>
        </w:rPr>
        <w:t>Israelis’</w:t>
      </w:r>
      <w:r w:rsidRPr="009B2CEF">
        <w:rPr>
          <w:rFonts w:ascii="Times New Roman" w:hAnsi="Times New Roman" w:cs="Times New Roman"/>
          <w:b/>
          <w:bCs/>
        </w:rPr>
        <w:t xml:space="preserve"> securities portfolio abroad</w:t>
      </w:r>
      <w:r w:rsidR="00137AAC">
        <w:rPr>
          <w:rFonts w:ascii="Times New Roman" w:hAnsi="Times New Roman" w:cs="Times New Roman"/>
          <w:b/>
          <w:bCs/>
        </w:rPr>
        <w:t>:</w:t>
      </w:r>
      <w:r>
        <w:rPr>
          <w:rFonts w:ascii="Times New Roman" w:hAnsi="Times New Roman" w:cs="Times New Roman"/>
          <w:b/>
          <w:bCs/>
        </w:rPr>
        <w:t xml:space="preserve"> </w:t>
      </w:r>
      <w:r w:rsidRPr="00DA536A">
        <w:rPr>
          <w:rFonts w:ascii="Times New Roman" w:hAnsi="Times New Roman" w:cs="Times New Roman"/>
        </w:rPr>
        <w:t xml:space="preserve"> During</w:t>
      </w:r>
      <w:r>
        <w:rPr>
          <w:rFonts w:ascii="Times New Roman" w:hAnsi="Times New Roman" w:cs="Times New Roman"/>
        </w:rPr>
        <w:t xml:space="preserve"> the </w:t>
      </w:r>
      <w:r w:rsidR="003770FA">
        <w:rPr>
          <w:rFonts w:ascii="Times New Roman" w:hAnsi="Times New Roman" w:cs="Times New Roman"/>
        </w:rPr>
        <w:t>second</w:t>
      </w:r>
      <w:r w:rsidR="007975F1">
        <w:rPr>
          <w:rFonts w:ascii="Times New Roman" w:hAnsi="Times New Roman" w:cs="Times New Roman"/>
        </w:rPr>
        <w:t xml:space="preserve"> quarter</w:t>
      </w:r>
      <w:r>
        <w:rPr>
          <w:rFonts w:ascii="Times New Roman" w:hAnsi="Times New Roman" w:cs="Times New Roman"/>
        </w:rPr>
        <w:t xml:space="preserve"> of </w:t>
      </w:r>
      <w:r w:rsidR="007975F1">
        <w:rPr>
          <w:rFonts w:ascii="Times New Roman" w:hAnsi="Times New Roman" w:cs="Times New Roman"/>
        </w:rPr>
        <w:t>2017</w:t>
      </w:r>
      <w:r>
        <w:rPr>
          <w:rFonts w:ascii="Times New Roman" w:hAnsi="Times New Roman" w:cs="Times New Roman"/>
        </w:rPr>
        <w:t>,</w:t>
      </w:r>
      <w:r w:rsidR="003770FA">
        <w:rPr>
          <w:rFonts w:ascii="Times New Roman" w:hAnsi="Times New Roman" w:cs="Times New Roman"/>
        </w:rPr>
        <w:t xml:space="preserve"> similar to the first quarter,</w:t>
      </w:r>
      <w:r>
        <w:rPr>
          <w:rFonts w:ascii="Times New Roman" w:hAnsi="Times New Roman" w:cs="Times New Roman"/>
        </w:rPr>
        <w:t xml:space="preserve"> there was</w:t>
      </w:r>
      <w:r w:rsidR="00297C28">
        <w:rPr>
          <w:rFonts w:ascii="Times New Roman" w:hAnsi="Times New Roman" w:cs="Times New Roman"/>
        </w:rPr>
        <w:t xml:space="preserve"> a</w:t>
      </w:r>
      <w:r w:rsidR="005A5955">
        <w:rPr>
          <w:rFonts w:ascii="Times New Roman" w:hAnsi="Times New Roman" w:cs="Times New Roman"/>
        </w:rPr>
        <w:t>n increase</w:t>
      </w:r>
      <w:r w:rsidR="00297C28">
        <w:rPr>
          <w:rFonts w:ascii="Times New Roman" w:hAnsi="Times New Roman" w:cs="Times New Roman"/>
        </w:rPr>
        <w:t xml:space="preserve"> in the proportion of</w:t>
      </w:r>
      <w:r w:rsidR="00A85A35">
        <w:rPr>
          <w:rFonts w:ascii="Times New Roman" w:hAnsi="Times New Roman" w:cs="Times New Roman"/>
        </w:rPr>
        <w:t xml:space="preserve"> </w:t>
      </w:r>
      <w:r w:rsidR="00642F05">
        <w:rPr>
          <w:rFonts w:ascii="Times New Roman" w:hAnsi="Times New Roman" w:cs="Times New Roman"/>
        </w:rPr>
        <w:t xml:space="preserve">financial investments in foreign shares, </w:t>
      </w:r>
      <w:r w:rsidR="00A85A35">
        <w:rPr>
          <w:rFonts w:ascii="Times New Roman" w:hAnsi="Times New Roman" w:cs="Times New Roman"/>
        </w:rPr>
        <w:t xml:space="preserve">in contrast with a decline in the proportion of </w:t>
      </w:r>
      <w:r w:rsidR="003770FA">
        <w:rPr>
          <w:rFonts w:ascii="Times New Roman" w:hAnsi="Times New Roman" w:cs="Times New Roman"/>
        </w:rPr>
        <w:t>deposits in banks</w:t>
      </w:r>
      <w:r w:rsidR="00297C28">
        <w:rPr>
          <w:rFonts w:ascii="Times New Roman" w:hAnsi="Times New Roman" w:cs="Times New Roman"/>
        </w:rPr>
        <w:t xml:space="preserve"> </w:t>
      </w:r>
      <w:r w:rsidRPr="009B2CEF">
        <w:rPr>
          <w:rFonts w:ascii="Times New Roman" w:hAnsi="Times New Roman" w:cs="Times New Roman"/>
        </w:rPr>
        <w:t>(Figure 2).</w:t>
      </w:r>
      <w:r>
        <w:rPr>
          <w:rFonts w:ascii="Times New Roman" w:hAnsi="Times New Roman" w:cs="Times New Roman"/>
        </w:rPr>
        <w:t xml:space="preserve"> </w:t>
      </w:r>
    </w:p>
    <w:p w:rsidR="00DD15DC" w:rsidRDefault="00DD15DC" w:rsidP="00DD15DC">
      <w:pPr>
        <w:pStyle w:val="regpar"/>
        <w:ind w:firstLine="0"/>
        <w:rPr>
          <w:rFonts w:ascii="Times New Roman" w:hAnsi="Times New Roman" w:cs="Times New Roman"/>
        </w:rPr>
      </w:pPr>
    </w:p>
    <w:p w:rsidR="00DD15DC" w:rsidRDefault="009B252B" w:rsidP="00DD15DC">
      <w:pPr>
        <w:pStyle w:val="regpar"/>
        <w:ind w:firstLine="0"/>
      </w:pPr>
      <w:r>
        <w:rPr>
          <w:noProof/>
        </w:rPr>
        <w:drawing>
          <wp:anchor distT="0" distB="0" distL="114300" distR="114300" simplePos="0" relativeHeight="251659264" behindDoc="0" locked="0" layoutInCell="1" allowOverlap="1" wp14:anchorId="505C097E" wp14:editId="75E5101F">
            <wp:simplePos x="0" y="0"/>
            <wp:positionH relativeFrom="column">
              <wp:posOffset>-550545</wp:posOffset>
            </wp:positionH>
            <wp:positionV relativeFrom="paragraph">
              <wp:posOffset>48895</wp:posOffset>
            </wp:positionV>
            <wp:extent cx="6263640" cy="4100195"/>
            <wp:effectExtent l="0" t="0" r="3810" b="0"/>
            <wp:wrapNone/>
            <wp:docPr id="4" name="תמונה 4" descr="The figure shows the development over time of the proportions of the various investments in Israelis’ asset portfolio abroad.  The figure can be found in the Excel file attached to this notice, in the worksheet entitled “Figure2”." title="Composition of Israelis’ asset portfolio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3640" cy="4100195"/>
                    </a:xfrm>
                    <a:prstGeom prst="rect">
                      <a:avLst/>
                    </a:prstGeom>
                    <a:noFill/>
                  </pic:spPr>
                </pic:pic>
              </a:graphicData>
            </a:graphic>
            <wp14:sizeRelH relativeFrom="page">
              <wp14:pctWidth>0</wp14:pctWidth>
            </wp14:sizeRelH>
            <wp14:sizeRelV relativeFrom="page">
              <wp14:pctHeight>0</wp14:pctHeight>
            </wp14:sizeRelV>
          </wp:anchor>
        </w:drawing>
      </w: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rPr>
          <w:noProof/>
        </w:rPr>
      </w:pPr>
    </w:p>
    <w:p w:rsidR="00DD15DC" w:rsidRDefault="00DD15DC" w:rsidP="009B252B">
      <w:pPr>
        <w:pStyle w:val="regpar"/>
        <w:ind w:left="-709" w:firstLine="0"/>
      </w:pPr>
    </w:p>
    <w:p w:rsidR="009B252B" w:rsidRDefault="009B252B" w:rsidP="009B252B">
      <w:pPr>
        <w:pStyle w:val="regpar"/>
        <w:ind w:left="-709" w:firstLine="0"/>
      </w:pPr>
    </w:p>
    <w:p w:rsidR="00763F37" w:rsidRPr="00763F37" w:rsidRDefault="00763F37" w:rsidP="00763F37">
      <w:pPr>
        <w:pStyle w:val="regpar"/>
        <w:numPr>
          <w:ilvl w:val="0"/>
          <w:numId w:val="4"/>
        </w:numPr>
        <w:rPr>
          <w:b/>
          <w:bCs/>
        </w:rPr>
      </w:pPr>
      <w:r>
        <w:rPr>
          <w:b/>
          <w:bCs/>
        </w:rPr>
        <w:t>Israel’s liabilities to abroad</w:t>
      </w:r>
    </w:p>
    <w:p w:rsidR="00763F37" w:rsidRDefault="00763F37" w:rsidP="00DD15DC">
      <w:pPr>
        <w:pStyle w:val="regpar"/>
        <w:ind w:firstLine="0"/>
      </w:pPr>
    </w:p>
    <w:p w:rsidR="00DD15DC" w:rsidRDefault="00DD15DC" w:rsidP="003770FA">
      <w:pPr>
        <w:pStyle w:val="regpar"/>
        <w:ind w:firstLine="0"/>
      </w:pPr>
      <w:r w:rsidRPr="000D53F4">
        <w:rPr>
          <w:b/>
          <w:bCs/>
        </w:rPr>
        <w:t xml:space="preserve">The balance of Israel's liabilities to abroad </w:t>
      </w:r>
      <w:r w:rsidR="00642F05">
        <w:t>increas</w:t>
      </w:r>
      <w:r w:rsidR="00137AAC">
        <w:t>e</w:t>
      </w:r>
      <w:r w:rsidRPr="000D53F4">
        <w:t xml:space="preserve">d </w:t>
      </w:r>
      <w:r>
        <w:t>in the</w:t>
      </w:r>
      <w:r w:rsidR="003770FA">
        <w:t xml:space="preserve"> second</w:t>
      </w:r>
      <w:r w:rsidR="007975F1">
        <w:t xml:space="preserve"> quarter</w:t>
      </w:r>
      <w:r w:rsidR="00297C28">
        <w:t xml:space="preserve"> of </w:t>
      </w:r>
      <w:r w:rsidR="007975F1">
        <w:t>2017</w:t>
      </w:r>
      <w:r w:rsidRPr="000D53F4">
        <w:t xml:space="preserve"> by about $</w:t>
      </w:r>
      <w:r w:rsidR="003770FA">
        <w:t>11.1</w:t>
      </w:r>
      <w:r>
        <w:t xml:space="preserve"> </w:t>
      </w:r>
      <w:r w:rsidRPr="000D53F4">
        <w:t>billion</w:t>
      </w:r>
      <w:r>
        <w:t xml:space="preserve"> (</w:t>
      </w:r>
      <w:r w:rsidR="003770FA">
        <w:t>4</w:t>
      </w:r>
      <w:r>
        <w:t xml:space="preserve"> percent), to about $2</w:t>
      </w:r>
      <w:r w:rsidR="003770FA">
        <w:t>89</w:t>
      </w:r>
      <w:r>
        <w:t xml:space="preserve"> billion at the end of </w:t>
      </w:r>
      <w:r w:rsidR="003770FA">
        <w:t>June</w:t>
      </w:r>
      <w:r>
        <w:t>.</w:t>
      </w:r>
    </w:p>
    <w:p w:rsidR="00DD15DC" w:rsidRDefault="00DD15DC" w:rsidP="003770FA">
      <w:pPr>
        <w:pStyle w:val="regpar"/>
        <w:ind w:firstLine="0"/>
      </w:pPr>
      <w:r>
        <w:rPr>
          <w:b/>
          <w:bCs/>
        </w:rPr>
        <w:t>The value of direct investments in the economy</w:t>
      </w:r>
      <w:r>
        <w:t xml:space="preserve"> increased by $</w:t>
      </w:r>
      <w:r w:rsidR="00137AAC">
        <w:t>2.</w:t>
      </w:r>
      <w:r w:rsidR="003770FA">
        <w:t>1</w:t>
      </w:r>
      <w:r>
        <w:t xml:space="preserve"> billion (</w:t>
      </w:r>
      <w:r w:rsidR="003770FA">
        <w:t>1.9</w:t>
      </w:r>
      <w:r>
        <w:t xml:space="preserve"> percent) in</w:t>
      </w:r>
      <w:r w:rsidR="0008354E">
        <w:t xml:space="preserve"> the </w:t>
      </w:r>
      <w:r w:rsidR="003770FA">
        <w:t xml:space="preserve">second </w:t>
      </w:r>
      <w:r w:rsidR="007975F1">
        <w:t>quarter</w:t>
      </w:r>
      <w:r>
        <w:t xml:space="preserve">, derived mainly from </w:t>
      </w:r>
      <w:r w:rsidR="00642F05">
        <w:t xml:space="preserve">net direct investments </w:t>
      </w:r>
      <w:r>
        <w:t xml:space="preserve">in </w:t>
      </w:r>
      <w:r w:rsidR="00137AAC">
        <w:t xml:space="preserve">Israeli </w:t>
      </w:r>
      <w:r>
        <w:t>share capital ($</w:t>
      </w:r>
      <w:r w:rsidR="00642F05">
        <w:t>2</w:t>
      </w:r>
      <w:r>
        <w:t xml:space="preserve"> billion, </w:t>
      </w:r>
      <w:r w:rsidR="00642F05">
        <w:t>1.</w:t>
      </w:r>
      <w:r w:rsidR="003770FA">
        <w:t>8</w:t>
      </w:r>
      <w:r w:rsidR="004E0F06">
        <w:t xml:space="preserve"> percent)</w:t>
      </w:r>
      <w:r w:rsidR="00A85A35">
        <w:t>.</w:t>
      </w:r>
    </w:p>
    <w:p w:rsidR="00DD15DC" w:rsidRPr="00266CE7" w:rsidRDefault="00DD15DC" w:rsidP="003770FA">
      <w:pPr>
        <w:pStyle w:val="regpar"/>
        <w:ind w:firstLine="0"/>
      </w:pPr>
      <w:r>
        <w:rPr>
          <w:b/>
          <w:bCs/>
        </w:rPr>
        <w:t>The value of financial investments (stocks and bonds)</w:t>
      </w:r>
      <w:r>
        <w:t xml:space="preserve"> </w:t>
      </w:r>
      <w:r w:rsidR="00642F05">
        <w:t>increas</w:t>
      </w:r>
      <w:r w:rsidR="0008354E">
        <w:t>ed</w:t>
      </w:r>
      <w:r>
        <w:t xml:space="preserve"> by about $</w:t>
      </w:r>
      <w:r w:rsidR="003770FA">
        <w:t>7.2</w:t>
      </w:r>
      <w:r>
        <w:t xml:space="preserve"> billion (</w:t>
      </w:r>
      <w:r w:rsidR="003770FA">
        <w:t>6.3</w:t>
      </w:r>
      <w:r w:rsidR="00642F05">
        <w:t>5</w:t>
      </w:r>
      <w:r>
        <w:t xml:space="preserve"> percent) in </w:t>
      </w:r>
      <w:r w:rsidR="0008354E">
        <w:t xml:space="preserve">the </w:t>
      </w:r>
      <w:r w:rsidR="003770FA">
        <w:t>second</w:t>
      </w:r>
      <w:r w:rsidR="007975F1">
        <w:t xml:space="preserve"> quarter</w:t>
      </w:r>
      <w:r w:rsidR="000C7858">
        <w:t xml:space="preserve">, mainly </w:t>
      </w:r>
      <w:r w:rsidR="00642F05">
        <w:t>increas</w:t>
      </w:r>
      <w:r w:rsidR="00A85A35">
        <w:t>es in the prices of Israeli shares held by nonresidents ($</w:t>
      </w:r>
      <w:r w:rsidR="003770FA">
        <w:t>3</w:t>
      </w:r>
      <w:r w:rsidR="00642F05">
        <w:t>.1</w:t>
      </w:r>
      <w:r w:rsidR="00A85A35">
        <w:t xml:space="preserve"> billion, </w:t>
      </w:r>
      <w:r w:rsidR="003770FA">
        <w:t>2.7</w:t>
      </w:r>
      <w:r w:rsidR="00A85A35">
        <w:t xml:space="preserve"> percent) </w:t>
      </w:r>
      <w:r w:rsidR="00642F05">
        <w:t xml:space="preserve">and net investments </w:t>
      </w:r>
      <w:r w:rsidR="000C7858">
        <w:t>in</w:t>
      </w:r>
      <w:r w:rsidR="00A85A35">
        <w:t xml:space="preserve"> Israeli </w:t>
      </w:r>
      <w:r w:rsidR="003770FA">
        <w:t xml:space="preserve">stocks and </w:t>
      </w:r>
      <w:r w:rsidR="00A85A35">
        <w:t>bonds totaling about $</w:t>
      </w:r>
      <w:r w:rsidR="003770FA">
        <w:t>2.8</w:t>
      </w:r>
      <w:r w:rsidR="00A85A35">
        <w:t xml:space="preserve"> billion (</w:t>
      </w:r>
      <w:r w:rsidR="003770FA">
        <w:t>2</w:t>
      </w:r>
      <w:r w:rsidR="00642F05">
        <w:t>.4</w:t>
      </w:r>
      <w:r w:rsidR="00A85A35">
        <w:t xml:space="preserve"> percent)</w:t>
      </w:r>
      <w:r w:rsidR="003770FA">
        <w:t xml:space="preserve"> combined</w:t>
      </w:r>
      <w:r w:rsidR="00A85A35">
        <w:t>.</w:t>
      </w:r>
    </w:p>
    <w:p w:rsidR="00DD15DC" w:rsidRPr="00266CE7" w:rsidRDefault="00DD15DC" w:rsidP="003770FA">
      <w:pPr>
        <w:pStyle w:val="regpar"/>
        <w:ind w:firstLine="0"/>
      </w:pPr>
      <w:r w:rsidRPr="00266CE7">
        <w:rPr>
          <w:b/>
          <w:bCs/>
        </w:rPr>
        <w:t xml:space="preserve">The value of other investments </w:t>
      </w:r>
      <w:r w:rsidR="00A85A35">
        <w:t>increased</w:t>
      </w:r>
      <w:r w:rsidRPr="00266CE7">
        <w:t xml:space="preserve"> by about $</w:t>
      </w:r>
      <w:r w:rsidR="003770FA">
        <w:t>1.8</w:t>
      </w:r>
      <w:r w:rsidR="00A85A35">
        <w:t xml:space="preserve"> b</w:t>
      </w:r>
      <w:r w:rsidRPr="00A96DDE">
        <w:t>illion</w:t>
      </w:r>
      <w:r w:rsidRPr="00266CE7">
        <w:t xml:space="preserve"> (</w:t>
      </w:r>
      <w:r w:rsidR="003770FA">
        <w:t>3.4</w:t>
      </w:r>
      <w:r w:rsidRPr="00266CE7">
        <w:t xml:space="preserve"> percent) in </w:t>
      </w:r>
      <w:r w:rsidR="0008354E" w:rsidRPr="00266CE7">
        <w:t xml:space="preserve">the </w:t>
      </w:r>
      <w:r w:rsidR="003770FA">
        <w:t>second</w:t>
      </w:r>
      <w:r w:rsidR="007975F1">
        <w:t xml:space="preserve"> quarter</w:t>
      </w:r>
      <w:r w:rsidR="0008354E" w:rsidRPr="00266CE7">
        <w:t xml:space="preserve">, mainly </w:t>
      </w:r>
      <w:r w:rsidR="004E0F06">
        <w:t>due to</w:t>
      </w:r>
      <w:r w:rsidR="0008354E" w:rsidRPr="00266CE7">
        <w:t xml:space="preserve"> </w:t>
      </w:r>
      <w:r w:rsidR="00642F05">
        <w:t xml:space="preserve">an increase </w:t>
      </w:r>
      <w:r w:rsidR="003770FA">
        <w:t xml:space="preserve">of about $0.9 billion (1.8 percent) </w:t>
      </w:r>
      <w:r w:rsidR="00642F05">
        <w:t xml:space="preserve">in </w:t>
      </w:r>
      <w:r w:rsidR="003770FA">
        <w:t>suppliers’ credit and an increase of about $0.7 billion (1.4 percent) in loans</w:t>
      </w:r>
      <w:r w:rsidR="00A85A35">
        <w:t>.</w:t>
      </w:r>
    </w:p>
    <w:p w:rsidR="00DD15DC" w:rsidRDefault="00DD15DC" w:rsidP="0026680D">
      <w:pPr>
        <w:pStyle w:val="regpar"/>
        <w:ind w:firstLine="0"/>
      </w:pPr>
      <w:r w:rsidRPr="00266CE7">
        <w:rPr>
          <w:b/>
          <w:bCs/>
        </w:rPr>
        <w:t xml:space="preserve">The value of </w:t>
      </w:r>
      <w:r w:rsidRPr="00266CE7">
        <w:rPr>
          <w:b/>
        </w:rPr>
        <w:t>nonresidents' financial portfolio on the Tel Aviv Stock Exchange</w:t>
      </w:r>
      <w:r w:rsidRPr="00266CE7">
        <w:rPr>
          <w:bCs/>
        </w:rPr>
        <w:t xml:space="preserve"> </w:t>
      </w:r>
      <w:r w:rsidR="00130E82">
        <w:rPr>
          <w:bCs/>
        </w:rPr>
        <w:t>increas</w:t>
      </w:r>
      <w:r w:rsidR="00A85A35">
        <w:rPr>
          <w:bCs/>
        </w:rPr>
        <w:t>ed</w:t>
      </w:r>
      <w:r w:rsidR="004E0F06">
        <w:rPr>
          <w:bCs/>
        </w:rPr>
        <w:t xml:space="preserve"> in the </w:t>
      </w:r>
      <w:r w:rsidR="00EF4238">
        <w:rPr>
          <w:bCs/>
        </w:rPr>
        <w:t>second</w:t>
      </w:r>
      <w:r w:rsidR="007975F1">
        <w:rPr>
          <w:bCs/>
        </w:rPr>
        <w:t xml:space="preserve"> quarter</w:t>
      </w:r>
      <w:r w:rsidRPr="00266CE7">
        <w:rPr>
          <w:bCs/>
        </w:rPr>
        <w:t xml:space="preserve"> by </w:t>
      </w:r>
      <w:r w:rsidR="00A85A35">
        <w:rPr>
          <w:bCs/>
        </w:rPr>
        <w:t xml:space="preserve">about </w:t>
      </w:r>
      <w:r w:rsidRPr="00266CE7">
        <w:rPr>
          <w:bCs/>
        </w:rPr>
        <w:t>$</w:t>
      </w:r>
      <w:r w:rsidR="00EF4238">
        <w:rPr>
          <w:bCs/>
        </w:rPr>
        <w:t>3.8</w:t>
      </w:r>
      <w:r w:rsidRPr="00A96DDE">
        <w:rPr>
          <w:bCs/>
        </w:rPr>
        <w:t xml:space="preserve"> </w:t>
      </w:r>
      <w:r w:rsidR="004E0F06">
        <w:rPr>
          <w:bCs/>
        </w:rPr>
        <w:t>b</w:t>
      </w:r>
      <w:r w:rsidRPr="00A96DDE">
        <w:rPr>
          <w:bCs/>
        </w:rPr>
        <w:t>illion</w:t>
      </w:r>
      <w:r w:rsidRPr="00266CE7">
        <w:rPr>
          <w:bCs/>
        </w:rPr>
        <w:t xml:space="preserve"> (</w:t>
      </w:r>
      <w:r w:rsidR="00EF4238">
        <w:rPr>
          <w:bCs/>
        </w:rPr>
        <w:t>11</w:t>
      </w:r>
      <w:r w:rsidRPr="00266CE7">
        <w:rPr>
          <w:bCs/>
        </w:rPr>
        <w:t xml:space="preserve"> percent), to about $3</w:t>
      </w:r>
      <w:r w:rsidR="00EF4238">
        <w:rPr>
          <w:bCs/>
        </w:rPr>
        <w:t>8</w:t>
      </w:r>
      <w:r w:rsidRPr="00266CE7">
        <w:rPr>
          <w:bCs/>
        </w:rPr>
        <w:t xml:space="preserve"> billion at the end of </w:t>
      </w:r>
      <w:r w:rsidR="00EF4238">
        <w:rPr>
          <w:bCs/>
        </w:rPr>
        <w:t>June</w:t>
      </w:r>
      <w:r w:rsidR="00130E82">
        <w:rPr>
          <w:bCs/>
        </w:rPr>
        <w:t>,</w:t>
      </w:r>
      <w:r w:rsidR="0008354E" w:rsidRPr="00266CE7">
        <w:rPr>
          <w:bCs/>
        </w:rPr>
        <w:t xml:space="preserve"> </w:t>
      </w:r>
      <w:r w:rsidR="0026680D">
        <w:rPr>
          <w:bCs/>
        </w:rPr>
        <w:t>further to an increase</w:t>
      </w:r>
      <w:r w:rsidR="004E0F06">
        <w:rPr>
          <w:bCs/>
        </w:rPr>
        <w:t xml:space="preserve"> of $</w:t>
      </w:r>
      <w:r w:rsidR="0026680D">
        <w:rPr>
          <w:bCs/>
        </w:rPr>
        <w:t>2.7</w:t>
      </w:r>
      <w:r w:rsidR="004E0F06">
        <w:rPr>
          <w:bCs/>
        </w:rPr>
        <w:t xml:space="preserve"> </w:t>
      </w:r>
      <w:r w:rsidR="000C7858">
        <w:rPr>
          <w:bCs/>
        </w:rPr>
        <w:t>b</w:t>
      </w:r>
      <w:r w:rsidR="004E0F06">
        <w:rPr>
          <w:bCs/>
        </w:rPr>
        <w:t xml:space="preserve">illion in the </w:t>
      </w:r>
      <w:r w:rsidR="0026680D">
        <w:rPr>
          <w:bCs/>
        </w:rPr>
        <w:t>first</w:t>
      </w:r>
      <w:r w:rsidR="004E0F06">
        <w:rPr>
          <w:bCs/>
        </w:rPr>
        <w:t xml:space="preserve"> quarter</w:t>
      </w:r>
      <w:r w:rsidR="00130E82">
        <w:rPr>
          <w:bCs/>
        </w:rPr>
        <w:t xml:space="preserve"> of </w:t>
      </w:r>
      <w:r w:rsidR="0026680D">
        <w:rPr>
          <w:bCs/>
        </w:rPr>
        <w:t>the year</w:t>
      </w:r>
      <w:r w:rsidR="004E0F06">
        <w:rPr>
          <w:bCs/>
        </w:rPr>
        <w:t xml:space="preserve">. Most of </w:t>
      </w:r>
      <w:r w:rsidR="000C7858">
        <w:rPr>
          <w:bCs/>
        </w:rPr>
        <w:t xml:space="preserve">the </w:t>
      </w:r>
      <w:r w:rsidR="00130E82">
        <w:rPr>
          <w:bCs/>
        </w:rPr>
        <w:t>increase</w:t>
      </w:r>
      <w:r w:rsidR="004E0F06">
        <w:rPr>
          <w:bCs/>
        </w:rPr>
        <w:t xml:space="preserve"> was due to </w:t>
      </w:r>
      <w:r w:rsidR="00A85A35">
        <w:rPr>
          <w:bCs/>
        </w:rPr>
        <w:t>a</w:t>
      </w:r>
      <w:r w:rsidR="00130E82">
        <w:rPr>
          <w:bCs/>
        </w:rPr>
        <w:t>n</w:t>
      </w:r>
      <w:r w:rsidR="00A85A35">
        <w:rPr>
          <w:bCs/>
        </w:rPr>
        <w:t xml:space="preserve"> </w:t>
      </w:r>
      <w:r w:rsidR="00130E82">
        <w:rPr>
          <w:bCs/>
        </w:rPr>
        <w:t>increase</w:t>
      </w:r>
      <w:r w:rsidR="004E0F06">
        <w:rPr>
          <w:bCs/>
        </w:rPr>
        <w:t xml:space="preserve"> in the value of </w:t>
      </w:r>
      <w:r w:rsidR="0008354E">
        <w:rPr>
          <w:bCs/>
        </w:rPr>
        <w:t xml:space="preserve">the balance of </w:t>
      </w:r>
      <w:r w:rsidR="00A85A35">
        <w:rPr>
          <w:bCs/>
        </w:rPr>
        <w:t xml:space="preserve">financial </w:t>
      </w:r>
      <w:r w:rsidR="0026680D">
        <w:rPr>
          <w:bCs/>
        </w:rPr>
        <w:t>s</w:t>
      </w:r>
      <w:r w:rsidR="0008354E">
        <w:rPr>
          <w:bCs/>
        </w:rPr>
        <w:t>hares</w:t>
      </w:r>
      <w:r w:rsidR="0026680D">
        <w:rPr>
          <w:bCs/>
        </w:rPr>
        <w:t xml:space="preserve"> and bonds</w:t>
      </w:r>
      <w:r w:rsidR="00130E82">
        <w:rPr>
          <w:bCs/>
        </w:rPr>
        <w:t xml:space="preserve">, mainly as a result of </w:t>
      </w:r>
      <w:r w:rsidR="0026680D">
        <w:rPr>
          <w:bCs/>
        </w:rPr>
        <w:t>net investments</w:t>
      </w:r>
      <w:r w:rsidR="0008354E">
        <w:rPr>
          <w:bCs/>
        </w:rPr>
        <w:t xml:space="preserve"> </w:t>
      </w:r>
      <w:r>
        <w:rPr>
          <w:bCs/>
        </w:rPr>
        <w:t>(Figure 3).</w:t>
      </w:r>
      <w:r w:rsidRPr="005F4587">
        <w:t xml:space="preserve"> </w:t>
      </w: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r>
        <w:rPr>
          <w:noProof/>
        </w:rPr>
        <w:drawing>
          <wp:anchor distT="0" distB="0" distL="114300" distR="114300" simplePos="0" relativeHeight="251660288" behindDoc="0" locked="0" layoutInCell="1" allowOverlap="1" wp14:anchorId="6A8EEE2B" wp14:editId="0853D612">
            <wp:simplePos x="0" y="0"/>
            <wp:positionH relativeFrom="column">
              <wp:posOffset>-531495</wp:posOffset>
            </wp:positionH>
            <wp:positionV relativeFrom="paragraph">
              <wp:posOffset>67945</wp:posOffset>
            </wp:positionV>
            <wp:extent cx="6263640" cy="3822065"/>
            <wp:effectExtent l="0" t="0" r="3810" b="6985"/>
            <wp:wrapNone/>
            <wp:docPr id="5" name="תמונה 5" descr="The figure shows the development over time of the securities portfolio held by nonresidents on the Tel Aviv Stock Exchange, divided into instruments.  The figure can be found in the Excel file attached to this notice, in the worksheet entitled “Figure3”." title="Value of nonresidents’ securities portfolio traded on the Tel Aviv Sto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3640" cy="3822065"/>
                    </a:xfrm>
                    <a:prstGeom prst="rect">
                      <a:avLst/>
                    </a:prstGeom>
                    <a:noFill/>
                  </pic:spPr>
                </pic:pic>
              </a:graphicData>
            </a:graphic>
            <wp14:sizeRelH relativeFrom="page">
              <wp14:pctWidth>0</wp14:pctWidth>
            </wp14:sizeRelH>
            <wp14:sizeRelV relativeFrom="page">
              <wp14:pctHeight>0</wp14:pctHeight>
            </wp14:sizeRelV>
          </wp:anchor>
        </w:drawing>
      </w: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9B252B" w:rsidRDefault="009B252B" w:rsidP="009B252B">
      <w:pPr>
        <w:pStyle w:val="regpar"/>
        <w:ind w:firstLine="0"/>
        <w:rPr>
          <w:noProof/>
        </w:rPr>
      </w:pPr>
    </w:p>
    <w:p w:rsidR="00DD15DC" w:rsidRDefault="00DD15DC" w:rsidP="00DD15DC">
      <w:pPr>
        <w:pStyle w:val="regpar"/>
        <w:ind w:firstLine="0"/>
        <w:rPr>
          <w:noProof/>
        </w:rPr>
      </w:pPr>
    </w:p>
    <w:p w:rsidR="009B252B" w:rsidRDefault="009B252B" w:rsidP="00DD15DC">
      <w:pPr>
        <w:pStyle w:val="regpar"/>
        <w:ind w:firstLine="0"/>
        <w:rPr>
          <w:noProof/>
        </w:rPr>
      </w:pPr>
    </w:p>
    <w:p w:rsidR="009B252B" w:rsidRDefault="009B252B" w:rsidP="00DD15DC">
      <w:pPr>
        <w:pStyle w:val="regpar"/>
        <w:ind w:firstLine="0"/>
      </w:pPr>
    </w:p>
    <w:p w:rsidR="00DD15DC" w:rsidRDefault="00DD15DC" w:rsidP="00DD15DC">
      <w:pPr>
        <w:pStyle w:val="regpar"/>
        <w:ind w:firstLine="0"/>
        <w:rPr>
          <w:bCs/>
        </w:rPr>
      </w:pPr>
    </w:p>
    <w:p w:rsidR="00DD15DC" w:rsidRDefault="00DD15DC" w:rsidP="00763F37">
      <w:pPr>
        <w:pStyle w:val="regpar"/>
        <w:numPr>
          <w:ilvl w:val="0"/>
          <w:numId w:val="4"/>
        </w:numPr>
        <w:outlineLvl w:val="0"/>
        <w:rPr>
          <w:b/>
          <w:bCs/>
        </w:rPr>
      </w:pPr>
      <w:r>
        <w:rPr>
          <w:b/>
          <w:bCs/>
        </w:rPr>
        <w:t>The gross external debt</w:t>
      </w:r>
    </w:p>
    <w:p w:rsidR="00DD15DC" w:rsidRDefault="00DD15DC" w:rsidP="00DD15DC">
      <w:pPr>
        <w:pStyle w:val="regpar"/>
        <w:ind w:firstLine="0"/>
        <w:outlineLvl w:val="0"/>
        <w:rPr>
          <w:b/>
          <w:bCs/>
        </w:rPr>
      </w:pPr>
    </w:p>
    <w:p w:rsidR="00DD15DC" w:rsidRDefault="00DD15DC" w:rsidP="0026680D">
      <w:pPr>
        <w:pStyle w:val="regpar"/>
        <w:ind w:firstLine="0"/>
        <w:outlineLvl w:val="0"/>
      </w:pPr>
      <w:r>
        <w:rPr>
          <w:b/>
          <w:bCs/>
        </w:rPr>
        <w:lastRenderedPageBreak/>
        <w:t>Israel's gross extern</w:t>
      </w:r>
      <w:r w:rsidRPr="0045031F">
        <w:rPr>
          <w:b/>
          <w:bCs/>
        </w:rPr>
        <w:t>al debt</w:t>
      </w:r>
      <w:r w:rsidRPr="00694049">
        <w:t xml:space="preserve"> </w:t>
      </w:r>
      <w:r w:rsidR="00763F37">
        <w:t>increased</w:t>
      </w:r>
      <w:r w:rsidR="00A85A35">
        <w:t>,</w:t>
      </w:r>
      <w:r>
        <w:t xml:space="preserve"> </w:t>
      </w:r>
      <w:r w:rsidRPr="00694049">
        <w:t xml:space="preserve">by </w:t>
      </w:r>
      <w:r w:rsidR="00F7582B">
        <w:t xml:space="preserve">about </w:t>
      </w:r>
      <w:r w:rsidRPr="00694049">
        <w:t>$</w:t>
      </w:r>
      <w:r w:rsidR="0026680D">
        <w:t>3.5</w:t>
      </w:r>
      <w:r>
        <w:t xml:space="preserve"> </w:t>
      </w:r>
      <w:r w:rsidR="00763F37">
        <w:t>b</w:t>
      </w:r>
      <w:r w:rsidRPr="00694049">
        <w:t xml:space="preserve">illion </w:t>
      </w:r>
      <w:r>
        <w:t>(</w:t>
      </w:r>
      <w:r w:rsidR="0026680D">
        <w:t>3.9</w:t>
      </w:r>
      <w:r>
        <w:t xml:space="preserve"> percent) in </w:t>
      </w:r>
      <w:r w:rsidR="0008354E">
        <w:t xml:space="preserve">the </w:t>
      </w:r>
      <w:r w:rsidR="0026680D">
        <w:t>second</w:t>
      </w:r>
      <w:r w:rsidR="007975F1">
        <w:t xml:space="preserve"> quarter</w:t>
      </w:r>
      <w:r w:rsidR="0008354E">
        <w:t xml:space="preserve"> of </w:t>
      </w:r>
      <w:r w:rsidR="007975F1">
        <w:t>2017</w:t>
      </w:r>
      <w:r w:rsidR="00A85A35">
        <w:t>,</w:t>
      </w:r>
      <w:r w:rsidR="0008354E">
        <w:t xml:space="preserve"> to about $9</w:t>
      </w:r>
      <w:r w:rsidR="0026680D">
        <w:t>3</w:t>
      </w:r>
      <w:r w:rsidR="0008354E">
        <w:t xml:space="preserve"> billion</w:t>
      </w:r>
      <w:r w:rsidR="00A85A35">
        <w:t>, mainly due to</w:t>
      </w:r>
      <w:r w:rsidR="00581F51">
        <w:t xml:space="preserve"> </w:t>
      </w:r>
      <w:r w:rsidR="00763F37">
        <w:t>net investments by nonresidents in</w:t>
      </w:r>
      <w:r w:rsidR="00581F51">
        <w:t xml:space="preserve"> </w:t>
      </w:r>
      <w:r w:rsidR="007270FC">
        <w:t>Israeli bonds</w:t>
      </w:r>
      <w:r w:rsidR="0026680D">
        <w:t xml:space="preserve"> and an increase in suppliers’ credit through loans</w:t>
      </w:r>
      <w:r w:rsidR="00581F51">
        <w:t>.</w:t>
      </w:r>
      <w:r w:rsidR="006C0C06">
        <w:t xml:space="preserve">  </w:t>
      </w:r>
    </w:p>
    <w:p w:rsidR="00DD15DC" w:rsidRDefault="00DD15DC" w:rsidP="000E3AAE">
      <w:pPr>
        <w:pStyle w:val="regpar"/>
        <w:ind w:firstLine="0"/>
        <w:outlineLvl w:val="0"/>
      </w:pPr>
      <w:r w:rsidRPr="00913AB5">
        <w:rPr>
          <w:b/>
          <w:bCs/>
        </w:rPr>
        <w:t xml:space="preserve">The </w:t>
      </w:r>
      <w:r>
        <w:rPr>
          <w:b/>
          <w:bCs/>
        </w:rPr>
        <w:t xml:space="preserve">ratio of gross </w:t>
      </w:r>
      <w:r w:rsidRPr="00913AB5">
        <w:rPr>
          <w:b/>
          <w:bCs/>
        </w:rPr>
        <w:t>external</w:t>
      </w:r>
      <w:r>
        <w:rPr>
          <w:b/>
          <w:bCs/>
        </w:rPr>
        <w:t xml:space="preserve"> </w:t>
      </w:r>
      <w:r w:rsidRPr="00913AB5">
        <w:rPr>
          <w:b/>
          <w:bCs/>
        </w:rPr>
        <w:t>debt</w:t>
      </w:r>
      <w:r>
        <w:rPr>
          <w:b/>
          <w:bCs/>
        </w:rPr>
        <w:t xml:space="preserve"> to </w:t>
      </w:r>
      <w:r w:rsidRPr="00913AB5">
        <w:rPr>
          <w:b/>
          <w:bCs/>
        </w:rPr>
        <w:t xml:space="preserve">GDP </w:t>
      </w:r>
      <w:r w:rsidR="00763F37">
        <w:t>declined</w:t>
      </w:r>
      <w:r w:rsidR="00581F51" w:rsidRPr="00581F51">
        <w:t xml:space="preserve"> </w:t>
      </w:r>
      <w:r w:rsidR="006C0C06">
        <w:t xml:space="preserve">in the </w:t>
      </w:r>
      <w:r w:rsidR="000E3AAE">
        <w:t>second</w:t>
      </w:r>
      <w:r w:rsidR="007975F1">
        <w:t xml:space="preserve"> quarter</w:t>
      </w:r>
      <w:r w:rsidR="006C0C06">
        <w:t xml:space="preserve">, </w:t>
      </w:r>
      <w:r w:rsidR="00581F51">
        <w:t xml:space="preserve">to </w:t>
      </w:r>
      <w:r w:rsidR="00763F37">
        <w:t>26</w:t>
      </w:r>
      <w:r>
        <w:t xml:space="preserve"> percent</w:t>
      </w:r>
      <w:r w:rsidRPr="007E4814">
        <w:t xml:space="preserve"> at th</w:t>
      </w:r>
      <w:r>
        <w:t xml:space="preserve">e end of </w:t>
      </w:r>
      <w:r w:rsidR="000E3AAE">
        <w:t>June, further to the downward trend that began in 2012</w:t>
      </w:r>
      <w:r w:rsidR="00581F51">
        <w:t xml:space="preserve">.  The </w:t>
      </w:r>
      <w:r w:rsidR="00763F37">
        <w:t>decline</w:t>
      </w:r>
      <w:r w:rsidR="00581F51">
        <w:t xml:space="preserve"> was a result of </w:t>
      </w:r>
      <w:r w:rsidR="00763F37">
        <w:t>a</w:t>
      </w:r>
      <w:r w:rsidR="000E3AAE">
        <w:t xml:space="preserve"> negligible</w:t>
      </w:r>
      <w:r w:rsidR="00763F37">
        <w:t xml:space="preserve"> decline</w:t>
      </w:r>
      <w:r w:rsidR="00581F51">
        <w:t xml:space="preserve"> in the shekel value of gross external debt </w:t>
      </w:r>
      <w:r w:rsidR="00763F37">
        <w:t xml:space="preserve">as a result of the appreciation of the shekel, and an </w:t>
      </w:r>
      <w:r w:rsidR="00581F51">
        <w:t>increase in GDP (</w:t>
      </w:r>
      <w:r w:rsidR="007270FC">
        <w:t>1.1</w:t>
      </w:r>
      <w:r w:rsidR="009B252B">
        <w:t xml:space="preserve">%). </w:t>
      </w:r>
      <w:r w:rsidR="00763F37">
        <w:t>(Figure 4)</w:t>
      </w: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r>
        <w:rPr>
          <w:noProof/>
        </w:rPr>
        <w:drawing>
          <wp:anchor distT="0" distB="0" distL="114300" distR="114300" simplePos="0" relativeHeight="251661312" behindDoc="0" locked="0" layoutInCell="1" allowOverlap="1" wp14:anchorId="6B7E5FB8" wp14:editId="6A2AF813">
            <wp:simplePos x="0" y="0"/>
            <wp:positionH relativeFrom="column">
              <wp:posOffset>-474345</wp:posOffset>
            </wp:positionH>
            <wp:positionV relativeFrom="paragraph">
              <wp:posOffset>5080</wp:posOffset>
            </wp:positionV>
            <wp:extent cx="6263640" cy="3822065"/>
            <wp:effectExtent l="0" t="0" r="3810" b="6985"/>
            <wp:wrapNone/>
            <wp:docPr id="6" name="תמונה 6" descr="The figure shows the development over time of the gross external debt to GDP ratio.  The figure can be found in the Excel file attached to this notice, in the worksheet entitled “Figure4”." title="Gross external debt to GDP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3640" cy="3822065"/>
                    </a:xfrm>
                    <a:prstGeom prst="rect">
                      <a:avLst/>
                    </a:prstGeom>
                    <a:noFill/>
                  </pic:spPr>
                </pic:pic>
              </a:graphicData>
            </a:graphic>
            <wp14:sizeRelH relativeFrom="page">
              <wp14:pctWidth>0</wp14:pctWidth>
            </wp14:sizeRelH>
            <wp14:sizeRelV relativeFrom="page">
              <wp14:pctHeight>0</wp14:pctHeight>
            </wp14:sizeRelV>
          </wp:anchor>
        </w:drawing>
      </w: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DD15DC" w:rsidRDefault="00DD15DC"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9B252B" w:rsidRDefault="009B252B" w:rsidP="00DD15DC">
      <w:pPr>
        <w:pStyle w:val="regpar"/>
        <w:ind w:firstLine="0"/>
        <w:outlineLvl w:val="0"/>
      </w:pPr>
    </w:p>
    <w:p w:rsidR="00DD15DC" w:rsidRDefault="00DD15DC" w:rsidP="00DD15DC">
      <w:pPr>
        <w:pStyle w:val="regpar"/>
        <w:ind w:firstLine="0"/>
        <w:outlineLvl w:val="0"/>
      </w:pPr>
    </w:p>
    <w:p w:rsidR="00763F37" w:rsidRPr="009B252B" w:rsidRDefault="00DD15DC" w:rsidP="00763F37">
      <w:pPr>
        <w:pStyle w:val="regpar"/>
        <w:numPr>
          <w:ilvl w:val="0"/>
          <w:numId w:val="4"/>
        </w:numPr>
        <w:outlineLvl w:val="0"/>
        <w:rPr>
          <w:b/>
          <w:bCs/>
        </w:rPr>
      </w:pPr>
      <w:r w:rsidRPr="009B252B">
        <w:rPr>
          <w:b/>
          <w:bCs/>
        </w:rPr>
        <w:t>The net external debt</w:t>
      </w:r>
    </w:p>
    <w:p w:rsidR="00DD15DC" w:rsidRDefault="00DD15DC" w:rsidP="00DD15DC">
      <w:pPr>
        <w:pStyle w:val="regpar"/>
        <w:ind w:firstLine="0"/>
        <w:outlineLvl w:val="0"/>
      </w:pPr>
    </w:p>
    <w:p w:rsidR="00DD15DC" w:rsidRDefault="00DD15DC" w:rsidP="000E3AAE">
      <w:pPr>
        <w:pStyle w:val="regpar"/>
        <w:ind w:firstLine="0"/>
        <w:outlineLvl w:val="0"/>
      </w:pPr>
      <w:r w:rsidRPr="00F36582">
        <w:rPr>
          <w:b/>
          <w:bCs/>
        </w:rPr>
        <w:t xml:space="preserve">The surplus of assets over liabilities </w:t>
      </w:r>
      <w:r w:rsidR="000E3AAE">
        <w:rPr>
          <w:b/>
          <w:bCs/>
        </w:rPr>
        <w:t xml:space="preserve">vis-à-vis </w:t>
      </w:r>
      <w:r w:rsidRPr="00F36582">
        <w:rPr>
          <w:b/>
          <w:bCs/>
        </w:rPr>
        <w:t>abroad</w:t>
      </w:r>
      <w:r>
        <w:t xml:space="preserve"> in debt instruments alone (negative net external debt) increased by about $</w:t>
      </w:r>
      <w:r w:rsidR="000E3AAE">
        <w:t>1.6</w:t>
      </w:r>
      <w:r>
        <w:t xml:space="preserve"> billion (</w:t>
      </w:r>
      <w:r w:rsidR="000E3AAE">
        <w:t>1.1</w:t>
      </w:r>
      <w:r>
        <w:t xml:space="preserve"> percent) in the </w:t>
      </w:r>
      <w:r w:rsidR="000E3AAE">
        <w:t>second</w:t>
      </w:r>
      <w:r w:rsidR="007975F1">
        <w:t xml:space="preserve"> quarter</w:t>
      </w:r>
      <w:r>
        <w:t xml:space="preserve">, </w:t>
      </w:r>
      <w:r w:rsidR="00A7199E">
        <w:t>to</w:t>
      </w:r>
      <w:r>
        <w:t xml:space="preserve"> about $</w:t>
      </w:r>
      <w:r w:rsidR="00763F37">
        <w:t>14</w:t>
      </w:r>
      <w:r w:rsidR="000E3AAE">
        <w:t>2</w:t>
      </w:r>
      <w:r>
        <w:t xml:space="preserve"> billion at the end of </w:t>
      </w:r>
      <w:r w:rsidR="000E3AAE">
        <w:t>June</w:t>
      </w:r>
      <w:r w:rsidR="00763F37">
        <w:t xml:space="preserve"> </w:t>
      </w:r>
      <w:r>
        <w:t>(Figure 5).</w:t>
      </w:r>
    </w:p>
    <w:p w:rsidR="00DD15DC" w:rsidRDefault="00DD15DC" w:rsidP="000E3AAE">
      <w:pPr>
        <w:pStyle w:val="regpar"/>
        <w:ind w:firstLine="0"/>
        <w:outlineLvl w:val="0"/>
      </w:pPr>
      <w:r w:rsidRPr="00111E28">
        <w:rPr>
          <w:b/>
          <w:bCs/>
        </w:rPr>
        <w:t>The balance of short-term debt assets</w:t>
      </w:r>
      <w:r>
        <w:t xml:space="preserve"> </w:t>
      </w:r>
      <w:r w:rsidR="00A7199E">
        <w:t xml:space="preserve">(repayment/realization within a year) </w:t>
      </w:r>
      <w:r>
        <w:t>was about $1</w:t>
      </w:r>
      <w:r w:rsidR="00B77DB0">
        <w:t>5</w:t>
      </w:r>
      <w:r w:rsidR="000E3AAE">
        <w:t>7</w:t>
      </w:r>
      <w:r>
        <w:t xml:space="preserve"> billion at the end of </w:t>
      </w:r>
      <w:r w:rsidR="000E3AAE">
        <w:t>June</w:t>
      </w:r>
      <w:r>
        <w:t>, mostly in the</w:t>
      </w:r>
      <w:r w:rsidR="00A96DDE">
        <w:t xml:space="preserve"> Bank of Israel’s</w:t>
      </w:r>
      <w:r>
        <w:t xml:space="preserve"> foreign exchange reserves, reflecting a coverage ratio of </w:t>
      </w:r>
      <w:r w:rsidR="007270FC">
        <w:t>4.</w:t>
      </w:r>
      <w:r w:rsidR="000E3AAE">
        <w:t>3</w:t>
      </w:r>
      <w:r>
        <w:t xml:space="preserve"> times short-term debt.</w:t>
      </w: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r>
        <w:rPr>
          <w:noProof/>
        </w:rPr>
        <w:drawing>
          <wp:anchor distT="0" distB="0" distL="114300" distR="114300" simplePos="0" relativeHeight="251662336" behindDoc="0" locked="0" layoutInCell="1" allowOverlap="1" wp14:anchorId="0958B684" wp14:editId="2B5E8C3E">
            <wp:simplePos x="0" y="0"/>
            <wp:positionH relativeFrom="column">
              <wp:posOffset>-598170</wp:posOffset>
            </wp:positionH>
            <wp:positionV relativeFrom="paragraph">
              <wp:posOffset>115570</wp:posOffset>
            </wp:positionV>
            <wp:extent cx="6263640" cy="3822065"/>
            <wp:effectExtent l="0" t="0" r="3810" b="6985"/>
            <wp:wrapNone/>
            <wp:docPr id="7" name="תמונה 7" descr="The figure shows the development over time of Israel’s net external debt.  The figure can be found in the Excel file attached to this notice, in the worksheet entitled “Figure5”." title="Net External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3640" cy="3822065"/>
                    </a:xfrm>
                    <a:prstGeom prst="rect">
                      <a:avLst/>
                    </a:prstGeom>
                    <a:noFill/>
                  </pic:spPr>
                </pic:pic>
              </a:graphicData>
            </a:graphic>
            <wp14:sizeRelH relativeFrom="page">
              <wp14:pctWidth>0</wp14:pctWidth>
            </wp14:sizeRelH>
            <wp14:sizeRelV relativeFrom="page">
              <wp14:pctHeight>0</wp14:pctHeight>
            </wp14:sizeRelV>
          </wp:anchor>
        </w:drawing>
      </w: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9B252B" w:rsidRDefault="009B252B" w:rsidP="000E3AAE">
      <w:pPr>
        <w:pStyle w:val="regpar"/>
        <w:ind w:firstLine="0"/>
        <w:outlineLvl w:val="0"/>
      </w:pPr>
    </w:p>
    <w:p w:rsidR="00DD15DC" w:rsidRDefault="00DD15DC" w:rsidP="00DD15DC">
      <w:pPr>
        <w:pStyle w:val="regpar"/>
        <w:ind w:firstLine="0"/>
        <w:outlineLvl w:val="0"/>
      </w:pPr>
    </w:p>
    <w:p w:rsidR="00DD15DC" w:rsidRDefault="00DD15DC" w:rsidP="00DD15DC">
      <w:pPr>
        <w:pStyle w:val="regpar"/>
        <w:ind w:firstLine="0"/>
        <w:outlineLvl w:val="0"/>
      </w:pPr>
    </w:p>
    <w:p w:rsidR="009C438C" w:rsidRPr="00D02CBC" w:rsidRDefault="00D030B9" w:rsidP="009C438C">
      <w:pPr>
        <w:pStyle w:val="regpar"/>
        <w:spacing w:before="240"/>
        <w:ind w:firstLine="0"/>
        <w:jc w:val="left"/>
        <w:outlineLvl w:val="0"/>
      </w:pPr>
      <w:hyperlink r:id="rId16" w:history="1">
        <w:r w:rsidR="009C438C" w:rsidRPr="00D55F20">
          <w:rPr>
            <w:rStyle w:val="Hyperlink"/>
          </w:rPr>
          <w:t>For the complete data file, click here</w:t>
        </w:r>
      </w:hyperlink>
      <w:r w:rsidR="009C438C">
        <w:t>.</w:t>
      </w:r>
    </w:p>
    <w:p w:rsidR="00DD15DC" w:rsidRPr="009C438C" w:rsidRDefault="00DD15DC" w:rsidP="00DD15DC">
      <w:pPr>
        <w:tabs>
          <w:tab w:val="right" w:pos="720"/>
        </w:tabs>
      </w:pPr>
    </w:p>
    <w:p w:rsidR="00986270" w:rsidRDefault="00986270" w:rsidP="00986270">
      <w:pPr>
        <w:tabs>
          <w:tab w:val="center" w:pos="4156"/>
          <w:tab w:val="right" w:pos="8312"/>
        </w:tabs>
        <w:bidi w:val="0"/>
        <w:jc w:val="center"/>
        <w:rPr>
          <w:rFonts w:cs="David"/>
          <w:sz w:val="22"/>
          <w:szCs w:val="22"/>
        </w:rPr>
      </w:pPr>
    </w:p>
    <w:p w:rsidR="00986270" w:rsidRPr="00281C43" w:rsidRDefault="00986270" w:rsidP="00986270">
      <w:pPr>
        <w:bidi w:val="0"/>
        <w:rPr>
          <w:b/>
          <w:bCs/>
        </w:rPr>
      </w:pPr>
    </w:p>
    <w:p w:rsidR="00986270" w:rsidRDefault="00986270" w:rsidP="00986270">
      <w:pPr>
        <w:bidi w:val="0"/>
        <w:jc w:val="both"/>
      </w:pPr>
    </w:p>
    <w:p w:rsidR="00986270" w:rsidRPr="00CD0A35" w:rsidRDefault="00986270" w:rsidP="00986270">
      <w:pPr>
        <w:tabs>
          <w:tab w:val="center" w:pos="4156"/>
          <w:tab w:val="right" w:pos="8312"/>
        </w:tabs>
        <w:bidi w:val="0"/>
        <w:jc w:val="center"/>
        <w:rPr>
          <w:rFonts w:cs="David"/>
          <w:sz w:val="22"/>
          <w:szCs w:val="22"/>
        </w:rPr>
      </w:pPr>
    </w:p>
    <w:sectPr w:rsidR="00986270" w:rsidRPr="00CD0A35" w:rsidSect="00D114C9">
      <w:footerReference w:type="default" r:id="rId17"/>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1E" w:rsidRDefault="00054A1E" w:rsidP="00E64B36">
      <w:r>
        <w:separator/>
      </w:r>
    </w:p>
  </w:endnote>
  <w:endnote w:type="continuationSeparator" w:id="0">
    <w:p w:rsidR="00054A1E" w:rsidRDefault="00054A1E"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22" w:rsidRPr="00D030B9" w:rsidRDefault="00986270" w:rsidP="00D030B9">
    <w:pPr>
      <w:pStyle w:val="PressReleaseTitle"/>
      <w:jc w:val="left"/>
      <w:rPr>
        <w:b w:val="0"/>
        <w:bCs w:val="0"/>
        <w:sz w:val="18"/>
        <w:szCs w:val="18"/>
        <w:rtl/>
        <w:cs/>
      </w:rPr>
    </w:pPr>
    <w:r w:rsidRPr="00D030B9">
      <w:rPr>
        <w:b w:val="0"/>
        <w:bCs w:val="0"/>
        <w:sz w:val="18"/>
        <w:szCs w:val="18"/>
      </w:rPr>
      <w:t>Bank of Israel</w:t>
    </w:r>
    <w:r w:rsidR="00D030B9" w:rsidRPr="00D030B9">
      <w:rPr>
        <w:b w:val="0"/>
        <w:bCs w:val="0"/>
        <w:sz w:val="18"/>
        <w:szCs w:val="18"/>
      </w:rPr>
      <w:t xml:space="preserve"> - </w:t>
    </w:r>
    <w:r w:rsidR="00D030B9" w:rsidRPr="00D030B9">
      <w:rPr>
        <w:b w:val="0"/>
        <w:bCs w:val="0"/>
        <w:sz w:val="18"/>
        <w:szCs w:val="18"/>
      </w:rPr>
      <w:t>Israel’s International Investment Position (IIP), Second Quarter of 2017</w:t>
    </w:r>
    <w:r w:rsidR="00D030B9" w:rsidRPr="00D030B9">
      <w:rPr>
        <w:b w:val="0"/>
        <w:bCs w:val="0"/>
        <w:sz w:val="18"/>
        <w:szCs w:val="18"/>
      </w:rPr>
      <w:tab/>
    </w:r>
    <w:r w:rsidR="00B96022" w:rsidRPr="00D030B9">
      <w:rPr>
        <w:b w:val="0"/>
        <w:bCs w:val="0"/>
        <w:sz w:val="18"/>
        <w:szCs w:val="18"/>
      </w:rPr>
      <w:t>Page</w:t>
    </w:r>
    <w:r w:rsidR="00B96022" w:rsidRPr="00D030B9">
      <w:rPr>
        <w:b w:val="0"/>
        <w:bCs w:val="0"/>
        <w:sz w:val="18"/>
        <w:szCs w:val="18"/>
        <w:rtl/>
        <w:cs/>
      </w:rPr>
      <w:t xml:space="preserve"> </w:t>
    </w:r>
    <w:r w:rsidR="00B96022" w:rsidRPr="00D030B9">
      <w:rPr>
        <w:b w:val="0"/>
        <w:bCs w:val="0"/>
        <w:sz w:val="18"/>
        <w:szCs w:val="18"/>
      </w:rPr>
      <w:fldChar w:fldCharType="begin"/>
    </w:r>
    <w:r w:rsidR="00B96022" w:rsidRPr="00D030B9">
      <w:rPr>
        <w:b w:val="0"/>
        <w:bCs w:val="0"/>
        <w:sz w:val="18"/>
        <w:szCs w:val="18"/>
        <w:rtl/>
        <w:cs/>
      </w:rPr>
      <w:instrText>PAGE</w:instrText>
    </w:r>
    <w:r w:rsidR="00B96022" w:rsidRPr="00D030B9">
      <w:rPr>
        <w:b w:val="0"/>
        <w:bCs w:val="0"/>
        <w:sz w:val="18"/>
        <w:szCs w:val="18"/>
      </w:rPr>
      <w:fldChar w:fldCharType="separate"/>
    </w:r>
    <w:r w:rsidR="00D030B9">
      <w:rPr>
        <w:b w:val="0"/>
        <w:bCs w:val="0"/>
        <w:noProof/>
        <w:sz w:val="18"/>
        <w:szCs w:val="18"/>
      </w:rPr>
      <w:t>2</w:t>
    </w:r>
    <w:r w:rsidR="00B96022" w:rsidRPr="00D030B9">
      <w:rPr>
        <w:b w:val="0"/>
        <w:bCs w:val="0"/>
        <w:sz w:val="18"/>
        <w:szCs w:val="18"/>
      </w:rPr>
      <w:fldChar w:fldCharType="end"/>
    </w:r>
    <w:r w:rsidR="00B96022" w:rsidRPr="00D030B9">
      <w:rPr>
        <w:b w:val="0"/>
        <w:bCs w:val="0"/>
        <w:sz w:val="18"/>
        <w:szCs w:val="18"/>
      </w:rPr>
      <w:t xml:space="preserve"> Of</w:t>
    </w:r>
    <w:r w:rsidR="00B96022" w:rsidRPr="00D030B9">
      <w:rPr>
        <w:b w:val="0"/>
        <w:bCs w:val="0"/>
        <w:sz w:val="18"/>
        <w:szCs w:val="18"/>
        <w:rtl/>
        <w:cs/>
      </w:rPr>
      <w:t xml:space="preserve"> </w:t>
    </w:r>
    <w:r w:rsidR="00B96022" w:rsidRPr="00D030B9">
      <w:rPr>
        <w:b w:val="0"/>
        <w:bCs w:val="0"/>
        <w:sz w:val="18"/>
        <w:szCs w:val="18"/>
      </w:rPr>
      <w:fldChar w:fldCharType="begin"/>
    </w:r>
    <w:r w:rsidR="00B96022" w:rsidRPr="00D030B9">
      <w:rPr>
        <w:b w:val="0"/>
        <w:bCs w:val="0"/>
        <w:sz w:val="18"/>
        <w:szCs w:val="18"/>
        <w:rtl/>
        <w:cs/>
      </w:rPr>
      <w:instrText>NUMPAGES</w:instrText>
    </w:r>
    <w:r w:rsidR="00B96022" w:rsidRPr="00D030B9">
      <w:rPr>
        <w:b w:val="0"/>
        <w:bCs w:val="0"/>
        <w:sz w:val="18"/>
        <w:szCs w:val="18"/>
      </w:rPr>
      <w:fldChar w:fldCharType="separate"/>
    </w:r>
    <w:r w:rsidR="00D030B9">
      <w:rPr>
        <w:b w:val="0"/>
        <w:bCs w:val="0"/>
        <w:noProof/>
        <w:sz w:val="18"/>
        <w:szCs w:val="18"/>
      </w:rPr>
      <w:t>6</w:t>
    </w:r>
    <w:r w:rsidR="00B96022" w:rsidRPr="00D030B9">
      <w:rPr>
        <w:b w:val="0"/>
        <w:bCs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1E" w:rsidRDefault="00054A1E" w:rsidP="00E64B36">
      <w:r>
        <w:separator/>
      </w:r>
    </w:p>
  </w:footnote>
  <w:footnote w:type="continuationSeparator" w:id="0">
    <w:p w:rsidR="00054A1E" w:rsidRDefault="00054A1E" w:rsidP="00E6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5F6"/>
    <w:multiLevelType w:val="hybridMultilevel"/>
    <w:tmpl w:val="F19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C4167"/>
    <w:multiLevelType w:val="hybridMultilevel"/>
    <w:tmpl w:val="B75A6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AD754C"/>
    <w:multiLevelType w:val="hybridMultilevel"/>
    <w:tmpl w:val="6014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D0"/>
    <w:rsid w:val="00000A06"/>
    <w:rsid w:val="0001385E"/>
    <w:rsid w:val="0001413F"/>
    <w:rsid w:val="00022DA8"/>
    <w:rsid w:val="00033569"/>
    <w:rsid w:val="00051247"/>
    <w:rsid w:val="000526A0"/>
    <w:rsid w:val="00054A1E"/>
    <w:rsid w:val="0005726E"/>
    <w:rsid w:val="00074C35"/>
    <w:rsid w:val="0008354E"/>
    <w:rsid w:val="000A520E"/>
    <w:rsid w:val="000C6D17"/>
    <w:rsid w:val="000C710C"/>
    <w:rsid w:val="000C7858"/>
    <w:rsid w:val="000E3AAE"/>
    <w:rsid w:val="000F48F6"/>
    <w:rsid w:val="000F4BF2"/>
    <w:rsid w:val="001001A2"/>
    <w:rsid w:val="00101B55"/>
    <w:rsid w:val="00130245"/>
    <w:rsid w:val="00130E82"/>
    <w:rsid w:val="00137AAC"/>
    <w:rsid w:val="001428C4"/>
    <w:rsid w:val="00143F3A"/>
    <w:rsid w:val="00160B25"/>
    <w:rsid w:val="001815E1"/>
    <w:rsid w:val="00182CF0"/>
    <w:rsid w:val="001B4E73"/>
    <w:rsid w:val="001C1BC1"/>
    <w:rsid w:val="001C388F"/>
    <w:rsid w:val="001C71E8"/>
    <w:rsid w:val="001D381C"/>
    <w:rsid w:val="001D407E"/>
    <w:rsid w:val="001F57DE"/>
    <w:rsid w:val="00200E59"/>
    <w:rsid w:val="00202E77"/>
    <w:rsid w:val="002117DC"/>
    <w:rsid w:val="0021327F"/>
    <w:rsid w:val="00237CE5"/>
    <w:rsid w:val="00247387"/>
    <w:rsid w:val="00252C62"/>
    <w:rsid w:val="0026680D"/>
    <w:rsid w:val="00266CE7"/>
    <w:rsid w:val="00281C70"/>
    <w:rsid w:val="00283FB7"/>
    <w:rsid w:val="00297100"/>
    <w:rsid w:val="00297C28"/>
    <w:rsid w:val="002A0D2A"/>
    <w:rsid w:val="002B48CC"/>
    <w:rsid w:val="002B7F5E"/>
    <w:rsid w:val="002F2DC3"/>
    <w:rsid w:val="002F7EEF"/>
    <w:rsid w:val="0030279B"/>
    <w:rsid w:val="003129D6"/>
    <w:rsid w:val="003136EE"/>
    <w:rsid w:val="003300B7"/>
    <w:rsid w:val="00344E60"/>
    <w:rsid w:val="00360B5C"/>
    <w:rsid w:val="00364C08"/>
    <w:rsid w:val="0037177F"/>
    <w:rsid w:val="003727EE"/>
    <w:rsid w:val="003770FA"/>
    <w:rsid w:val="003772AF"/>
    <w:rsid w:val="00385CB3"/>
    <w:rsid w:val="00387840"/>
    <w:rsid w:val="0039059D"/>
    <w:rsid w:val="00390CA5"/>
    <w:rsid w:val="003A335C"/>
    <w:rsid w:val="003A3813"/>
    <w:rsid w:val="003B715F"/>
    <w:rsid w:val="003B7DC3"/>
    <w:rsid w:val="003C7815"/>
    <w:rsid w:val="003D6F31"/>
    <w:rsid w:val="003D7860"/>
    <w:rsid w:val="003E3F4C"/>
    <w:rsid w:val="00403D99"/>
    <w:rsid w:val="00405EEE"/>
    <w:rsid w:val="00411BA4"/>
    <w:rsid w:val="00412846"/>
    <w:rsid w:val="004147FC"/>
    <w:rsid w:val="004213D4"/>
    <w:rsid w:val="00430365"/>
    <w:rsid w:val="00445B15"/>
    <w:rsid w:val="00447E5A"/>
    <w:rsid w:val="0046455D"/>
    <w:rsid w:val="00474107"/>
    <w:rsid w:val="0048218A"/>
    <w:rsid w:val="00482E08"/>
    <w:rsid w:val="0048485C"/>
    <w:rsid w:val="00492391"/>
    <w:rsid w:val="00496B00"/>
    <w:rsid w:val="004A1F15"/>
    <w:rsid w:val="004A20A5"/>
    <w:rsid w:val="004D32A7"/>
    <w:rsid w:val="004D5D6F"/>
    <w:rsid w:val="004E0F06"/>
    <w:rsid w:val="004E25DD"/>
    <w:rsid w:val="004E4AEC"/>
    <w:rsid w:val="0050183E"/>
    <w:rsid w:val="005132B2"/>
    <w:rsid w:val="005221FC"/>
    <w:rsid w:val="005406F8"/>
    <w:rsid w:val="00540B03"/>
    <w:rsid w:val="005462D0"/>
    <w:rsid w:val="00552677"/>
    <w:rsid w:val="00555C8A"/>
    <w:rsid w:val="005576E1"/>
    <w:rsid w:val="005713A8"/>
    <w:rsid w:val="00581F51"/>
    <w:rsid w:val="00583DAD"/>
    <w:rsid w:val="0059211B"/>
    <w:rsid w:val="0059277F"/>
    <w:rsid w:val="00596FB4"/>
    <w:rsid w:val="00597EED"/>
    <w:rsid w:val="005A1169"/>
    <w:rsid w:val="005A5955"/>
    <w:rsid w:val="005C2573"/>
    <w:rsid w:val="005D0AF8"/>
    <w:rsid w:val="005F3E47"/>
    <w:rsid w:val="0060215A"/>
    <w:rsid w:val="00616381"/>
    <w:rsid w:val="0061692C"/>
    <w:rsid w:val="006216F9"/>
    <w:rsid w:val="00621BB5"/>
    <w:rsid w:val="0062658F"/>
    <w:rsid w:val="006300F4"/>
    <w:rsid w:val="00640EEA"/>
    <w:rsid w:val="00642F05"/>
    <w:rsid w:val="00652D53"/>
    <w:rsid w:val="006543FC"/>
    <w:rsid w:val="00662FB1"/>
    <w:rsid w:val="006677F8"/>
    <w:rsid w:val="0067516F"/>
    <w:rsid w:val="006A66C5"/>
    <w:rsid w:val="006B4683"/>
    <w:rsid w:val="006B679C"/>
    <w:rsid w:val="006C0C06"/>
    <w:rsid w:val="006C1428"/>
    <w:rsid w:val="006D3582"/>
    <w:rsid w:val="006E1B6A"/>
    <w:rsid w:val="0070010B"/>
    <w:rsid w:val="00701734"/>
    <w:rsid w:val="00721560"/>
    <w:rsid w:val="00726036"/>
    <w:rsid w:val="007270FC"/>
    <w:rsid w:val="0074341E"/>
    <w:rsid w:val="00751F08"/>
    <w:rsid w:val="00763F37"/>
    <w:rsid w:val="007666A8"/>
    <w:rsid w:val="00793399"/>
    <w:rsid w:val="007975F1"/>
    <w:rsid w:val="007B2769"/>
    <w:rsid w:val="007C6400"/>
    <w:rsid w:val="007D57EE"/>
    <w:rsid w:val="007E1CB3"/>
    <w:rsid w:val="007F7993"/>
    <w:rsid w:val="0081026B"/>
    <w:rsid w:val="0081387D"/>
    <w:rsid w:val="00833AF3"/>
    <w:rsid w:val="008403F1"/>
    <w:rsid w:val="00842057"/>
    <w:rsid w:val="00842BAF"/>
    <w:rsid w:val="0086005B"/>
    <w:rsid w:val="00864C55"/>
    <w:rsid w:val="00883627"/>
    <w:rsid w:val="00884167"/>
    <w:rsid w:val="008A7212"/>
    <w:rsid w:val="008A72AF"/>
    <w:rsid w:val="008B257A"/>
    <w:rsid w:val="008B7EF9"/>
    <w:rsid w:val="008C366C"/>
    <w:rsid w:val="008D390B"/>
    <w:rsid w:val="008D6FB6"/>
    <w:rsid w:val="008E4D8E"/>
    <w:rsid w:val="008F1FCF"/>
    <w:rsid w:val="00904EF2"/>
    <w:rsid w:val="00905463"/>
    <w:rsid w:val="0091307F"/>
    <w:rsid w:val="00926D84"/>
    <w:rsid w:val="0093019F"/>
    <w:rsid w:val="00933EF4"/>
    <w:rsid w:val="0093574D"/>
    <w:rsid w:val="0094738B"/>
    <w:rsid w:val="00961BD6"/>
    <w:rsid w:val="0097278E"/>
    <w:rsid w:val="009744A0"/>
    <w:rsid w:val="00976781"/>
    <w:rsid w:val="0098354C"/>
    <w:rsid w:val="00986270"/>
    <w:rsid w:val="009B252B"/>
    <w:rsid w:val="009B66C8"/>
    <w:rsid w:val="009C21B3"/>
    <w:rsid w:val="009C2C42"/>
    <w:rsid w:val="009C438C"/>
    <w:rsid w:val="009E3D4E"/>
    <w:rsid w:val="009E6A28"/>
    <w:rsid w:val="00A117D2"/>
    <w:rsid w:val="00A239A7"/>
    <w:rsid w:val="00A37869"/>
    <w:rsid w:val="00A44A88"/>
    <w:rsid w:val="00A7199E"/>
    <w:rsid w:val="00A72122"/>
    <w:rsid w:val="00A74752"/>
    <w:rsid w:val="00A749E1"/>
    <w:rsid w:val="00A81B6C"/>
    <w:rsid w:val="00A85A35"/>
    <w:rsid w:val="00A94775"/>
    <w:rsid w:val="00A96DDE"/>
    <w:rsid w:val="00AB75B4"/>
    <w:rsid w:val="00AD7CC8"/>
    <w:rsid w:val="00AE6E25"/>
    <w:rsid w:val="00AF6B3A"/>
    <w:rsid w:val="00B108AE"/>
    <w:rsid w:val="00B13C9D"/>
    <w:rsid w:val="00B2426C"/>
    <w:rsid w:val="00B264C2"/>
    <w:rsid w:val="00B40E49"/>
    <w:rsid w:val="00B54A7F"/>
    <w:rsid w:val="00B77DB0"/>
    <w:rsid w:val="00B84789"/>
    <w:rsid w:val="00B85769"/>
    <w:rsid w:val="00B87F00"/>
    <w:rsid w:val="00B96022"/>
    <w:rsid w:val="00BC71FF"/>
    <w:rsid w:val="00BD0FFD"/>
    <w:rsid w:val="00BE27B4"/>
    <w:rsid w:val="00BE4CAF"/>
    <w:rsid w:val="00BE52BF"/>
    <w:rsid w:val="00C00BB8"/>
    <w:rsid w:val="00C02233"/>
    <w:rsid w:val="00C03E78"/>
    <w:rsid w:val="00C05BED"/>
    <w:rsid w:val="00C106C2"/>
    <w:rsid w:val="00C15121"/>
    <w:rsid w:val="00C171FF"/>
    <w:rsid w:val="00C21009"/>
    <w:rsid w:val="00C21363"/>
    <w:rsid w:val="00C37129"/>
    <w:rsid w:val="00C47A56"/>
    <w:rsid w:val="00C52FC2"/>
    <w:rsid w:val="00C67CE0"/>
    <w:rsid w:val="00C74F11"/>
    <w:rsid w:val="00C76E10"/>
    <w:rsid w:val="00CB5D78"/>
    <w:rsid w:val="00CC58F8"/>
    <w:rsid w:val="00CD0A35"/>
    <w:rsid w:val="00CD5F91"/>
    <w:rsid w:val="00CE0B40"/>
    <w:rsid w:val="00D030B9"/>
    <w:rsid w:val="00D114C9"/>
    <w:rsid w:val="00D21685"/>
    <w:rsid w:val="00D326DC"/>
    <w:rsid w:val="00D354E8"/>
    <w:rsid w:val="00D44122"/>
    <w:rsid w:val="00D554DA"/>
    <w:rsid w:val="00D60BFC"/>
    <w:rsid w:val="00D60FF3"/>
    <w:rsid w:val="00D655F5"/>
    <w:rsid w:val="00D67C46"/>
    <w:rsid w:val="00D70591"/>
    <w:rsid w:val="00D907A2"/>
    <w:rsid w:val="00DA6116"/>
    <w:rsid w:val="00DC598D"/>
    <w:rsid w:val="00DD15DC"/>
    <w:rsid w:val="00DE01A0"/>
    <w:rsid w:val="00DE0699"/>
    <w:rsid w:val="00DF4CC2"/>
    <w:rsid w:val="00DF6966"/>
    <w:rsid w:val="00E04222"/>
    <w:rsid w:val="00E07820"/>
    <w:rsid w:val="00E1281F"/>
    <w:rsid w:val="00E2493A"/>
    <w:rsid w:val="00E369B9"/>
    <w:rsid w:val="00E4556A"/>
    <w:rsid w:val="00E61CD8"/>
    <w:rsid w:val="00E64B36"/>
    <w:rsid w:val="00E660F1"/>
    <w:rsid w:val="00E7204F"/>
    <w:rsid w:val="00E8008F"/>
    <w:rsid w:val="00E85DB1"/>
    <w:rsid w:val="00EB0782"/>
    <w:rsid w:val="00EB0DEC"/>
    <w:rsid w:val="00EB44F5"/>
    <w:rsid w:val="00EB669A"/>
    <w:rsid w:val="00EC13FB"/>
    <w:rsid w:val="00EC15FA"/>
    <w:rsid w:val="00EC48D4"/>
    <w:rsid w:val="00ED5226"/>
    <w:rsid w:val="00EE2AA0"/>
    <w:rsid w:val="00EE3596"/>
    <w:rsid w:val="00EF1554"/>
    <w:rsid w:val="00EF1AC2"/>
    <w:rsid w:val="00EF4238"/>
    <w:rsid w:val="00F15E93"/>
    <w:rsid w:val="00F273FA"/>
    <w:rsid w:val="00F45972"/>
    <w:rsid w:val="00F53236"/>
    <w:rsid w:val="00F56917"/>
    <w:rsid w:val="00F576F6"/>
    <w:rsid w:val="00F7582B"/>
    <w:rsid w:val="00F806F6"/>
    <w:rsid w:val="00FA13BA"/>
    <w:rsid w:val="00FA4548"/>
    <w:rsid w:val="00FA56EC"/>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833AF3"/>
    <w:rPr>
      <w:sz w:val="16"/>
      <w:szCs w:val="16"/>
    </w:rPr>
  </w:style>
  <w:style w:type="paragraph" w:styleId="af">
    <w:name w:val="annotation text"/>
    <w:basedOn w:val="a"/>
    <w:link w:val="af0"/>
    <w:rsid w:val="00833AF3"/>
    <w:rPr>
      <w:sz w:val="20"/>
      <w:szCs w:val="20"/>
    </w:rPr>
  </w:style>
  <w:style w:type="character" w:customStyle="1" w:styleId="af0">
    <w:name w:val="טקסט הערה תו"/>
    <w:basedOn w:val="a0"/>
    <w:link w:val="af"/>
    <w:rsid w:val="00833AF3"/>
  </w:style>
  <w:style w:type="paragraph" w:styleId="af1">
    <w:name w:val="annotation subject"/>
    <w:basedOn w:val="af"/>
    <w:next w:val="af"/>
    <w:link w:val="af2"/>
    <w:rsid w:val="00833AF3"/>
    <w:rPr>
      <w:b/>
      <w:bCs/>
    </w:rPr>
  </w:style>
  <w:style w:type="character" w:customStyle="1" w:styleId="af2">
    <w:name w:val="נושא הערה תו"/>
    <w:basedOn w:val="af0"/>
    <w:link w:val="af1"/>
    <w:rsid w:val="00833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1670">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nkisrael.gov.il/deptdata/pik_mth/pikmth_e.ht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D90DA-5BA5-4A0D-9E96-CD36B7EBF110}"/>
</file>

<file path=customXml/itemProps2.xml><?xml version="1.0" encoding="utf-8"?>
<ds:datastoreItem xmlns:ds="http://schemas.openxmlformats.org/officeDocument/2006/customXml" ds:itemID="{D3ECD3F6-EF34-4CA4-9058-45E987BDA830}"/>
</file>

<file path=customXml/itemProps3.xml><?xml version="1.0" encoding="utf-8"?>
<ds:datastoreItem xmlns:ds="http://schemas.openxmlformats.org/officeDocument/2006/customXml" ds:itemID="{363BC4B0-9FCA-475F-A15F-9A6CD016A94A}"/>
</file>

<file path=customXml/itemProps4.xml><?xml version="1.0" encoding="utf-8"?>
<ds:datastoreItem xmlns:ds="http://schemas.openxmlformats.org/officeDocument/2006/customXml" ds:itemID="{E87CCB87-D952-42E9-AFD0-62ADC14686A2}"/>
</file>

<file path=docProps/app.xml><?xml version="1.0" encoding="utf-8"?>
<Properties xmlns="http://schemas.openxmlformats.org/officeDocument/2006/extended-properties" xmlns:vt="http://schemas.openxmlformats.org/officeDocument/2006/docPropsVTypes">
  <Template>Normal.dotm</Template>
  <TotalTime>0</TotalTime>
  <Pages>6</Pages>
  <Words>1085</Words>
  <Characters>5688</Characters>
  <Application>Microsoft Office Word</Application>
  <DocSecurity>4</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6760</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2017-09-17T08:45:00Z</dcterms:created>
  <dcterms:modified xsi:type="dcterms:W3CDTF">2017-09-17T08:45:00Z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