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86" w:rsidRPr="00783D72" w:rsidRDefault="00255E86" w:rsidP="00F9080C">
      <w:pPr>
        <w:pStyle w:val="Ruller4"/>
        <w:spacing w:after="240"/>
        <w:jc w:val="center"/>
        <w:rPr>
          <w:rFonts w:ascii="Times New Roman" w:hAnsi="Times New Roman" w:cs="David"/>
          <w:b/>
          <w:bCs/>
          <w:szCs w:val="24"/>
          <w:rtl/>
        </w:rPr>
      </w:pPr>
      <w:r w:rsidRPr="00783D72">
        <w:rPr>
          <w:rFonts w:ascii="Times New Roman" w:hAnsi="Times New Roman" w:cs="David" w:hint="cs"/>
          <w:b/>
          <w:bCs/>
          <w:szCs w:val="24"/>
          <w:rtl/>
        </w:rPr>
        <w:t xml:space="preserve">הודעה לציבור מטעם הוועדה למינוי דירקטורים בתאגידים בנקאיים לצורך הגשת מועמדות לכהונת דירקטור </w:t>
      </w:r>
      <w:r w:rsidR="00F9080C" w:rsidRPr="00901DFC">
        <w:rPr>
          <w:rFonts w:cs="David" w:hint="cs"/>
          <w:b/>
          <w:bCs/>
          <w:sz w:val="24"/>
          <w:szCs w:val="24"/>
          <w:rtl/>
        </w:rPr>
        <w:t xml:space="preserve">בשירותי בנק אוטומטיים בע"מ </w:t>
      </w:r>
      <w:r>
        <w:rPr>
          <w:rFonts w:ascii="Times New Roman" w:hAnsi="Times New Roman" w:cs="David" w:hint="cs"/>
          <w:b/>
          <w:bCs/>
          <w:szCs w:val="24"/>
          <w:rtl/>
        </w:rPr>
        <w:t>לשנת 201</w:t>
      </w:r>
      <w:r w:rsidR="00F9080C">
        <w:rPr>
          <w:rFonts w:ascii="Times New Roman" w:hAnsi="Times New Roman" w:cs="David" w:hint="cs"/>
          <w:b/>
          <w:bCs/>
          <w:szCs w:val="24"/>
          <w:rtl/>
        </w:rPr>
        <w:t>9</w:t>
      </w:r>
    </w:p>
    <w:p w:rsidR="00255E86" w:rsidRDefault="00255E86" w:rsidP="00B35C4F">
      <w:pPr>
        <w:pStyle w:val="Ruller4"/>
        <w:tabs>
          <w:tab w:val="clear" w:pos="800"/>
          <w:tab w:val="left" w:pos="-58"/>
        </w:tabs>
        <w:spacing w:after="240" w:line="276" w:lineRule="auto"/>
        <w:rPr>
          <w:rFonts w:ascii="Times New Roman" w:hAnsi="Times New Roman" w:cs="David"/>
          <w:szCs w:val="24"/>
          <w:rtl/>
        </w:rPr>
      </w:pPr>
      <w:r w:rsidRPr="003F3699">
        <w:rPr>
          <w:rFonts w:ascii="Times New Roman" w:hAnsi="Times New Roman" w:cs="David" w:hint="cs"/>
          <w:b/>
          <w:bCs/>
          <w:szCs w:val="24"/>
          <w:rtl/>
        </w:rPr>
        <w:t>הוועדה הציבורית למינוי דירקטורים בתאגידים בנקאיים</w:t>
      </w:r>
      <w:r w:rsidR="003F3699">
        <w:rPr>
          <w:rFonts w:ascii="Times New Roman" w:hAnsi="Times New Roman" w:cs="David" w:hint="cs"/>
          <w:b/>
          <w:bCs/>
          <w:szCs w:val="24"/>
          <w:rtl/>
        </w:rPr>
        <w:t xml:space="preserve"> </w:t>
      </w:r>
      <w:r w:rsidR="003F3699" w:rsidRPr="003F3699">
        <w:rPr>
          <w:rFonts w:ascii="Times New Roman" w:hAnsi="Times New Roman" w:cs="David" w:hint="cs"/>
          <w:szCs w:val="24"/>
          <w:rtl/>
        </w:rPr>
        <w:t>(להלן-</w:t>
      </w:r>
      <w:r w:rsidR="003F3699">
        <w:rPr>
          <w:rFonts w:ascii="Times New Roman" w:hAnsi="Times New Roman" w:cs="David" w:hint="cs"/>
          <w:b/>
          <w:bCs/>
          <w:szCs w:val="24"/>
          <w:rtl/>
        </w:rPr>
        <w:t xml:space="preserve"> </w:t>
      </w:r>
      <w:r w:rsidR="003F3699" w:rsidRPr="003F3699">
        <w:rPr>
          <w:rFonts w:ascii="Times New Roman" w:hAnsi="Times New Roman" w:cs="David" w:hint="cs"/>
          <w:szCs w:val="24"/>
          <w:rtl/>
        </w:rPr>
        <w:t>"</w:t>
      </w:r>
      <w:r w:rsidR="003F3699">
        <w:rPr>
          <w:rFonts w:ascii="Times New Roman" w:hAnsi="Times New Roman" w:cs="David" w:hint="cs"/>
          <w:b/>
          <w:bCs/>
          <w:szCs w:val="24"/>
          <w:rtl/>
        </w:rPr>
        <w:t>הוועדה</w:t>
      </w:r>
      <w:r w:rsidR="003F3699" w:rsidRPr="003F3699">
        <w:rPr>
          <w:rFonts w:ascii="Times New Roman" w:hAnsi="Times New Roman" w:cs="David" w:hint="cs"/>
          <w:szCs w:val="24"/>
          <w:rtl/>
        </w:rPr>
        <w:t>")</w:t>
      </w:r>
      <w:r w:rsidRPr="00783D72">
        <w:rPr>
          <w:rFonts w:ascii="Times New Roman" w:hAnsi="Times New Roman" w:cs="David" w:hint="cs"/>
          <w:szCs w:val="24"/>
          <w:rtl/>
        </w:rPr>
        <w:t xml:space="preserve">, </w:t>
      </w:r>
      <w:r w:rsidR="00F9080C" w:rsidRPr="00901DFC">
        <w:rPr>
          <w:rFonts w:cs="David" w:hint="cs"/>
          <w:sz w:val="24"/>
          <w:szCs w:val="24"/>
          <w:rtl/>
        </w:rPr>
        <w:t>הפועלת מכ</w:t>
      </w:r>
      <w:r w:rsidR="00421FBD">
        <w:rPr>
          <w:rFonts w:cs="David" w:hint="cs"/>
          <w:sz w:val="24"/>
          <w:szCs w:val="24"/>
          <w:rtl/>
        </w:rPr>
        <w:t>ו</w:t>
      </w:r>
      <w:r w:rsidR="00F9080C" w:rsidRPr="00901DFC">
        <w:rPr>
          <w:rFonts w:cs="David" w:hint="cs"/>
          <w:sz w:val="24"/>
          <w:szCs w:val="24"/>
          <w:rtl/>
        </w:rPr>
        <w:t xml:space="preserve">ח החוק להגברת התחרות ולצמצום הריכוזיות בשוק הבנקאות בישראל (תיקוני חקיקה), התשע"ז-2017 (להלן </w:t>
      </w:r>
      <w:r w:rsidR="00F9080C" w:rsidRPr="00901DFC">
        <w:rPr>
          <w:rFonts w:cs="David"/>
          <w:sz w:val="24"/>
          <w:szCs w:val="24"/>
          <w:rtl/>
        </w:rPr>
        <w:t>–</w:t>
      </w:r>
      <w:r w:rsidR="00F9080C" w:rsidRPr="00901DFC">
        <w:rPr>
          <w:rFonts w:cs="David" w:hint="cs"/>
          <w:sz w:val="24"/>
          <w:szCs w:val="24"/>
          <w:rtl/>
        </w:rPr>
        <w:t xml:space="preserve"> </w:t>
      </w:r>
      <w:r w:rsidR="00F9080C" w:rsidRPr="00901DFC">
        <w:rPr>
          <w:rFonts w:cs="David" w:hint="cs"/>
          <w:b/>
          <w:bCs/>
          <w:sz w:val="24"/>
          <w:szCs w:val="24"/>
          <w:rtl/>
        </w:rPr>
        <w:t>החוק</w:t>
      </w:r>
      <w:r w:rsidR="00F9080C" w:rsidRPr="00901DFC">
        <w:rPr>
          <w:rFonts w:cs="David" w:hint="cs"/>
          <w:sz w:val="24"/>
          <w:szCs w:val="24"/>
          <w:rtl/>
        </w:rPr>
        <w:t>), פונה לציבור ומודיעה בזה על האפשרות להגיש בקשות מועמדות למינוי לכהונת דירקטור ב</w:t>
      </w:r>
      <w:r w:rsidR="00F9080C" w:rsidRPr="00421FBD">
        <w:rPr>
          <w:rFonts w:cs="David" w:hint="cs"/>
          <w:b/>
          <w:bCs/>
          <w:sz w:val="24"/>
          <w:szCs w:val="24"/>
          <w:rtl/>
        </w:rPr>
        <w:t>שירותי בנק אוטומטיים בע"מ</w:t>
      </w:r>
      <w:r w:rsidR="00F9080C" w:rsidRPr="00901DFC">
        <w:rPr>
          <w:rFonts w:cs="David" w:hint="cs"/>
          <w:sz w:val="24"/>
          <w:szCs w:val="24"/>
          <w:rtl/>
        </w:rPr>
        <w:t xml:space="preserve"> (</w:t>
      </w:r>
      <w:r w:rsidR="00F9080C" w:rsidRPr="00F9080C">
        <w:rPr>
          <w:rFonts w:cs="David" w:hint="cs"/>
          <w:sz w:val="24"/>
          <w:szCs w:val="24"/>
          <w:rtl/>
        </w:rPr>
        <w:t>להלן-</w:t>
      </w:r>
      <w:r w:rsidR="00F9080C">
        <w:rPr>
          <w:rFonts w:cs="David" w:hint="cs"/>
          <w:b/>
          <w:bCs/>
          <w:sz w:val="24"/>
          <w:szCs w:val="24"/>
          <w:rtl/>
        </w:rPr>
        <w:t xml:space="preserve"> </w:t>
      </w:r>
      <w:r w:rsidR="00F9080C" w:rsidRPr="00901DFC">
        <w:rPr>
          <w:rFonts w:cs="David" w:hint="cs"/>
          <w:b/>
          <w:bCs/>
          <w:sz w:val="24"/>
          <w:szCs w:val="24"/>
          <w:rtl/>
        </w:rPr>
        <w:t>שב"א</w:t>
      </w:r>
      <w:r w:rsidR="00F9080C" w:rsidRPr="00901DFC">
        <w:rPr>
          <w:rFonts w:cs="David" w:hint="cs"/>
          <w:sz w:val="24"/>
          <w:szCs w:val="24"/>
          <w:rtl/>
        </w:rPr>
        <w:t>)</w:t>
      </w:r>
      <w:r w:rsidR="00034C1A">
        <w:rPr>
          <w:rFonts w:ascii="Times New Roman" w:hAnsi="Times New Roman" w:cs="David" w:hint="cs"/>
          <w:szCs w:val="24"/>
          <w:rtl/>
        </w:rPr>
        <w:t>.</w:t>
      </w:r>
      <w:r>
        <w:rPr>
          <w:rFonts w:ascii="Times New Roman" w:hAnsi="Times New Roman" w:cs="David" w:hint="cs"/>
          <w:szCs w:val="24"/>
          <w:rtl/>
        </w:rPr>
        <w:t xml:space="preserve"> </w:t>
      </w:r>
    </w:p>
    <w:p w:rsidR="00255E86" w:rsidRDefault="00255E86" w:rsidP="00BD1AA6">
      <w:pPr>
        <w:pStyle w:val="Ruller4"/>
        <w:tabs>
          <w:tab w:val="clear" w:pos="800"/>
          <w:tab w:val="left" w:pos="-58"/>
        </w:tabs>
        <w:spacing w:after="240" w:line="276" w:lineRule="auto"/>
        <w:rPr>
          <w:rFonts w:ascii="Times New Roman" w:hAnsi="Times New Roman" w:cs="David"/>
          <w:szCs w:val="24"/>
          <w:rtl/>
        </w:rPr>
      </w:pPr>
      <w:r>
        <w:rPr>
          <w:rFonts w:ascii="Times New Roman" w:hAnsi="Times New Roman" w:cs="David" w:hint="cs"/>
          <w:szCs w:val="24"/>
          <w:rtl/>
        </w:rPr>
        <w:t xml:space="preserve">בשים לב לצרכי </w:t>
      </w:r>
      <w:r w:rsidR="00BD1AA6">
        <w:rPr>
          <w:rFonts w:ascii="Times New Roman" w:hAnsi="Times New Roman" w:cs="David" w:hint="cs"/>
          <w:szCs w:val="24"/>
          <w:rtl/>
        </w:rPr>
        <w:t>שב"א</w:t>
      </w:r>
      <w:r>
        <w:rPr>
          <w:rFonts w:ascii="Times New Roman" w:hAnsi="Times New Roman" w:cs="David" w:hint="cs"/>
          <w:szCs w:val="24"/>
          <w:rtl/>
        </w:rPr>
        <w:t xml:space="preserve">, ניתן יהיה לבחור באסיפה הכללית של </w:t>
      </w:r>
      <w:r w:rsidR="00BD1AA6">
        <w:rPr>
          <w:rFonts w:ascii="Times New Roman" w:hAnsi="Times New Roman" w:cs="David" w:hint="cs"/>
          <w:szCs w:val="24"/>
          <w:rtl/>
        </w:rPr>
        <w:t>שב"א</w:t>
      </w:r>
      <w:r>
        <w:rPr>
          <w:rFonts w:ascii="Times New Roman" w:hAnsi="Times New Roman" w:cs="David" w:hint="cs"/>
          <w:szCs w:val="24"/>
          <w:rtl/>
        </w:rPr>
        <w:t xml:space="preserve"> </w:t>
      </w:r>
      <w:r w:rsidRPr="00783D72">
        <w:rPr>
          <w:rFonts w:ascii="Times New Roman" w:hAnsi="Times New Roman" w:cs="David" w:hint="cs"/>
          <w:szCs w:val="24"/>
          <w:rtl/>
        </w:rPr>
        <w:t xml:space="preserve">עד </w:t>
      </w:r>
      <w:r w:rsidR="00F9080C">
        <w:rPr>
          <w:rFonts w:ascii="Times New Roman" w:hAnsi="Times New Roman" w:cs="David" w:hint="cs"/>
          <w:szCs w:val="24"/>
          <w:rtl/>
        </w:rPr>
        <w:t>שני</w:t>
      </w:r>
      <w:r>
        <w:rPr>
          <w:rFonts w:ascii="Times New Roman" w:hAnsi="Times New Roman" w:cs="David" w:hint="cs"/>
          <w:szCs w:val="24"/>
          <w:rtl/>
        </w:rPr>
        <w:t xml:space="preserve"> </w:t>
      </w:r>
      <w:r w:rsidRPr="00783D72">
        <w:rPr>
          <w:rFonts w:ascii="Times New Roman" w:hAnsi="Times New Roman" w:cs="David" w:hint="cs"/>
          <w:szCs w:val="24"/>
          <w:rtl/>
        </w:rPr>
        <w:t>דירקטורי</w:t>
      </w:r>
      <w:r w:rsidR="00E92B49">
        <w:rPr>
          <w:rFonts w:ascii="Times New Roman" w:hAnsi="Times New Roman" w:cs="David" w:hint="cs"/>
          <w:szCs w:val="24"/>
          <w:rtl/>
        </w:rPr>
        <w:t>ם</w:t>
      </w:r>
      <w:r w:rsidR="00F9080C">
        <w:rPr>
          <w:rFonts w:ascii="Times New Roman" w:hAnsi="Times New Roman" w:cs="David" w:hint="cs"/>
          <w:szCs w:val="24"/>
          <w:rtl/>
        </w:rPr>
        <w:t xml:space="preserve"> במעמד</w:t>
      </w:r>
      <w:r>
        <w:rPr>
          <w:rFonts w:ascii="Times New Roman" w:hAnsi="Times New Roman" w:cs="David" w:hint="cs"/>
          <w:szCs w:val="24"/>
          <w:rtl/>
        </w:rPr>
        <w:t xml:space="preserve"> דירקטור חיצוני על פי </w:t>
      </w:r>
      <w:r w:rsidRPr="005D2BB6">
        <w:rPr>
          <w:rFonts w:ascii="Times New Roman" w:hAnsi="Times New Roman" w:cs="David" w:hint="cs"/>
          <w:b/>
          <w:bCs/>
          <w:szCs w:val="24"/>
          <w:rtl/>
        </w:rPr>
        <w:t xml:space="preserve">חוק החברות, </w:t>
      </w:r>
      <w:r>
        <w:rPr>
          <w:rFonts w:ascii="Times New Roman" w:hAnsi="Times New Roman" w:cs="David" w:hint="cs"/>
          <w:b/>
          <w:bCs/>
          <w:szCs w:val="24"/>
          <w:rtl/>
        </w:rPr>
        <w:t>ה</w:t>
      </w:r>
      <w:r w:rsidRPr="005D2BB6">
        <w:rPr>
          <w:rFonts w:ascii="Times New Roman" w:hAnsi="Times New Roman" w:cs="David" w:hint="cs"/>
          <w:b/>
          <w:bCs/>
          <w:szCs w:val="24"/>
          <w:rtl/>
        </w:rPr>
        <w:t>תשנ"ט-1999</w:t>
      </w:r>
      <w:r w:rsidR="00972FE1">
        <w:rPr>
          <w:rFonts w:ascii="Times New Roman" w:hAnsi="Times New Roman" w:cs="David" w:hint="cs"/>
          <w:b/>
          <w:bCs/>
          <w:szCs w:val="24"/>
          <w:rtl/>
        </w:rPr>
        <w:t>,</w:t>
      </w:r>
      <w:r>
        <w:rPr>
          <w:rFonts w:ascii="Times New Roman" w:hAnsi="Times New Roman" w:cs="David" w:hint="cs"/>
          <w:b/>
          <w:bCs/>
          <w:szCs w:val="24"/>
          <w:rtl/>
        </w:rPr>
        <w:t xml:space="preserve"> </w:t>
      </w:r>
      <w:r w:rsidR="006941AD">
        <w:rPr>
          <w:rFonts w:ascii="Times New Roman" w:hAnsi="Times New Roman" w:cs="David" w:hint="cs"/>
          <w:szCs w:val="24"/>
          <w:rtl/>
        </w:rPr>
        <w:t>העומד</w:t>
      </w:r>
      <w:r w:rsidR="00B35C4F">
        <w:rPr>
          <w:rFonts w:ascii="Times New Roman" w:hAnsi="Times New Roman" w:cs="David" w:hint="cs"/>
          <w:szCs w:val="24"/>
          <w:rtl/>
        </w:rPr>
        <w:t>ים</w:t>
      </w:r>
      <w:r w:rsidR="006941AD">
        <w:rPr>
          <w:rFonts w:ascii="Times New Roman" w:hAnsi="Times New Roman" w:cs="David" w:hint="cs"/>
          <w:szCs w:val="24"/>
          <w:rtl/>
        </w:rPr>
        <w:t xml:space="preserve"> גם בדרישות הכשירות לכהונה כדירקטור חיצוני על פי </w:t>
      </w:r>
      <w:r w:rsidR="006941AD" w:rsidRPr="005D2BB6">
        <w:rPr>
          <w:rFonts w:ascii="Times New Roman" w:hAnsi="Times New Roman" w:cs="David" w:hint="cs"/>
          <w:b/>
          <w:bCs/>
          <w:szCs w:val="24"/>
          <w:rtl/>
        </w:rPr>
        <w:t>הוראות ניהול בנקאי תקין בעניין "דירקטוריון" מספר 301</w:t>
      </w:r>
      <w:r w:rsidR="006941AD">
        <w:rPr>
          <w:rFonts w:ascii="Times New Roman" w:hAnsi="Times New Roman" w:cs="David" w:hint="cs"/>
          <w:szCs w:val="24"/>
          <w:rtl/>
        </w:rPr>
        <w:t xml:space="preserve"> </w:t>
      </w:r>
      <w:r w:rsidR="00F9080C">
        <w:rPr>
          <w:rFonts w:ascii="Times New Roman" w:hAnsi="Times New Roman" w:cs="David" w:hint="cs"/>
          <w:szCs w:val="24"/>
          <w:rtl/>
        </w:rPr>
        <w:t xml:space="preserve">(להלן- </w:t>
      </w:r>
      <w:r w:rsidR="006941AD" w:rsidRPr="00D50DD9">
        <w:rPr>
          <w:rFonts w:ascii="Times New Roman" w:hAnsi="Times New Roman" w:cs="David" w:hint="cs"/>
          <w:b/>
          <w:bCs/>
          <w:szCs w:val="24"/>
          <w:rtl/>
        </w:rPr>
        <w:t>הוראה 301</w:t>
      </w:r>
      <w:r w:rsidR="006941AD" w:rsidRPr="00095CC4">
        <w:rPr>
          <w:rFonts w:ascii="Times New Roman" w:hAnsi="Times New Roman" w:cs="David" w:hint="cs"/>
          <w:szCs w:val="24"/>
          <w:rtl/>
        </w:rPr>
        <w:t>)</w:t>
      </w:r>
      <w:r w:rsidR="006941AD">
        <w:rPr>
          <w:rFonts w:ascii="Times New Roman" w:hAnsi="Times New Roman" w:cs="David" w:hint="cs"/>
          <w:szCs w:val="24"/>
          <w:rtl/>
        </w:rPr>
        <w:t>.</w:t>
      </w:r>
    </w:p>
    <w:p w:rsidR="00255E86" w:rsidRDefault="00255E86" w:rsidP="00421FBD">
      <w:pPr>
        <w:pStyle w:val="Ruller4"/>
        <w:tabs>
          <w:tab w:val="clear" w:pos="800"/>
          <w:tab w:val="left" w:pos="-58"/>
        </w:tabs>
        <w:spacing w:after="240"/>
        <w:rPr>
          <w:rFonts w:ascii="Times New Roman" w:hAnsi="Times New Roman" w:cs="David"/>
          <w:szCs w:val="24"/>
          <w:rtl/>
        </w:rPr>
      </w:pPr>
      <w:r>
        <w:rPr>
          <w:rFonts w:ascii="Times New Roman" w:hAnsi="Times New Roman" w:cs="David" w:hint="cs"/>
          <w:szCs w:val="24"/>
          <w:rtl/>
        </w:rPr>
        <w:t>אשר לכישורי המועמדים לתפקיד דירקטור, מבוקש כדלקמן:</w:t>
      </w:r>
    </w:p>
    <w:p w:rsidR="005A5397" w:rsidRDefault="00421FBD" w:rsidP="0008630D">
      <w:pPr>
        <w:pStyle w:val="Ruller4"/>
        <w:tabs>
          <w:tab w:val="clear" w:pos="800"/>
          <w:tab w:val="left" w:pos="-58"/>
        </w:tabs>
        <w:spacing w:after="240"/>
        <w:rPr>
          <w:rFonts w:ascii="Times New Roman" w:hAnsi="Times New Roman" w:cs="David"/>
          <w:szCs w:val="24"/>
          <w:rtl/>
        </w:rPr>
      </w:pPr>
      <w:r>
        <w:rPr>
          <w:rFonts w:ascii="Times New Roman" w:hAnsi="Times New Roman" w:cs="David" w:hint="cs"/>
          <w:szCs w:val="24"/>
          <w:rtl/>
        </w:rPr>
        <w:t>כל</w:t>
      </w:r>
      <w:r w:rsidR="006941AD">
        <w:rPr>
          <w:rFonts w:ascii="Times New Roman" w:hAnsi="Times New Roman" w:cs="David" w:hint="cs"/>
          <w:szCs w:val="24"/>
          <w:rtl/>
        </w:rPr>
        <w:t xml:space="preserve"> המועמדים </w:t>
      </w:r>
      <w:r w:rsidR="0097728C">
        <w:rPr>
          <w:rFonts w:ascii="Times New Roman" w:hAnsi="Times New Roman" w:cs="David" w:hint="cs"/>
          <w:szCs w:val="24"/>
          <w:rtl/>
        </w:rPr>
        <w:t xml:space="preserve">שתציע הוועדה </w:t>
      </w:r>
      <w:r w:rsidR="006941AD">
        <w:rPr>
          <w:rFonts w:ascii="Times New Roman" w:hAnsi="Times New Roman" w:cs="David" w:hint="cs"/>
          <w:szCs w:val="24"/>
          <w:rtl/>
        </w:rPr>
        <w:t>יהי</w:t>
      </w:r>
      <w:r>
        <w:rPr>
          <w:rFonts w:ascii="Times New Roman" w:hAnsi="Times New Roman" w:cs="David" w:hint="cs"/>
          <w:szCs w:val="24"/>
          <w:rtl/>
        </w:rPr>
        <w:t>ו</w:t>
      </w:r>
      <w:r w:rsidR="006941AD">
        <w:rPr>
          <w:rFonts w:ascii="Times New Roman" w:hAnsi="Times New Roman" w:cs="David" w:hint="cs"/>
          <w:szCs w:val="24"/>
          <w:rtl/>
        </w:rPr>
        <w:t xml:space="preserve"> בעל</w:t>
      </w:r>
      <w:r>
        <w:rPr>
          <w:rFonts w:ascii="Times New Roman" w:hAnsi="Times New Roman" w:cs="David" w:hint="cs"/>
          <w:szCs w:val="24"/>
          <w:rtl/>
        </w:rPr>
        <w:t>י</w:t>
      </w:r>
      <w:r w:rsidR="006941AD">
        <w:rPr>
          <w:rFonts w:ascii="Times New Roman" w:hAnsi="Times New Roman" w:cs="David" w:hint="cs"/>
          <w:szCs w:val="24"/>
          <w:rtl/>
        </w:rPr>
        <w:t xml:space="preserve"> </w:t>
      </w:r>
      <w:r>
        <w:rPr>
          <w:rFonts w:ascii="Times New Roman" w:hAnsi="Times New Roman" w:cs="David" w:hint="cs"/>
          <w:szCs w:val="24"/>
          <w:rtl/>
        </w:rPr>
        <w:t>מומחיות חשבונאית ופיננסית</w:t>
      </w:r>
      <w:r w:rsidR="006941AD">
        <w:rPr>
          <w:rFonts w:ascii="Times New Roman" w:hAnsi="Times New Roman" w:cs="David" w:hint="cs"/>
          <w:szCs w:val="24"/>
          <w:rtl/>
        </w:rPr>
        <w:t>.</w:t>
      </w:r>
      <w:r>
        <w:rPr>
          <w:rFonts w:ascii="Times New Roman" w:hAnsi="Times New Roman" w:cs="David" w:hint="cs"/>
          <w:szCs w:val="24"/>
          <w:rtl/>
        </w:rPr>
        <w:t xml:space="preserve"> </w:t>
      </w:r>
      <w:r w:rsidRPr="00901DFC">
        <w:rPr>
          <w:rFonts w:cs="David" w:hint="cs"/>
          <w:sz w:val="24"/>
          <w:szCs w:val="24"/>
          <w:rtl/>
        </w:rPr>
        <w:t>לעניין "מומחיות חשבונאית ופיננסית" ראו סעיף 25(ב) להוראה 301.</w:t>
      </w:r>
    </w:p>
    <w:p w:rsidR="00421FBD" w:rsidRPr="00421FBD" w:rsidRDefault="00421FBD" w:rsidP="0008630D">
      <w:pPr>
        <w:pStyle w:val="Ruller4"/>
        <w:tabs>
          <w:tab w:val="clear" w:pos="800"/>
          <w:tab w:val="left" w:pos="-58"/>
        </w:tabs>
        <w:spacing w:after="240"/>
        <w:rPr>
          <w:rFonts w:ascii="Times New Roman" w:hAnsi="Times New Roman" w:cs="David"/>
          <w:szCs w:val="24"/>
          <w:rtl/>
        </w:rPr>
      </w:pPr>
      <w:r w:rsidRPr="00421FBD">
        <w:rPr>
          <w:rFonts w:ascii="Times New Roman" w:hAnsi="Times New Roman" w:cs="David" w:hint="cs"/>
          <w:szCs w:val="24"/>
          <w:rtl/>
        </w:rPr>
        <w:t xml:space="preserve">כל המועמדים שתציע הוועדה יהיו בעלי כשירות מקצועית. לעניין "כשירות מקצועית" ראו סעיף 24(ב) להוראה 301.  </w:t>
      </w:r>
    </w:p>
    <w:p w:rsidR="00255E86" w:rsidRDefault="006941AD" w:rsidP="0008630D">
      <w:pPr>
        <w:pStyle w:val="Ruller4"/>
        <w:tabs>
          <w:tab w:val="clear" w:pos="800"/>
          <w:tab w:val="left" w:pos="-58"/>
        </w:tabs>
        <w:rPr>
          <w:rFonts w:cs="David"/>
          <w:sz w:val="24"/>
          <w:szCs w:val="24"/>
          <w:rtl/>
        </w:rPr>
      </w:pPr>
      <w:r>
        <w:rPr>
          <w:rFonts w:ascii="Times New Roman" w:hAnsi="Times New Roman" w:cs="David" w:hint="cs"/>
          <w:szCs w:val="24"/>
          <w:rtl/>
        </w:rPr>
        <w:t xml:space="preserve"> </w:t>
      </w:r>
      <w:r w:rsidR="00255E86" w:rsidRPr="00FD6966">
        <w:rPr>
          <w:rFonts w:cs="David" w:hint="cs"/>
          <w:sz w:val="24"/>
          <w:szCs w:val="24"/>
          <w:rtl/>
        </w:rPr>
        <w:t xml:space="preserve">טופס שאלון להצגת מועמדות מוצב באתר בנק ישראל בכתובת: </w:t>
      </w:r>
      <w:hyperlink r:id="rId5" w:history="1">
        <w:r w:rsidR="00255E86" w:rsidRPr="00A80D76">
          <w:rPr>
            <w:rStyle w:val="Hyperlink"/>
            <w:rFonts w:cs="David"/>
            <w:sz w:val="24"/>
            <w:szCs w:val="24"/>
            <w:rtl/>
          </w:rPr>
          <w:t xml:space="preserve"> </w:t>
        </w:r>
        <w:r w:rsidR="00255E86" w:rsidRPr="00A80D76">
          <w:rPr>
            <w:rStyle w:val="Hyperlink"/>
            <w:rFonts w:cs="David"/>
            <w:sz w:val="24"/>
            <w:szCs w:val="24"/>
          </w:rPr>
          <w:t xml:space="preserve">http://www.boi.org.il/he/BankingSupervision/Pages/DirectorAppoint.aspx </w:t>
        </w:r>
      </w:hyperlink>
    </w:p>
    <w:p w:rsidR="00255E86" w:rsidRPr="00FD6966" w:rsidRDefault="00255E86" w:rsidP="0024553B">
      <w:pPr>
        <w:pStyle w:val="Ruller4"/>
        <w:tabs>
          <w:tab w:val="left" w:pos="84"/>
        </w:tabs>
        <w:spacing w:after="240" w:line="276" w:lineRule="auto"/>
        <w:rPr>
          <w:rFonts w:cs="David"/>
          <w:color w:val="0000FF"/>
          <w:sz w:val="24"/>
          <w:szCs w:val="24"/>
          <w:u w:val="single"/>
          <w:rtl/>
        </w:rPr>
      </w:pPr>
      <w:r w:rsidRPr="00FD6966">
        <w:rPr>
          <w:rFonts w:cs="David" w:hint="cs"/>
          <w:sz w:val="24"/>
          <w:szCs w:val="24"/>
          <w:rtl/>
        </w:rPr>
        <w:t xml:space="preserve">את השאלון, בצירוף ההצהרה </w:t>
      </w:r>
      <w:r w:rsidRPr="000C52D9">
        <w:rPr>
          <w:rFonts w:cs="David" w:hint="cs"/>
          <w:sz w:val="24"/>
          <w:szCs w:val="24"/>
          <w:rtl/>
        </w:rPr>
        <w:t xml:space="preserve">החתומה והמסמכים הנלווים הנוספים, יש להפנות לוועדה בהתאם לדף ההנחיות שבתחילת השאלון </w:t>
      </w:r>
      <w:r w:rsidRPr="000C52D9">
        <w:rPr>
          <w:rFonts w:cs="David" w:hint="cs"/>
          <w:b/>
          <w:bCs/>
          <w:sz w:val="24"/>
          <w:szCs w:val="24"/>
          <w:rtl/>
        </w:rPr>
        <w:t xml:space="preserve">לא יאוחר מיום </w:t>
      </w:r>
      <w:r w:rsidR="0024553B">
        <w:rPr>
          <w:rFonts w:cs="David" w:hint="cs"/>
          <w:b/>
          <w:bCs/>
          <w:sz w:val="24"/>
          <w:szCs w:val="24"/>
          <w:rtl/>
        </w:rPr>
        <w:t>31</w:t>
      </w:r>
      <w:bookmarkStart w:id="0" w:name="_GoBack"/>
      <w:bookmarkEnd w:id="0"/>
      <w:r w:rsidRPr="000C52D9">
        <w:rPr>
          <w:rFonts w:cs="David" w:hint="cs"/>
          <w:b/>
          <w:bCs/>
          <w:sz w:val="24"/>
          <w:szCs w:val="24"/>
          <w:rtl/>
        </w:rPr>
        <w:t xml:space="preserve"> ב</w:t>
      </w:r>
      <w:r w:rsidR="00421FBD">
        <w:rPr>
          <w:rFonts w:cs="David" w:hint="cs"/>
          <w:b/>
          <w:bCs/>
          <w:sz w:val="24"/>
          <w:szCs w:val="24"/>
          <w:rtl/>
        </w:rPr>
        <w:t>דצמבר</w:t>
      </w:r>
      <w:r w:rsidRPr="000C52D9">
        <w:rPr>
          <w:rFonts w:cs="David" w:hint="cs"/>
          <w:b/>
          <w:bCs/>
          <w:sz w:val="24"/>
          <w:szCs w:val="24"/>
          <w:rtl/>
        </w:rPr>
        <w:t xml:space="preserve"> 2018</w:t>
      </w:r>
      <w:r w:rsidRPr="000C52D9">
        <w:rPr>
          <w:rFonts w:cs="David" w:hint="cs"/>
          <w:sz w:val="24"/>
          <w:szCs w:val="24"/>
          <w:rtl/>
        </w:rPr>
        <w:t>.</w:t>
      </w:r>
      <w:r w:rsidRPr="00FD6966">
        <w:rPr>
          <w:rFonts w:cs="David" w:hint="cs"/>
          <w:sz w:val="24"/>
          <w:szCs w:val="24"/>
          <w:rtl/>
        </w:rPr>
        <w:t xml:space="preserve"> </w:t>
      </w:r>
    </w:p>
    <w:p w:rsidR="00255E86" w:rsidRPr="00D743A3" w:rsidRDefault="00255E86" w:rsidP="00255E86">
      <w:pPr>
        <w:pStyle w:val="Ruller4"/>
        <w:tabs>
          <w:tab w:val="clear" w:pos="800"/>
          <w:tab w:val="left" w:pos="84"/>
        </w:tabs>
        <w:spacing w:after="240" w:line="276" w:lineRule="auto"/>
        <w:rPr>
          <w:rFonts w:ascii="Times New Roman" w:hAnsi="Times New Roman" w:cs="David"/>
          <w:szCs w:val="24"/>
          <w:rtl/>
        </w:rPr>
      </w:pPr>
      <w:r w:rsidRPr="00D743A3">
        <w:rPr>
          <w:rFonts w:ascii="Times New Roman" w:hAnsi="Times New Roman" w:cs="David" w:hint="cs"/>
          <w:szCs w:val="24"/>
          <w:rtl/>
        </w:rPr>
        <w:t xml:space="preserve">יודגש כי על פי נוהל סדרי </w:t>
      </w:r>
      <w:r>
        <w:rPr>
          <w:rFonts w:ascii="Times New Roman" w:hAnsi="Times New Roman" w:cs="David" w:hint="cs"/>
          <w:szCs w:val="24"/>
          <w:rtl/>
        </w:rPr>
        <w:t>ה</w:t>
      </w:r>
      <w:r w:rsidRPr="00D743A3">
        <w:rPr>
          <w:rFonts w:ascii="Times New Roman" w:hAnsi="Times New Roman" w:cs="David" w:hint="cs"/>
          <w:szCs w:val="24"/>
          <w:rtl/>
        </w:rPr>
        <w:t>עבודה של הוועדה, הוועדה רשאית</w:t>
      </w:r>
      <w:r w:rsidR="003F3699">
        <w:rPr>
          <w:rFonts w:ascii="Times New Roman" w:hAnsi="Times New Roman" w:cs="David" w:hint="cs"/>
          <w:szCs w:val="24"/>
          <w:rtl/>
        </w:rPr>
        <w:t>, בנוסף לפרסום הודעה זו לציבור,</w:t>
      </w:r>
      <w:r w:rsidRPr="00D743A3">
        <w:rPr>
          <w:rFonts w:ascii="Times New Roman" w:hAnsi="Times New Roman" w:cs="David" w:hint="cs"/>
          <w:szCs w:val="24"/>
          <w:rtl/>
        </w:rPr>
        <w:t xml:space="preserve"> לפנות, על פי שיקול דעתה ובהתאם לקבוע בנוהל, לאנשים מן הציבור ולהציע להם להגיש מועמדות לתפקיד.  </w:t>
      </w:r>
    </w:p>
    <w:p w:rsidR="00255E86" w:rsidRDefault="00255E86" w:rsidP="00255E86">
      <w:pPr>
        <w:spacing w:line="276" w:lineRule="auto"/>
        <w:jc w:val="both"/>
        <w:rPr>
          <w:sz w:val="22"/>
          <w:rtl/>
        </w:rPr>
      </w:pPr>
      <w:r>
        <w:rPr>
          <w:rFonts w:cs="David" w:hint="cs"/>
          <w:sz w:val="22"/>
          <w:rtl/>
        </w:rPr>
        <w:t>יש להקפיד על</w:t>
      </w:r>
      <w:r w:rsidRPr="00D743A3">
        <w:rPr>
          <w:rFonts w:cs="David" w:hint="cs"/>
          <w:sz w:val="22"/>
          <w:rtl/>
        </w:rPr>
        <w:t xml:space="preserve"> קבלת אישור במייל חוזר מהוועדה על </w:t>
      </w:r>
      <w:r>
        <w:rPr>
          <w:rFonts w:cs="David" w:hint="cs"/>
          <w:sz w:val="22"/>
          <w:rtl/>
        </w:rPr>
        <w:t>הגעת</w:t>
      </w:r>
      <w:r w:rsidRPr="00D743A3">
        <w:rPr>
          <w:rFonts w:cs="David" w:hint="cs"/>
          <w:sz w:val="22"/>
          <w:rtl/>
        </w:rPr>
        <w:t xml:space="preserve"> </w:t>
      </w:r>
      <w:r>
        <w:rPr>
          <w:rFonts w:cs="David" w:hint="cs"/>
          <w:sz w:val="22"/>
          <w:rtl/>
        </w:rPr>
        <w:t>מסמכי בקשות המועמדות</w:t>
      </w:r>
      <w:r w:rsidRPr="00D743A3">
        <w:rPr>
          <w:rFonts w:cs="David" w:hint="cs"/>
          <w:sz w:val="22"/>
          <w:rtl/>
        </w:rPr>
        <w:t xml:space="preserve"> </w:t>
      </w:r>
      <w:r>
        <w:rPr>
          <w:rFonts w:cs="David" w:hint="cs"/>
          <w:sz w:val="22"/>
          <w:rtl/>
        </w:rPr>
        <w:t>על נספחיהן לידיה, וזאת</w:t>
      </w:r>
      <w:r w:rsidRPr="00D743A3">
        <w:rPr>
          <w:rFonts w:cs="David" w:hint="cs"/>
          <w:sz w:val="22"/>
          <w:rtl/>
        </w:rPr>
        <w:t xml:space="preserve"> לא יאוחר מהמועד האחרון להגשת המועמדות.</w:t>
      </w:r>
      <w:r w:rsidRPr="00D50DD9">
        <w:rPr>
          <w:rFonts w:cs="David" w:hint="cs"/>
          <w:sz w:val="22"/>
          <w:rtl/>
        </w:rPr>
        <w:t xml:space="preserve"> </w:t>
      </w:r>
    </w:p>
    <w:p w:rsidR="00E875A9" w:rsidRDefault="00E875A9"/>
    <w:sectPr w:rsidR="00E875A9" w:rsidSect="00B478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TUR">
    <w:altName w:val="Arial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5E"/>
    <w:rsid w:val="00005A83"/>
    <w:rsid w:val="00034C1A"/>
    <w:rsid w:val="00063DCE"/>
    <w:rsid w:val="00077B06"/>
    <w:rsid w:val="0008630D"/>
    <w:rsid w:val="000C52D9"/>
    <w:rsid w:val="00105DA3"/>
    <w:rsid w:val="00122543"/>
    <w:rsid w:val="0024553B"/>
    <w:rsid w:val="00255E86"/>
    <w:rsid w:val="002C1841"/>
    <w:rsid w:val="003E1F81"/>
    <w:rsid w:val="003F3699"/>
    <w:rsid w:val="00421BC2"/>
    <w:rsid w:val="00421FBD"/>
    <w:rsid w:val="00444122"/>
    <w:rsid w:val="004750B4"/>
    <w:rsid w:val="004C0641"/>
    <w:rsid w:val="004E1359"/>
    <w:rsid w:val="00552E0D"/>
    <w:rsid w:val="005A5397"/>
    <w:rsid w:val="005D0FE3"/>
    <w:rsid w:val="006941AD"/>
    <w:rsid w:val="006E5C23"/>
    <w:rsid w:val="007655A6"/>
    <w:rsid w:val="0083692F"/>
    <w:rsid w:val="008D05D4"/>
    <w:rsid w:val="00924B5E"/>
    <w:rsid w:val="009566AE"/>
    <w:rsid w:val="00972FE1"/>
    <w:rsid w:val="0097728C"/>
    <w:rsid w:val="00A85D45"/>
    <w:rsid w:val="00B35C4F"/>
    <w:rsid w:val="00BD1AA6"/>
    <w:rsid w:val="00E875A9"/>
    <w:rsid w:val="00E92B49"/>
    <w:rsid w:val="00E95451"/>
    <w:rsid w:val="00EC1B90"/>
    <w:rsid w:val="00ED6B9C"/>
    <w:rsid w:val="00F8632A"/>
    <w:rsid w:val="00F9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8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ller4">
    <w:name w:val="Ruller4"/>
    <w:basedOn w:val="a"/>
    <w:rsid w:val="00255E86"/>
    <w:pPr>
      <w:tabs>
        <w:tab w:val="left" w:pos="80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TUR" w:hAnsi="Arial TUR" w:cs="FrankRuehl"/>
      <w:spacing w:val="10"/>
      <w:sz w:val="22"/>
      <w:szCs w:val="28"/>
    </w:rPr>
  </w:style>
  <w:style w:type="character" w:styleId="Hyperlink">
    <w:name w:val="Hyperlink"/>
    <w:rsid w:val="00255E86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566AE"/>
    <w:rPr>
      <w:color w:val="800080" w:themeColor="followedHyperlink"/>
      <w:u w:val="single"/>
    </w:rPr>
  </w:style>
  <w:style w:type="character" w:styleId="a3">
    <w:name w:val="annotation reference"/>
    <w:basedOn w:val="a0"/>
    <w:uiPriority w:val="99"/>
    <w:semiHidden/>
    <w:unhideWhenUsed/>
    <w:rsid w:val="00EC1B9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EC1B90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EC1B9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1B90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EC1B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1B9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EC1B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8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ller4">
    <w:name w:val="Ruller4"/>
    <w:basedOn w:val="a"/>
    <w:rsid w:val="00255E86"/>
    <w:pPr>
      <w:tabs>
        <w:tab w:val="left" w:pos="80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TUR" w:hAnsi="Arial TUR" w:cs="FrankRuehl"/>
      <w:spacing w:val="10"/>
      <w:sz w:val="22"/>
      <w:szCs w:val="28"/>
    </w:rPr>
  </w:style>
  <w:style w:type="character" w:styleId="Hyperlink">
    <w:name w:val="Hyperlink"/>
    <w:rsid w:val="00255E86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566AE"/>
    <w:rPr>
      <w:color w:val="800080" w:themeColor="followedHyperlink"/>
      <w:u w:val="single"/>
    </w:rPr>
  </w:style>
  <w:style w:type="character" w:styleId="a3">
    <w:name w:val="annotation reference"/>
    <w:basedOn w:val="a0"/>
    <w:uiPriority w:val="99"/>
    <w:semiHidden/>
    <w:unhideWhenUsed/>
    <w:rsid w:val="00EC1B9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EC1B90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EC1B9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1B90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EC1B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1B9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EC1B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i.org.il/he/BankingSupervision/Pages/DirectorAppoin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פיקדו</dc:creator>
  <cp:lastModifiedBy>ישראל פיקדו</cp:lastModifiedBy>
  <cp:revision>4</cp:revision>
  <cp:lastPrinted>2017-12-24T07:44:00Z</cp:lastPrinted>
  <dcterms:created xsi:type="dcterms:W3CDTF">2018-12-06T14:27:00Z</dcterms:created>
  <dcterms:modified xsi:type="dcterms:W3CDTF">2018-12-13T11:55:00Z</dcterms:modified>
</cp:coreProperties>
</file>