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0D2B58" w:rsidRPr="003B6B60" w14:paraId="42A595EB" w14:textId="77777777" w:rsidTr="00206AFC">
        <w:tc>
          <w:tcPr>
            <w:tcW w:w="3343" w:type="dxa"/>
            <w:tcBorders>
              <w:top w:val="nil"/>
              <w:left w:val="nil"/>
              <w:bottom w:val="nil"/>
              <w:right w:val="nil"/>
            </w:tcBorders>
            <w:vAlign w:val="center"/>
          </w:tcPr>
          <w:p w14:paraId="42603041" w14:textId="77777777" w:rsidR="000D2B58" w:rsidRPr="003B6B60" w:rsidRDefault="000D2B58" w:rsidP="000D2B58">
            <w:pPr>
              <w:spacing w:line="480" w:lineRule="auto"/>
              <w:ind w:left="97"/>
              <w:jc w:val="center"/>
              <w:rPr>
                <w:rFonts w:cstheme="minorHAnsi"/>
                <w:b/>
                <w:bCs/>
                <w:sz w:val="24"/>
                <w:szCs w:val="24"/>
              </w:rPr>
            </w:pPr>
            <w:r w:rsidRPr="003B6B60">
              <w:rPr>
                <w:rFonts w:cstheme="minorHAnsi"/>
                <w:b/>
                <w:bCs/>
                <w:sz w:val="28"/>
                <w:szCs w:val="28"/>
                <w:rtl/>
              </w:rPr>
              <w:t>בנק ישראל</w:t>
            </w:r>
          </w:p>
          <w:p w14:paraId="7F27F983" w14:textId="77777777" w:rsidR="000D2B58" w:rsidRPr="003B6B60" w:rsidRDefault="000D2B58" w:rsidP="000D2B58">
            <w:pPr>
              <w:spacing w:line="480" w:lineRule="auto"/>
              <w:ind w:left="97" w:right="-101"/>
              <w:jc w:val="center"/>
              <w:rPr>
                <w:rFonts w:cstheme="minorHAnsi"/>
                <w:sz w:val="24"/>
                <w:szCs w:val="24"/>
              </w:rPr>
            </w:pPr>
            <w:r w:rsidRPr="003B6B60">
              <w:rPr>
                <w:rFonts w:cstheme="minorHAnsi"/>
                <w:sz w:val="24"/>
                <w:szCs w:val="24"/>
                <w:rtl/>
              </w:rPr>
              <w:t>דוברות והסברה כלכלית</w:t>
            </w:r>
          </w:p>
        </w:tc>
        <w:tc>
          <w:tcPr>
            <w:tcW w:w="2596" w:type="dxa"/>
            <w:tcBorders>
              <w:top w:val="nil"/>
              <w:left w:val="nil"/>
              <w:bottom w:val="nil"/>
              <w:right w:val="nil"/>
            </w:tcBorders>
            <w:shd w:val="clear" w:color="auto" w:fill="FFFFFF" w:themeFill="background1"/>
          </w:tcPr>
          <w:p w14:paraId="3B9C16DE" w14:textId="77777777" w:rsidR="000D2B58" w:rsidRPr="003B6B60" w:rsidRDefault="000D2B58" w:rsidP="000D2B58">
            <w:pPr>
              <w:jc w:val="center"/>
              <w:rPr>
                <w:rFonts w:cstheme="minorHAnsi"/>
                <w:sz w:val="24"/>
                <w:szCs w:val="24"/>
              </w:rPr>
            </w:pPr>
            <w:r w:rsidRPr="003B6B60">
              <w:rPr>
                <w:rFonts w:cstheme="minorHAnsi"/>
                <w:noProof/>
                <w:sz w:val="24"/>
                <w:szCs w:val="24"/>
              </w:rPr>
              <w:drawing>
                <wp:inline distT="0" distB="0" distL="0" distR="0" wp14:anchorId="5B8739A0" wp14:editId="6DBA92A1">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14:paraId="6E261B49" w14:textId="79B33571" w:rsidR="000D2B58" w:rsidRPr="003B6B60" w:rsidRDefault="000D2B58" w:rsidP="000D2B58">
            <w:pPr>
              <w:spacing w:line="480" w:lineRule="auto"/>
              <w:jc w:val="right"/>
              <w:rPr>
                <w:rFonts w:cstheme="minorHAnsi"/>
                <w:sz w:val="24"/>
                <w:szCs w:val="24"/>
              </w:rPr>
            </w:pPr>
            <w:r w:rsidRPr="003B6B60">
              <w:rPr>
                <w:rFonts w:cstheme="minorHAnsi"/>
                <w:sz w:val="24"/>
                <w:szCs w:val="24"/>
                <w:rtl/>
              </w:rPr>
              <w:t xml:space="preserve">‏ירושלים, </w:t>
            </w:r>
            <w:r>
              <w:rPr>
                <w:rFonts w:cstheme="minorHAnsi" w:hint="cs"/>
                <w:sz w:val="24"/>
                <w:szCs w:val="24"/>
                <w:rtl/>
              </w:rPr>
              <w:t>י</w:t>
            </w:r>
            <w:r w:rsidRPr="003B6B60">
              <w:rPr>
                <w:rFonts w:cstheme="minorHAnsi"/>
                <w:sz w:val="24"/>
                <w:szCs w:val="24"/>
                <w:rtl/>
              </w:rPr>
              <w:t xml:space="preserve">' באדר </w:t>
            </w:r>
            <w:r>
              <w:rPr>
                <w:rFonts w:cstheme="minorHAnsi" w:hint="cs"/>
                <w:sz w:val="24"/>
                <w:szCs w:val="24"/>
                <w:rtl/>
              </w:rPr>
              <w:t>א</w:t>
            </w:r>
            <w:r w:rsidRPr="003B6B60">
              <w:rPr>
                <w:rFonts w:cstheme="minorHAnsi"/>
                <w:sz w:val="24"/>
                <w:szCs w:val="24"/>
                <w:rtl/>
              </w:rPr>
              <w:t>', תשפ"ד</w:t>
            </w:r>
          </w:p>
          <w:p w14:paraId="46F1BB27" w14:textId="06E96AED" w:rsidR="000D2B58" w:rsidRPr="003B6B60" w:rsidRDefault="000D2B58" w:rsidP="000D2B58">
            <w:pPr>
              <w:spacing w:line="480" w:lineRule="auto"/>
              <w:jc w:val="right"/>
              <w:rPr>
                <w:rFonts w:cstheme="minorHAnsi"/>
                <w:sz w:val="24"/>
                <w:szCs w:val="24"/>
              </w:rPr>
            </w:pPr>
            <w:r>
              <w:rPr>
                <w:rFonts w:cstheme="minorHAnsi" w:hint="cs"/>
                <w:sz w:val="24"/>
                <w:szCs w:val="24"/>
                <w:rtl/>
              </w:rPr>
              <w:t>19</w:t>
            </w:r>
            <w:r w:rsidRPr="003B6B60">
              <w:rPr>
                <w:rFonts w:cstheme="minorHAnsi"/>
                <w:sz w:val="24"/>
                <w:szCs w:val="24"/>
                <w:rtl/>
              </w:rPr>
              <w:t xml:space="preserve"> בפברואר 2024</w:t>
            </w:r>
          </w:p>
        </w:tc>
      </w:tr>
    </w:tbl>
    <w:p w14:paraId="65752E89" w14:textId="77777777" w:rsidR="000D2B58" w:rsidRPr="003B6B60" w:rsidRDefault="000D2B58" w:rsidP="000D2B58">
      <w:pPr>
        <w:spacing w:line="360" w:lineRule="auto"/>
        <w:rPr>
          <w:rFonts w:cstheme="minorHAnsi"/>
          <w:color w:val="000000" w:themeColor="text1"/>
          <w:sz w:val="24"/>
          <w:szCs w:val="24"/>
          <w:rtl/>
        </w:rPr>
      </w:pPr>
      <w:r w:rsidRPr="003B6B60">
        <w:rPr>
          <w:rFonts w:cstheme="minorHAnsi"/>
          <w:color w:val="000000" w:themeColor="text1"/>
          <w:sz w:val="24"/>
          <w:szCs w:val="24"/>
          <w:rtl/>
        </w:rPr>
        <w:t>הודעה לעיתונות:</w:t>
      </w:r>
    </w:p>
    <w:p w14:paraId="10B81765" w14:textId="07998085" w:rsidR="001C75D2" w:rsidRPr="000D2B58" w:rsidRDefault="000D2B58" w:rsidP="00F555A7">
      <w:pPr>
        <w:jc w:val="center"/>
        <w:rPr>
          <w:rFonts w:cstheme="minorHAnsi"/>
          <w:b/>
          <w:bCs/>
          <w:sz w:val="28"/>
          <w:szCs w:val="28"/>
          <w:rtl/>
        </w:rPr>
      </w:pPr>
      <w:bookmarkStart w:id="0" w:name="_GoBack"/>
      <w:r>
        <w:rPr>
          <w:rFonts w:cstheme="minorHAnsi" w:hint="cs"/>
          <w:b/>
          <w:bCs/>
          <w:sz w:val="28"/>
          <w:szCs w:val="28"/>
          <w:rtl/>
        </w:rPr>
        <w:t xml:space="preserve">מחקר חדש: </w:t>
      </w:r>
      <w:r w:rsidR="00A3049C" w:rsidRPr="000D2B58">
        <w:rPr>
          <w:rFonts w:cstheme="minorHAnsi"/>
          <w:b/>
          <w:bCs/>
          <w:sz w:val="28"/>
          <w:szCs w:val="28"/>
          <w:rtl/>
        </w:rPr>
        <w:t xml:space="preserve">ההשפעה של בעלות ריכוזית על חדלות פירעון של חברות </w:t>
      </w:r>
      <w:r w:rsidR="00F555A7" w:rsidRPr="000D2B58">
        <w:rPr>
          <w:rFonts w:cstheme="minorHAnsi"/>
          <w:b/>
          <w:bCs/>
          <w:sz w:val="28"/>
          <w:szCs w:val="28"/>
          <w:rtl/>
        </w:rPr>
        <w:t>אג"ח</w:t>
      </w:r>
      <w:r w:rsidR="00A3049C" w:rsidRPr="000D2B58">
        <w:rPr>
          <w:rFonts w:cstheme="minorHAnsi"/>
          <w:b/>
          <w:bCs/>
          <w:sz w:val="28"/>
          <w:szCs w:val="28"/>
          <w:rtl/>
        </w:rPr>
        <w:t xml:space="preserve"> בישראל </w:t>
      </w:r>
    </w:p>
    <w:bookmarkEnd w:id="0"/>
    <w:p w14:paraId="318E4522" w14:textId="77777777" w:rsidR="00F1327F" w:rsidRPr="000D2B58" w:rsidRDefault="006F2625" w:rsidP="00F1327F">
      <w:pPr>
        <w:spacing w:after="120" w:line="360" w:lineRule="auto"/>
        <w:jc w:val="both"/>
        <w:rPr>
          <w:rFonts w:cstheme="minorHAnsi"/>
          <w:sz w:val="24"/>
          <w:szCs w:val="24"/>
          <w:rtl/>
        </w:rPr>
      </w:pPr>
      <w:r w:rsidRPr="000D2B58">
        <w:rPr>
          <w:rFonts w:cstheme="minorHAnsi"/>
          <w:sz w:val="24"/>
          <w:szCs w:val="24"/>
          <w:rtl/>
        </w:rPr>
        <w:t xml:space="preserve">מחקר זה </w:t>
      </w:r>
      <w:r w:rsidR="00270405" w:rsidRPr="000D2B58">
        <w:rPr>
          <w:rFonts w:cstheme="minorHAnsi"/>
          <w:sz w:val="24"/>
          <w:szCs w:val="24"/>
          <w:rtl/>
        </w:rPr>
        <w:t>בוחן את אירועי הכשל</w:t>
      </w:r>
      <w:r w:rsidR="006C6206" w:rsidRPr="000D2B58">
        <w:rPr>
          <w:rFonts w:cstheme="minorHAnsi"/>
          <w:sz w:val="24"/>
          <w:szCs w:val="24"/>
          <w:rtl/>
        </w:rPr>
        <w:t xml:space="preserve"> בחברות </w:t>
      </w:r>
      <w:r w:rsidR="00F555A7" w:rsidRPr="000D2B58">
        <w:rPr>
          <w:rFonts w:cstheme="minorHAnsi"/>
          <w:sz w:val="24"/>
          <w:szCs w:val="24"/>
          <w:rtl/>
        </w:rPr>
        <w:t xml:space="preserve">ישראליות </w:t>
      </w:r>
      <w:r w:rsidR="006C6206" w:rsidRPr="000D2B58">
        <w:rPr>
          <w:rFonts w:cstheme="minorHAnsi"/>
          <w:sz w:val="24"/>
          <w:szCs w:val="24"/>
          <w:rtl/>
        </w:rPr>
        <w:t>שהנפיקו אג"ח לציבור</w:t>
      </w:r>
      <w:r w:rsidR="00270405" w:rsidRPr="000D2B58">
        <w:rPr>
          <w:rFonts w:cstheme="minorHAnsi"/>
          <w:sz w:val="24"/>
          <w:szCs w:val="24"/>
          <w:rtl/>
        </w:rPr>
        <w:t xml:space="preserve"> בין השנים 2008 ל-2018</w:t>
      </w:r>
      <w:r w:rsidR="006C6206" w:rsidRPr="000D2B58">
        <w:rPr>
          <w:rFonts w:cstheme="minorHAnsi"/>
          <w:sz w:val="24"/>
          <w:szCs w:val="24"/>
          <w:rtl/>
        </w:rPr>
        <w:t xml:space="preserve">. </w:t>
      </w:r>
      <w:r w:rsidR="001365A9" w:rsidRPr="000D2B58">
        <w:rPr>
          <w:rFonts w:cstheme="minorHAnsi"/>
          <w:sz w:val="24"/>
          <w:szCs w:val="24"/>
          <w:rtl/>
        </w:rPr>
        <w:t>ה</w:t>
      </w:r>
      <w:r w:rsidR="00F555A7" w:rsidRPr="000D2B58">
        <w:rPr>
          <w:rFonts w:cstheme="minorHAnsi"/>
          <w:sz w:val="24"/>
          <w:szCs w:val="24"/>
          <w:rtl/>
        </w:rPr>
        <w:t>מחקר מציג</w:t>
      </w:r>
      <w:r w:rsidR="006C6206" w:rsidRPr="000D2B58">
        <w:rPr>
          <w:rFonts w:cstheme="minorHAnsi"/>
          <w:sz w:val="24"/>
          <w:szCs w:val="24"/>
          <w:rtl/>
        </w:rPr>
        <w:t xml:space="preserve"> ניתוח מקיף</w:t>
      </w:r>
      <w:r w:rsidR="00270405" w:rsidRPr="000D2B58">
        <w:rPr>
          <w:rFonts w:cstheme="minorHAnsi"/>
          <w:sz w:val="24"/>
          <w:szCs w:val="24"/>
          <w:rtl/>
        </w:rPr>
        <w:t xml:space="preserve"> וייחודי</w:t>
      </w:r>
      <w:r w:rsidR="006C6206" w:rsidRPr="000D2B58">
        <w:rPr>
          <w:rFonts w:cstheme="minorHAnsi"/>
          <w:sz w:val="24"/>
          <w:szCs w:val="24"/>
          <w:rtl/>
        </w:rPr>
        <w:t xml:space="preserve"> שב</w:t>
      </w:r>
      <w:r w:rsidR="00F23229" w:rsidRPr="000D2B58">
        <w:rPr>
          <w:rFonts w:cstheme="minorHAnsi"/>
          <w:sz w:val="24"/>
          <w:szCs w:val="24"/>
          <w:rtl/>
        </w:rPr>
        <w:t>ו</w:t>
      </w:r>
      <w:r w:rsidR="006C6206" w:rsidRPr="000D2B58">
        <w:rPr>
          <w:rFonts w:cstheme="minorHAnsi"/>
          <w:sz w:val="24"/>
          <w:szCs w:val="24"/>
          <w:rtl/>
        </w:rPr>
        <w:t xml:space="preserve">חן את האופן שבו </w:t>
      </w:r>
      <w:r w:rsidR="00F555A7" w:rsidRPr="000D2B58">
        <w:rPr>
          <w:rFonts w:cstheme="minorHAnsi"/>
          <w:sz w:val="24"/>
          <w:szCs w:val="24"/>
          <w:rtl/>
        </w:rPr>
        <w:t>התמודדו</w:t>
      </w:r>
      <w:r w:rsidR="006C6206" w:rsidRPr="000D2B58">
        <w:rPr>
          <w:rFonts w:cstheme="minorHAnsi"/>
          <w:sz w:val="24"/>
          <w:szCs w:val="24"/>
          <w:rtl/>
        </w:rPr>
        <w:t xml:space="preserve"> </w:t>
      </w:r>
      <w:r w:rsidR="00200503" w:rsidRPr="000D2B58">
        <w:rPr>
          <w:rFonts w:cstheme="minorHAnsi"/>
          <w:sz w:val="24"/>
          <w:szCs w:val="24"/>
          <w:rtl/>
        </w:rPr>
        <w:t xml:space="preserve">123 </w:t>
      </w:r>
      <w:r w:rsidR="006C6206" w:rsidRPr="000D2B58">
        <w:rPr>
          <w:rFonts w:cstheme="minorHAnsi"/>
          <w:sz w:val="24"/>
          <w:szCs w:val="24"/>
          <w:rtl/>
        </w:rPr>
        <w:t>חברות</w:t>
      </w:r>
      <w:r w:rsidR="00F555A7" w:rsidRPr="000D2B58">
        <w:rPr>
          <w:rFonts w:cstheme="minorHAnsi"/>
          <w:sz w:val="24"/>
          <w:szCs w:val="24"/>
          <w:rtl/>
        </w:rPr>
        <w:t xml:space="preserve"> על סף חדלות פירעון עם מצוקת חוב</w:t>
      </w:r>
      <w:r w:rsidR="006C6206" w:rsidRPr="000D2B58">
        <w:rPr>
          <w:rFonts w:cstheme="minorHAnsi"/>
          <w:sz w:val="24"/>
          <w:szCs w:val="24"/>
          <w:rtl/>
        </w:rPr>
        <w:t xml:space="preserve">, </w:t>
      </w:r>
      <w:r w:rsidR="001365A9" w:rsidRPr="000D2B58">
        <w:rPr>
          <w:rFonts w:cstheme="minorHAnsi"/>
          <w:sz w:val="24"/>
          <w:szCs w:val="24"/>
          <w:rtl/>
        </w:rPr>
        <w:t xml:space="preserve">לרבות ההליך המשפטי שנבחר, התשלום </w:t>
      </w:r>
      <w:r w:rsidR="004A2CBD" w:rsidRPr="000D2B58">
        <w:rPr>
          <w:rFonts w:cstheme="minorHAnsi"/>
          <w:sz w:val="24"/>
          <w:szCs w:val="24"/>
          <w:rtl/>
        </w:rPr>
        <w:t>שקיבלו ה</w:t>
      </w:r>
      <w:r w:rsidR="001365A9" w:rsidRPr="000D2B58">
        <w:rPr>
          <w:rFonts w:cstheme="minorHAnsi"/>
          <w:sz w:val="24"/>
          <w:szCs w:val="24"/>
          <w:rtl/>
        </w:rPr>
        <w:t>נושים ו</w:t>
      </w:r>
      <w:r w:rsidR="004A2CBD" w:rsidRPr="000D2B58">
        <w:rPr>
          <w:rFonts w:cstheme="minorHAnsi"/>
          <w:sz w:val="24"/>
          <w:szCs w:val="24"/>
          <w:rtl/>
        </w:rPr>
        <w:t>ב</w:t>
      </w:r>
      <w:r w:rsidR="001365A9" w:rsidRPr="000D2B58">
        <w:rPr>
          <w:rFonts w:cstheme="minorHAnsi"/>
          <w:sz w:val="24"/>
          <w:szCs w:val="24"/>
          <w:rtl/>
        </w:rPr>
        <w:t xml:space="preserve">עלי המניות, </w:t>
      </w:r>
      <w:r w:rsidR="00F23229" w:rsidRPr="000D2B58">
        <w:rPr>
          <w:rFonts w:cstheme="minorHAnsi"/>
          <w:sz w:val="24"/>
          <w:szCs w:val="24"/>
          <w:rtl/>
        </w:rPr>
        <w:t>שאלת שינוי הבעלות בהסדר חוב</w:t>
      </w:r>
      <w:r w:rsidR="001365A9" w:rsidRPr="000D2B58">
        <w:rPr>
          <w:rFonts w:cstheme="minorHAnsi"/>
          <w:sz w:val="24"/>
          <w:szCs w:val="24"/>
          <w:rtl/>
        </w:rPr>
        <w:t xml:space="preserve"> </w:t>
      </w:r>
      <w:r w:rsidR="00F23229" w:rsidRPr="000D2B58">
        <w:rPr>
          <w:rFonts w:cstheme="minorHAnsi"/>
          <w:sz w:val="24"/>
          <w:szCs w:val="24"/>
          <w:rtl/>
        </w:rPr>
        <w:t>ותפקוד</w:t>
      </w:r>
      <w:r w:rsidR="004A2CBD" w:rsidRPr="000D2B58">
        <w:rPr>
          <w:rFonts w:cstheme="minorHAnsi"/>
          <w:sz w:val="24"/>
          <w:szCs w:val="24"/>
          <w:rtl/>
        </w:rPr>
        <w:t xml:space="preserve"> </w:t>
      </w:r>
      <w:r w:rsidR="001365A9" w:rsidRPr="000D2B58">
        <w:rPr>
          <w:rFonts w:cstheme="minorHAnsi"/>
          <w:sz w:val="24"/>
          <w:szCs w:val="24"/>
          <w:rtl/>
        </w:rPr>
        <w:t xml:space="preserve">החברה </w:t>
      </w:r>
      <w:r w:rsidR="00F23229" w:rsidRPr="000D2B58">
        <w:rPr>
          <w:rFonts w:cstheme="minorHAnsi"/>
          <w:sz w:val="24"/>
          <w:szCs w:val="24"/>
          <w:rtl/>
        </w:rPr>
        <w:t xml:space="preserve">לאחר </w:t>
      </w:r>
      <w:r w:rsidR="00F1327F" w:rsidRPr="000D2B58">
        <w:rPr>
          <w:rFonts w:cstheme="minorHAnsi"/>
          <w:sz w:val="24"/>
          <w:szCs w:val="24"/>
          <w:rtl/>
        </w:rPr>
        <w:t>ה</w:t>
      </w:r>
      <w:r w:rsidR="00F23229" w:rsidRPr="000D2B58">
        <w:rPr>
          <w:rFonts w:cstheme="minorHAnsi"/>
          <w:sz w:val="24"/>
          <w:szCs w:val="24"/>
          <w:rtl/>
        </w:rPr>
        <w:t>סדר</w:t>
      </w:r>
      <w:r w:rsidR="001365A9" w:rsidRPr="000D2B58">
        <w:rPr>
          <w:rFonts w:cstheme="minorHAnsi"/>
          <w:sz w:val="24"/>
          <w:szCs w:val="24"/>
          <w:rtl/>
        </w:rPr>
        <w:t xml:space="preserve">. </w:t>
      </w:r>
      <w:r w:rsidR="00F1327F" w:rsidRPr="000D2B58">
        <w:rPr>
          <w:rFonts w:cstheme="minorHAnsi"/>
          <w:sz w:val="24"/>
          <w:szCs w:val="24"/>
          <w:rtl/>
        </w:rPr>
        <w:t>ככלל, נראה כי לבעלות ריכוזית יש השפעה חיובית על הישרדותן של החברות אך השפעה שלילית על היעילות הכלכלית.</w:t>
      </w:r>
    </w:p>
    <w:p w14:paraId="72F2BA2D" w14:textId="22829672" w:rsidR="004A2CBD" w:rsidRPr="000D2B58" w:rsidRDefault="00270405" w:rsidP="00F1327F">
      <w:pPr>
        <w:spacing w:after="120" w:line="360" w:lineRule="auto"/>
        <w:jc w:val="both"/>
        <w:rPr>
          <w:rFonts w:cstheme="minorHAnsi"/>
          <w:sz w:val="24"/>
          <w:szCs w:val="24"/>
          <w:rtl/>
        </w:rPr>
      </w:pPr>
      <w:r w:rsidRPr="000D2B58">
        <w:rPr>
          <w:rFonts w:cstheme="minorHAnsi"/>
          <w:sz w:val="24"/>
          <w:szCs w:val="24"/>
          <w:rtl/>
        </w:rPr>
        <w:t>עיקרי הממצאים במחקר:</w:t>
      </w:r>
    </w:p>
    <w:p w14:paraId="100BDC0F" w14:textId="15EAD2B8" w:rsidR="00C71BD8" w:rsidRPr="000D2B58" w:rsidRDefault="00944180" w:rsidP="00EA3963">
      <w:pPr>
        <w:pStyle w:val="a8"/>
        <w:numPr>
          <w:ilvl w:val="0"/>
          <w:numId w:val="2"/>
        </w:numPr>
        <w:spacing w:after="120" w:line="360" w:lineRule="auto"/>
        <w:jc w:val="both"/>
        <w:rPr>
          <w:rFonts w:cstheme="minorHAnsi"/>
          <w:sz w:val="24"/>
          <w:szCs w:val="24"/>
        </w:rPr>
      </w:pPr>
      <w:r w:rsidRPr="000D2B58">
        <w:rPr>
          <w:rFonts w:cstheme="minorHAnsi"/>
          <w:sz w:val="24"/>
          <w:szCs w:val="24"/>
          <w:rtl/>
        </w:rPr>
        <w:t>מעל</w:t>
      </w:r>
      <w:r w:rsidR="00270405" w:rsidRPr="000D2B58">
        <w:rPr>
          <w:rFonts w:cstheme="minorHAnsi"/>
          <w:sz w:val="24"/>
          <w:szCs w:val="24"/>
          <w:rtl/>
        </w:rPr>
        <w:t xml:space="preserve"> למחצית </w:t>
      </w:r>
      <w:r w:rsidRPr="000D2B58">
        <w:rPr>
          <w:rFonts w:cstheme="minorHAnsi"/>
          <w:sz w:val="24"/>
          <w:szCs w:val="24"/>
          <w:rtl/>
        </w:rPr>
        <w:t xml:space="preserve">מהחברות </w:t>
      </w:r>
      <w:r w:rsidR="00270405" w:rsidRPr="000D2B58">
        <w:rPr>
          <w:rFonts w:cstheme="minorHAnsi"/>
          <w:sz w:val="24"/>
          <w:szCs w:val="24"/>
          <w:rtl/>
        </w:rPr>
        <w:t>ביצע</w:t>
      </w:r>
      <w:r w:rsidR="00F1327F" w:rsidRPr="000D2B58">
        <w:rPr>
          <w:rFonts w:cstheme="minorHAnsi"/>
          <w:sz w:val="24"/>
          <w:szCs w:val="24"/>
          <w:rtl/>
        </w:rPr>
        <w:t>ו</w:t>
      </w:r>
      <w:r w:rsidR="00270405" w:rsidRPr="000D2B58">
        <w:rPr>
          <w:rFonts w:cstheme="minorHAnsi"/>
          <w:sz w:val="24"/>
          <w:szCs w:val="24"/>
          <w:rtl/>
        </w:rPr>
        <w:t xml:space="preserve"> הסדר חוב </w:t>
      </w:r>
      <w:r w:rsidR="00EA3963" w:rsidRPr="000D2B58">
        <w:rPr>
          <w:rFonts w:cstheme="minorHAnsi"/>
          <w:sz w:val="24"/>
          <w:szCs w:val="24"/>
          <w:rtl/>
        </w:rPr>
        <w:t>שלא במסגרת הליך של חדלות פירעון</w:t>
      </w:r>
      <w:r w:rsidR="00270405" w:rsidRPr="000D2B58">
        <w:rPr>
          <w:rFonts w:cstheme="minorHAnsi"/>
          <w:sz w:val="24"/>
          <w:szCs w:val="24"/>
          <w:rtl/>
        </w:rPr>
        <w:t xml:space="preserve">, כלומר, בתקופת המגעים להסדר, </w:t>
      </w:r>
      <w:r w:rsidR="00047488" w:rsidRPr="000D2B58">
        <w:rPr>
          <w:rFonts w:cstheme="minorHAnsi"/>
          <w:sz w:val="24"/>
          <w:szCs w:val="24"/>
          <w:rtl/>
        </w:rPr>
        <w:t>בעלי השליטה המשיכו בניהול החברה ללא מינוי מנהל מטעם בית המשפט</w:t>
      </w:r>
      <w:r w:rsidR="00270405" w:rsidRPr="000D2B58">
        <w:rPr>
          <w:rFonts w:cstheme="minorHAnsi"/>
          <w:sz w:val="24"/>
          <w:szCs w:val="24"/>
          <w:rtl/>
        </w:rPr>
        <w:t>.</w:t>
      </w:r>
      <w:r w:rsidRPr="000D2B58">
        <w:rPr>
          <w:rFonts w:cstheme="minorHAnsi"/>
          <w:sz w:val="24"/>
          <w:szCs w:val="24"/>
          <w:rtl/>
        </w:rPr>
        <w:t xml:space="preserve"> </w:t>
      </w:r>
      <w:r w:rsidR="00F1327F" w:rsidRPr="000D2B58">
        <w:rPr>
          <w:rFonts w:cstheme="minorHAnsi"/>
          <w:sz w:val="24"/>
          <w:szCs w:val="24"/>
          <w:rtl/>
        </w:rPr>
        <w:t>כשליש מהחברות פורקו</w:t>
      </w:r>
      <w:r w:rsidR="00270405" w:rsidRPr="000D2B58">
        <w:rPr>
          <w:rFonts w:cstheme="minorHAnsi"/>
          <w:sz w:val="24"/>
          <w:szCs w:val="24"/>
          <w:rtl/>
        </w:rPr>
        <w:t xml:space="preserve">, ואילו והיתר, 11% בלבד מהחברות, ביצעו הליך </w:t>
      </w:r>
      <w:r w:rsidR="00793497" w:rsidRPr="000D2B58">
        <w:rPr>
          <w:rFonts w:cstheme="minorHAnsi"/>
          <w:sz w:val="24"/>
          <w:szCs w:val="24"/>
          <w:rtl/>
        </w:rPr>
        <w:t>"</w:t>
      </w:r>
      <w:r w:rsidR="00270405" w:rsidRPr="000D2B58">
        <w:rPr>
          <w:rFonts w:cstheme="minorHAnsi"/>
          <w:sz w:val="24"/>
          <w:szCs w:val="24"/>
          <w:rtl/>
        </w:rPr>
        <w:t>מלא</w:t>
      </w:r>
      <w:r w:rsidR="00793497" w:rsidRPr="000D2B58">
        <w:rPr>
          <w:rFonts w:cstheme="minorHAnsi"/>
          <w:sz w:val="24"/>
          <w:szCs w:val="24"/>
          <w:rtl/>
        </w:rPr>
        <w:t>"</w:t>
      </w:r>
      <w:r w:rsidR="00270405" w:rsidRPr="000D2B58">
        <w:rPr>
          <w:rFonts w:cstheme="minorHAnsi"/>
          <w:sz w:val="24"/>
          <w:szCs w:val="24"/>
          <w:rtl/>
        </w:rPr>
        <w:t xml:space="preserve"> </w:t>
      </w:r>
      <w:r w:rsidR="00047488" w:rsidRPr="000D2B58">
        <w:rPr>
          <w:rFonts w:cstheme="minorHAnsi"/>
          <w:sz w:val="24"/>
          <w:szCs w:val="24"/>
          <w:rtl/>
        </w:rPr>
        <w:t xml:space="preserve">שכלל מינוי </w:t>
      </w:r>
      <w:r w:rsidR="00EA3963" w:rsidRPr="000D2B58">
        <w:rPr>
          <w:rFonts w:cstheme="minorHAnsi"/>
          <w:sz w:val="24"/>
          <w:szCs w:val="24"/>
          <w:rtl/>
        </w:rPr>
        <w:t xml:space="preserve">בעל תפקיד </w:t>
      </w:r>
      <w:r w:rsidR="00047488" w:rsidRPr="000D2B58">
        <w:rPr>
          <w:rFonts w:cstheme="minorHAnsi"/>
          <w:sz w:val="24"/>
          <w:szCs w:val="24"/>
          <w:rtl/>
        </w:rPr>
        <w:t>על ידי בית המשפט</w:t>
      </w:r>
      <w:r w:rsidR="00270405" w:rsidRPr="000D2B58">
        <w:rPr>
          <w:rFonts w:cstheme="minorHAnsi"/>
          <w:sz w:val="24"/>
          <w:szCs w:val="24"/>
          <w:rtl/>
        </w:rPr>
        <w:t xml:space="preserve">. </w:t>
      </w:r>
      <w:r w:rsidR="00C71BD8" w:rsidRPr="000D2B58">
        <w:rPr>
          <w:rFonts w:cstheme="minorHAnsi"/>
          <w:sz w:val="24"/>
          <w:szCs w:val="24"/>
          <w:rtl/>
        </w:rPr>
        <w:t>בהשוואה בינ"ל, בולט השיעור הנמוך של חברות שביצעו הליך</w:t>
      </w:r>
      <w:r w:rsidR="00793497" w:rsidRPr="000D2B58">
        <w:rPr>
          <w:rFonts w:cstheme="minorHAnsi"/>
          <w:sz w:val="24"/>
          <w:szCs w:val="24"/>
          <w:rtl/>
        </w:rPr>
        <w:t xml:space="preserve"> בניהול בית המשפט.</w:t>
      </w:r>
      <w:r w:rsidR="00C71BD8" w:rsidRPr="000D2B58">
        <w:rPr>
          <w:rFonts w:cstheme="minorHAnsi"/>
          <w:sz w:val="24"/>
          <w:szCs w:val="24"/>
          <w:rtl/>
        </w:rPr>
        <w:t xml:space="preserve"> </w:t>
      </w:r>
    </w:p>
    <w:p w14:paraId="3161013D" w14:textId="6CA2ABAA" w:rsidR="004A2CBD" w:rsidRPr="000D2B58" w:rsidRDefault="004A2CBD" w:rsidP="004C073D">
      <w:pPr>
        <w:pStyle w:val="a8"/>
        <w:numPr>
          <w:ilvl w:val="0"/>
          <w:numId w:val="2"/>
        </w:numPr>
        <w:spacing w:after="120" w:line="360" w:lineRule="auto"/>
        <w:jc w:val="both"/>
        <w:rPr>
          <w:rFonts w:cstheme="minorHAnsi"/>
          <w:sz w:val="24"/>
          <w:szCs w:val="24"/>
        </w:rPr>
      </w:pPr>
      <w:r w:rsidRPr="000D2B58">
        <w:rPr>
          <w:rFonts w:cstheme="minorHAnsi"/>
          <w:sz w:val="24"/>
          <w:szCs w:val="24"/>
          <w:rtl/>
        </w:rPr>
        <w:t xml:space="preserve">המחקר מוצא כי קשר פיננסי </w:t>
      </w:r>
      <w:r w:rsidR="00944180" w:rsidRPr="000D2B58">
        <w:rPr>
          <w:rFonts w:cstheme="minorHAnsi"/>
          <w:sz w:val="24"/>
          <w:szCs w:val="24"/>
          <w:rtl/>
        </w:rPr>
        <w:t xml:space="preserve">חזק יותר </w:t>
      </w:r>
      <w:r w:rsidRPr="000D2B58">
        <w:rPr>
          <w:rFonts w:cstheme="minorHAnsi"/>
          <w:sz w:val="24"/>
          <w:szCs w:val="24"/>
          <w:rtl/>
        </w:rPr>
        <w:t xml:space="preserve">של בעלי השליטה </w:t>
      </w:r>
      <w:r w:rsidR="00775DC5" w:rsidRPr="000D2B58">
        <w:rPr>
          <w:rFonts w:cstheme="minorHAnsi"/>
          <w:sz w:val="24"/>
          <w:szCs w:val="24"/>
          <w:rtl/>
        </w:rPr>
        <w:t>ל</w:t>
      </w:r>
      <w:r w:rsidRPr="000D2B58">
        <w:rPr>
          <w:rFonts w:cstheme="minorHAnsi"/>
          <w:sz w:val="24"/>
          <w:szCs w:val="24"/>
          <w:rtl/>
        </w:rPr>
        <w:t>חברה</w:t>
      </w:r>
      <w:r w:rsidR="00944180" w:rsidRPr="000D2B58">
        <w:rPr>
          <w:rFonts w:cstheme="minorHAnsi"/>
          <w:sz w:val="24"/>
          <w:szCs w:val="24"/>
          <w:rtl/>
        </w:rPr>
        <w:t xml:space="preserve"> (שמתבטא ב</w:t>
      </w:r>
      <w:r w:rsidR="00F1327F" w:rsidRPr="000D2B58">
        <w:rPr>
          <w:rFonts w:cstheme="minorHAnsi"/>
          <w:sz w:val="24"/>
          <w:szCs w:val="24"/>
          <w:rtl/>
        </w:rPr>
        <w:t xml:space="preserve">שיעור בעלות גבוה יותר </w:t>
      </w:r>
      <w:r w:rsidR="00047488" w:rsidRPr="000D2B58">
        <w:rPr>
          <w:rFonts w:cstheme="minorHAnsi"/>
          <w:sz w:val="24"/>
          <w:szCs w:val="24"/>
          <w:rtl/>
        </w:rPr>
        <w:t>ובשיעור</w:t>
      </w:r>
      <w:r w:rsidR="00775DC5" w:rsidRPr="000D2B58">
        <w:rPr>
          <w:rFonts w:cstheme="minorHAnsi"/>
          <w:sz w:val="24"/>
          <w:szCs w:val="24"/>
          <w:rtl/>
        </w:rPr>
        <w:t xml:space="preserve"> </w:t>
      </w:r>
      <w:r w:rsidR="00047488" w:rsidRPr="000D2B58">
        <w:rPr>
          <w:rFonts w:cstheme="minorHAnsi"/>
          <w:sz w:val="24"/>
          <w:szCs w:val="24"/>
          <w:rtl/>
        </w:rPr>
        <w:t xml:space="preserve">גדול יותר של </w:t>
      </w:r>
      <w:r w:rsidR="00944180" w:rsidRPr="000D2B58">
        <w:rPr>
          <w:rFonts w:cstheme="minorHAnsi"/>
          <w:sz w:val="24"/>
          <w:szCs w:val="24"/>
          <w:rtl/>
        </w:rPr>
        <w:t xml:space="preserve">חוב </w:t>
      </w:r>
      <w:r w:rsidR="00047488" w:rsidRPr="000D2B58">
        <w:rPr>
          <w:rFonts w:cstheme="minorHAnsi"/>
          <w:sz w:val="24"/>
          <w:szCs w:val="24"/>
          <w:rtl/>
        </w:rPr>
        <w:t>שהחברה חייבת לגורמים ב</w:t>
      </w:r>
      <w:r w:rsidR="00F1327F" w:rsidRPr="000D2B58">
        <w:rPr>
          <w:rFonts w:cstheme="minorHAnsi"/>
          <w:sz w:val="24"/>
          <w:szCs w:val="24"/>
          <w:rtl/>
        </w:rPr>
        <w:t>תוך ה</w:t>
      </w:r>
      <w:r w:rsidR="00047488" w:rsidRPr="000D2B58">
        <w:rPr>
          <w:rFonts w:cstheme="minorHAnsi"/>
          <w:sz w:val="24"/>
          <w:szCs w:val="24"/>
          <w:rtl/>
        </w:rPr>
        <w:t xml:space="preserve">קבוצה </w:t>
      </w:r>
      <w:r w:rsidR="00F1327F" w:rsidRPr="000D2B58">
        <w:rPr>
          <w:rFonts w:cstheme="minorHAnsi"/>
          <w:sz w:val="24"/>
          <w:szCs w:val="24"/>
          <w:rtl/>
        </w:rPr>
        <w:t>ה</w:t>
      </w:r>
      <w:r w:rsidR="00047488" w:rsidRPr="000D2B58">
        <w:rPr>
          <w:rFonts w:cstheme="minorHAnsi"/>
          <w:sz w:val="24"/>
          <w:szCs w:val="24"/>
          <w:rtl/>
        </w:rPr>
        <w:t>עסקית</w:t>
      </w:r>
      <w:r w:rsidR="00944180" w:rsidRPr="000D2B58">
        <w:rPr>
          <w:rFonts w:cstheme="minorHAnsi"/>
          <w:sz w:val="24"/>
          <w:szCs w:val="24"/>
          <w:rtl/>
        </w:rPr>
        <w:t xml:space="preserve">) מתואם עם </w:t>
      </w:r>
      <w:r w:rsidR="00F1327F" w:rsidRPr="000D2B58">
        <w:rPr>
          <w:rFonts w:cstheme="minorHAnsi"/>
          <w:sz w:val="24"/>
          <w:szCs w:val="24"/>
          <w:rtl/>
        </w:rPr>
        <w:t>סבירות גבוהה יותר לבצע</w:t>
      </w:r>
      <w:r w:rsidR="00857BEA" w:rsidRPr="000D2B58">
        <w:rPr>
          <w:rFonts w:cstheme="minorHAnsi"/>
          <w:sz w:val="24"/>
          <w:szCs w:val="24"/>
          <w:rtl/>
        </w:rPr>
        <w:t xml:space="preserve"> הסדר </w:t>
      </w:r>
      <w:r w:rsidR="004C073D" w:rsidRPr="000D2B58">
        <w:rPr>
          <w:rFonts w:cstheme="minorHAnsi"/>
          <w:sz w:val="24"/>
          <w:szCs w:val="24"/>
          <w:rtl/>
        </w:rPr>
        <w:t>ללא מינוי בעל תפקיד</w:t>
      </w:r>
      <w:r w:rsidR="00047488" w:rsidRPr="000D2B58">
        <w:rPr>
          <w:rFonts w:cstheme="minorHAnsi"/>
          <w:sz w:val="24"/>
          <w:szCs w:val="24"/>
          <w:rtl/>
        </w:rPr>
        <w:t>, כלומר, במעורבות מינימלית של בית המשפט</w:t>
      </w:r>
      <w:r w:rsidR="00270405" w:rsidRPr="000D2B58">
        <w:rPr>
          <w:rFonts w:cstheme="minorHAnsi"/>
          <w:sz w:val="24"/>
          <w:szCs w:val="24"/>
          <w:rtl/>
        </w:rPr>
        <w:t xml:space="preserve">. </w:t>
      </w:r>
      <w:r w:rsidR="00793497" w:rsidRPr="000D2B58">
        <w:rPr>
          <w:rFonts w:cstheme="minorHAnsi"/>
          <w:sz w:val="24"/>
          <w:szCs w:val="24"/>
          <w:rtl/>
        </w:rPr>
        <w:t>בנוסף</w:t>
      </w:r>
      <w:r w:rsidR="00047488" w:rsidRPr="000D2B58">
        <w:rPr>
          <w:rFonts w:cstheme="minorHAnsi"/>
          <w:sz w:val="24"/>
          <w:szCs w:val="24"/>
          <w:rtl/>
        </w:rPr>
        <w:t>,</w:t>
      </w:r>
      <w:r w:rsidR="00793497" w:rsidRPr="000D2B58">
        <w:rPr>
          <w:rFonts w:cstheme="minorHAnsi"/>
          <w:sz w:val="24"/>
          <w:szCs w:val="24"/>
          <w:rtl/>
        </w:rPr>
        <w:t xml:space="preserve"> </w:t>
      </w:r>
      <w:r w:rsidR="00944180" w:rsidRPr="000D2B58">
        <w:rPr>
          <w:rFonts w:cstheme="minorHAnsi"/>
          <w:sz w:val="24"/>
          <w:szCs w:val="24"/>
          <w:rtl/>
        </w:rPr>
        <w:t>קשר כזה מעלה את</w:t>
      </w:r>
      <w:r w:rsidR="00793497" w:rsidRPr="000D2B58">
        <w:rPr>
          <w:rFonts w:cstheme="minorHAnsi"/>
          <w:sz w:val="24"/>
          <w:szCs w:val="24"/>
          <w:rtl/>
        </w:rPr>
        <w:t xml:space="preserve"> ההסתברות </w:t>
      </w:r>
      <w:r w:rsidR="00270405" w:rsidRPr="000D2B58">
        <w:rPr>
          <w:rFonts w:cstheme="minorHAnsi"/>
          <w:sz w:val="24"/>
          <w:szCs w:val="24"/>
          <w:rtl/>
        </w:rPr>
        <w:t xml:space="preserve">שבסיום ההסדר, החברה </w:t>
      </w:r>
      <w:r w:rsidR="00775DC5" w:rsidRPr="000D2B58">
        <w:rPr>
          <w:rFonts w:cstheme="minorHAnsi"/>
          <w:sz w:val="24"/>
          <w:szCs w:val="24"/>
          <w:rtl/>
        </w:rPr>
        <w:t>נותרת תחת אותם בעלי</w:t>
      </w:r>
      <w:r w:rsidR="00F1327F" w:rsidRPr="000D2B58">
        <w:rPr>
          <w:rFonts w:cstheme="minorHAnsi"/>
          <w:sz w:val="24"/>
          <w:szCs w:val="24"/>
          <w:rtl/>
        </w:rPr>
        <w:t>ם</w:t>
      </w:r>
      <w:r w:rsidR="00270405" w:rsidRPr="000D2B58">
        <w:rPr>
          <w:rFonts w:cstheme="minorHAnsi"/>
          <w:sz w:val="24"/>
          <w:szCs w:val="24"/>
          <w:rtl/>
        </w:rPr>
        <w:t>.</w:t>
      </w:r>
      <w:r w:rsidR="00857BEA" w:rsidRPr="000D2B58">
        <w:rPr>
          <w:rFonts w:cstheme="minorHAnsi"/>
          <w:sz w:val="24"/>
          <w:szCs w:val="24"/>
          <w:rtl/>
        </w:rPr>
        <w:t xml:space="preserve"> </w:t>
      </w:r>
    </w:p>
    <w:p w14:paraId="610EDB19" w14:textId="37A09C42" w:rsidR="00B25463" w:rsidRPr="000D2B58" w:rsidRDefault="00C71BD8" w:rsidP="00F1327F">
      <w:pPr>
        <w:pStyle w:val="a8"/>
        <w:numPr>
          <w:ilvl w:val="0"/>
          <w:numId w:val="2"/>
        </w:numPr>
        <w:spacing w:after="120" w:line="360" w:lineRule="auto"/>
        <w:jc w:val="both"/>
        <w:rPr>
          <w:rFonts w:cstheme="minorHAnsi"/>
          <w:sz w:val="24"/>
          <w:szCs w:val="24"/>
        </w:rPr>
      </w:pPr>
      <w:r w:rsidRPr="000D2B58">
        <w:rPr>
          <w:rFonts w:cstheme="minorHAnsi"/>
          <w:sz w:val="24"/>
          <w:szCs w:val="24"/>
          <w:rtl/>
        </w:rPr>
        <w:t>המחקר בוחן את השאלה האם קיים מתאם בין שאלת שינוי השליטה במהלך הסדר החוב לבין תוצאות ההסדר</w:t>
      </w:r>
      <w:r w:rsidR="004C073D" w:rsidRPr="000D2B58">
        <w:rPr>
          <w:rFonts w:cstheme="minorHAnsi"/>
          <w:sz w:val="24"/>
          <w:szCs w:val="24"/>
          <w:rtl/>
        </w:rPr>
        <w:t>.</w:t>
      </w:r>
      <w:r w:rsidRPr="000D2B58">
        <w:rPr>
          <w:rFonts w:cstheme="minorHAnsi"/>
          <w:sz w:val="24"/>
          <w:szCs w:val="24"/>
          <w:rtl/>
        </w:rPr>
        <w:t xml:space="preserve"> </w:t>
      </w:r>
      <w:r w:rsidR="00270405" w:rsidRPr="000D2B58">
        <w:rPr>
          <w:rFonts w:cstheme="minorHAnsi"/>
          <w:sz w:val="24"/>
          <w:szCs w:val="24"/>
          <w:rtl/>
        </w:rPr>
        <w:t xml:space="preserve">בהקשר זה </w:t>
      </w:r>
      <w:r w:rsidRPr="000D2B58">
        <w:rPr>
          <w:rFonts w:cstheme="minorHAnsi"/>
          <w:sz w:val="24"/>
          <w:szCs w:val="24"/>
          <w:rtl/>
        </w:rPr>
        <w:t xml:space="preserve">המחקר מצביע על הממצאים הבאים: </w:t>
      </w:r>
    </w:p>
    <w:p w14:paraId="5B00D086" w14:textId="0031A289" w:rsidR="00B25463" w:rsidRPr="000D2B58" w:rsidRDefault="00C71BD8" w:rsidP="004C073D">
      <w:pPr>
        <w:pStyle w:val="a8"/>
        <w:numPr>
          <w:ilvl w:val="1"/>
          <w:numId w:val="3"/>
        </w:numPr>
        <w:spacing w:after="120" w:line="360" w:lineRule="auto"/>
        <w:jc w:val="both"/>
        <w:rPr>
          <w:rFonts w:cstheme="minorHAnsi"/>
          <w:sz w:val="24"/>
          <w:szCs w:val="24"/>
        </w:rPr>
      </w:pPr>
      <w:r w:rsidRPr="000D2B58">
        <w:rPr>
          <w:rFonts w:cstheme="minorHAnsi"/>
          <w:sz w:val="24"/>
          <w:szCs w:val="24"/>
          <w:rtl/>
        </w:rPr>
        <w:t xml:space="preserve">חברות שבהן לא התחלפה השליטה הניבו למחזיקי </w:t>
      </w:r>
      <w:proofErr w:type="spellStart"/>
      <w:r w:rsidRPr="000D2B58">
        <w:rPr>
          <w:rFonts w:cstheme="minorHAnsi"/>
          <w:sz w:val="24"/>
          <w:szCs w:val="24"/>
          <w:rtl/>
        </w:rPr>
        <w:t>האג"ח</w:t>
      </w:r>
      <w:proofErr w:type="spellEnd"/>
      <w:r w:rsidRPr="000D2B58">
        <w:rPr>
          <w:rFonts w:cstheme="minorHAnsi"/>
          <w:sz w:val="24"/>
          <w:szCs w:val="24"/>
          <w:rtl/>
        </w:rPr>
        <w:t xml:space="preserve"> תשלום גבוה יותר. </w:t>
      </w:r>
    </w:p>
    <w:p w14:paraId="75326F63" w14:textId="67D0521C" w:rsidR="00B25463" w:rsidRPr="000D2B58" w:rsidRDefault="00B25463" w:rsidP="004C073D">
      <w:pPr>
        <w:pStyle w:val="a8"/>
        <w:numPr>
          <w:ilvl w:val="1"/>
          <w:numId w:val="3"/>
        </w:numPr>
        <w:spacing w:after="120" w:line="360" w:lineRule="auto"/>
        <w:jc w:val="both"/>
        <w:rPr>
          <w:rFonts w:cstheme="minorHAnsi"/>
          <w:sz w:val="24"/>
          <w:szCs w:val="24"/>
        </w:rPr>
      </w:pPr>
      <w:r w:rsidRPr="000D2B58">
        <w:rPr>
          <w:rFonts w:cstheme="minorHAnsi"/>
          <w:sz w:val="24"/>
          <w:szCs w:val="24"/>
          <w:rtl/>
        </w:rPr>
        <w:t xml:space="preserve">מנגד, </w:t>
      </w:r>
      <w:r w:rsidR="00C71BD8" w:rsidRPr="000D2B58">
        <w:rPr>
          <w:rFonts w:cstheme="minorHAnsi"/>
          <w:sz w:val="24"/>
          <w:szCs w:val="24"/>
          <w:rtl/>
        </w:rPr>
        <w:t xml:space="preserve">הליך ארגון החוב בחברות אלו היה כרוך בפגיעה </w:t>
      </w:r>
      <w:r w:rsidR="00793497" w:rsidRPr="000D2B58">
        <w:rPr>
          <w:rFonts w:cstheme="minorHAnsi"/>
          <w:sz w:val="24"/>
          <w:szCs w:val="24"/>
          <w:rtl/>
        </w:rPr>
        <w:t xml:space="preserve">גדולה יותר </w:t>
      </w:r>
      <w:r w:rsidR="00C71BD8" w:rsidRPr="000D2B58">
        <w:rPr>
          <w:rFonts w:cstheme="minorHAnsi"/>
          <w:sz w:val="24"/>
          <w:szCs w:val="24"/>
          <w:rtl/>
        </w:rPr>
        <w:t xml:space="preserve">בעיקרון סדר הנשייה - בעלי מניות מיעוט שמרו על נתח בחברה למרות שלא תרמו לה הון ובעוד שהנושים </w:t>
      </w:r>
      <w:r w:rsidR="00793497" w:rsidRPr="000D2B58">
        <w:rPr>
          <w:rFonts w:cstheme="minorHAnsi"/>
          <w:sz w:val="24"/>
          <w:szCs w:val="24"/>
          <w:rtl/>
        </w:rPr>
        <w:t>חוו</w:t>
      </w:r>
      <w:r w:rsidR="00C71BD8" w:rsidRPr="000D2B58">
        <w:rPr>
          <w:rFonts w:cstheme="minorHAnsi"/>
          <w:sz w:val="24"/>
          <w:szCs w:val="24"/>
          <w:rtl/>
        </w:rPr>
        <w:t xml:space="preserve"> "תספורת". </w:t>
      </w:r>
    </w:p>
    <w:p w14:paraId="0BFB4C19" w14:textId="4DD4BBB8" w:rsidR="00C71BD8" w:rsidRPr="000D2B58" w:rsidRDefault="00C71BD8" w:rsidP="004C073D">
      <w:pPr>
        <w:pStyle w:val="a8"/>
        <w:numPr>
          <w:ilvl w:val="1"/>
          <w:numId w:val="3"/>
        </w:numPr>
        <w:spacing w:after="120" w:line="360" w:lineRule="auto"/>
        <w:jc w:val="both"/>
        <w:rPr>
          <w:rFonts w:cstheme="minorHAnsi"/>
          <w:sz w:val="24"/>
          <w:szCs w:val="24"/>
        </w:rPr>
      </w:pPr>
      <w:r w:rsidRPr="000D2B58">
        <w:rPr>
          <w:rFonts w:cstheme="minorHAnsi"/>
          <w:sz w:val="24"/>
          <w:szCs w:val="24"/>
          <w:rtl/>
        </w:rPr>
        <w:t xml:space="preserve">בחברות אלו הליך ההבראה היה אפקטיבי פחות בהשוואה לחברות בהן בעלי השליטה התחלפו. </w:t>
      </w:r>
    </w:p>
    <w:p w14:paraId="41DEFD20" w14:textId="12BA7E21" w:rsidR="00B25463" w:rsidRPr="000D2B58" w:rsidRDefault="00B25463" w:rsidP="00B25463">
      <w:pPr>
        <w:spacing w:after="120" w:line="360" w:lineRule="auto"/>
        <w:jc w:val="both"/>
        <w:rPr>
          <w:rFonts w:cstheme="minorHAnsi"/>
          <w:sz w:val="24"/>
          <w:szCs w:val="24"/>
          <w:rtl/>
        </w:rPr>
      </w:pPr>
      <w:r w:rsidRPr="000D2B58">
        <w:rPr>
          <w:rFonts w:cstheme="minorHAnsi"/>
          <w:sz w:val="24"/>
          <w:szCs w:val="24"/>
          <w:rtl/>
        </w:rPr>
        <w:t xml:space="preserve">במדגם הסופי נכללו 123 חברות שהנפיקו אג"ח לציבור, מהן </w:t>
      </w:r>
      <w:r w:rsidRPr="000D2B58">
        <w:rPr>
          <w:rFonts w:cstheme="minorHAnsi"/>
          <w:sz w:val="24"/>
          <w:szCs w:val="24"/>
        </w:rPr>
        <w:t xml:space="preserve">98 </w:t>
      </w:r>
      <w:r w:rsidRPr="000D2B58">
        <w:rPr>
          <w:rFonts w:cstheme="minorHAnsi"/>
          <w:sz w:val="24"/>
          <w:szCs w:val="24"/>
          <w:rtl/>
        </w:rPr>
        <w:t xml:space="preserve"> חברות ציבוריות ו-25 חברות אג"ח פרטיות. חלק גדול מהחברות במדגם סווגו כחברות נדל"ן, חברות בנייה או חברות אחזקה. בולטת נוכחותן של חברות </w:t>
      </w:r>
      <w:r w:rsidRPr="000D2B58">
        <w:rPr>
          <w:rFonts w:cstheme="minorHAnsi"/>
          <w:sz w:val="24"/>
          <w:szCs w:val="24"/>
          <w:rtl/>
        </w:rPr>
        <w:lastRenderedPageBreak/>
        <w:t xml:space="preserve">נדל"ן יזמי בחו"ל. שיעור החוב במצוקה מסך </w:t>
      </w:r>
      <w:proofErr w:type="spellStart"/>
      <w:r w:rsidRPr="000D2B58">
        <w:rPr>
          <w:rFonts w:cstheme="minorHAnsi"/>
          <w:sz w:val="24"/>
          <w:szCs w:val="24"/>
          <w:rtl/>
        </w:rPr>
        <w:t>האג"ח</w:t>
      </w:r>
      <w:proofErr w:type="spellEnd"/>
      <w:r w:rsidRPr="000D2B58">
        <w:rPr>
          <w:rFonts w:cstheme="minorHAnsi"/>
          <w:sz w:val="24"/>
          <w:szCs w:val="24"/>
          <w:rtl/>
        </w:rPr>
        <w:t xml:space="preserve"> </w:t>
      </w:r>
      <w:r w:rsidR="00474663" w:rsidRPr="000D2B58">
        <w:rPr>
          <w:rFonts w:cstheme="minorHAnsi"/>
          <w:sz w:val="24"/>
          <w:szCs w:val="24"/>
          <w:rtl/>
        </w:rPr>
        <w:t xml:space="preserve">שנסחר בשוק </w:t>
      </w:r>
      <w:r w:rsidRPr="000D2B58">
        <w:rPr>
          <w:rFonts w:cstheme="minorHAnsi"/>
          <w:sz w:val="24"/>
          <w:szCs w:val="24"/>
          <w:rtl/>
        </w:rPr>
        <w:t>עמד על אחוז וחצי בממוצע לתקופה בכללותה, והגיע לשיא של שישה אחוזים ב-2009.</w:t>
      </w:r>
    </w:p>
    <w:p w14:paraId="5FC08457" w14:textId="5488F310" w:rsidR="00A85364" w:rsidRPr="000D2B58" w:rsidRDefault="00A85364" w:rsidP="00B25463">
      <w:pPr>
        <w:spacing w:after="120" w:line="360" w:lineRule="auto"/>
        <w:jc w:val="both"/>
        <w:rPr>
          <w:rFonts w:cstheme="minorHAnsi"/>
          <w:sz w:val="24"/>
          <w:szCs w:val="24"/>
          <w:rtl/>
        </w:rPr>
      </w:pPr>
      <w:r w:rsidRPr="000D2B58">
        <w:rPr>
          <w:rFonts w:cstheme="minorHAnsi"/>
          <w:sz w:val="24"/>
          <w:szCs w:val="24"/>
          <w:rtl/>
        </w:rPr>
        <w:t xml:space="preserve">רשימת החברות על סף חדלות פירעון נאספה באופן ידני בבנק ישראל, על סמך </w:t>
      </w:r>
      <w:r w:rsidR="00B25463" w:rsidRPr="000D2B58">
        <w:rPr>
          <w:rFonts w:cstheme="minorHAnsi"/>
          <w:sz w:val="24"/>
          <w:szCs w:val="24"/>
          <w:rtl/>
        </w:rPr>
        <w:t xml:space="preserve">פרסומי </w:t>
      </w:r>
      <w:r w:rsidRPr="000D2B58">
        <w:rPr>
          <w:rFonts w:cstheme="minorHAnsi"/>
          <w:sz w:val="24"/>
          <w:szCs w:val="24"/>
          <w:rtl/>
        </w:rPr>
        <w:t xml:space="preserve">הודעות החברות לציבור. רשימה זו מכילה חברות שפורקו או שעסקיהן אורגנו מחדש לפי סעיף 350 לחוק החברות (הסדר מחוץ או </w:t>
      </w:r>
      <w:r w:rsidR="006703CD" w:rsidRPr="000D2B58">
        <w:rPr>
          <w:rFonts w:cstheme="minorHAnsi"/>
          <w:sz w:val="24"/>
          <w:szCs w:val="24"/>
          <w:rtl/>
        </w:rPr>
        <w:t>בניהול</w:t>
      </w:r>
      <w:r w:rsidRPr="000D2B58">
        <w:rPr>
          <w:rFonts w:cstheme="minorHAnsi"/>
          <w:sz w:val="24"/>
          <w:szCs w:val="24"/>
          <w:rtl/>
        </w:rPr>
        <w:t xml:space="preserve"> בית המשפט). </w:t>
      </w:r>
      <w:r w:rsidR="00B25463" w:rsidRPr="000D2B58">
        <w:rPr>
          <w:rFonts w:cstheme="minorHAnsi"/>
          <w:sz w:val="24"/>
          <w:szCs w:val="24"/>
          <w:rtl/>
        </w:rPr>
        <w:t>ה</w:t>
      </w:r>
      <w:r w:rsidRPr="000D2B58">
        <w:rPr>
          <w:rFonts w:cstheme="minorHAnsi"/>
          <w:sz w:val="24"/>
          <w:szCs w:val="24"/>
          <w:rtl/>
        </w:rPr>
        <w:t xml:space="preserve">רשימה </w:t>
      </w:r>
      <w:r w:rsidR="00B25463" w:rsidRPr="000D2B58">
        <w:rPr>
          <w:rFonts w:cstheme="minorHAnsi"/>
          <w:sz w:val="24"/>
          <w:szCs w:val="24"/>
          <w:rtl/>
        </w:rPr>
        <w:t xml:space="preserve">אף </w:t>
      </w:r>
      <w:r w:rsidRPr="000D2B58">
        <w:rPr>
          <w:rFonts w:cstheme="minorHAnsi"/>
          <w:sz w:val="24"/>
          <w:szCs w:val="24"/>
          <w:rtl/>
        </w:rPr>
        <w:t xml:space="preserve">הוצלבה עם מערך נתונים אחר שנאסף באוניברסיטת תל אביב, בהתבסס על פניות לבית המשפט </w:t>
      </w:r>
      <w:r w:rsidR="001F24F8" w:rsidRPr="000D2B58">
        <w:rPr>
          <w:rFonts w:cstheme="minorHAnsi"/>
          <w:sz w:val="24"/>
          <w:szCs w:val="24"/>
          <w:rtl/>
        </w:rPr>
        <w:t>על ידי</w:t>
      </w:r>
      <w:r w:rsidRPr="000D2B58">
        <w:rPr>
          <w:rFonts w:cstheme="minorHAnsi"/>
          <w:sz w:val="24"/>
          <w:szCs w:val="24"/>
          <w:rtl/>
        </w:rPr>
        <w:t xml:space="preserve"> חברות שסיימו הסדר לפי סעיף 350 לחוק החברות.</w:t>
      </w:r>
    </w:p>
    <w:p w14:paraId="24E18288" w14:textId="7A76EEDD" w:rsidR="006D5194" w:rsidRPr="000D2B58" w:rsidRDefault="006D5748" w:rsidP="00E3758D">
      <w:pPr>
        <w:spacing w:after="120" w:line="360" w:lineRule="auto"/>
        <w:jc w:val="center"/>
        <w:rPr>
          <w:rFonts w:cstheme="minorHAnsi"/>
          <w:sz w:val="24"/>
          <w:szCs w:val="24"/>
          <w:rtl/>
        </w:rPr>
      </w:pPr>
      <w:r w:rsidRPr="000D2B58">
        <w:rPr>
          <w:rFonts w:cstheme="minorHAnsi"/>
          <w:noProof/>
        </w:rPr>
        <w:drawing>
          <wp:inline distT="0" distB="0" distL="0" distR="0" wp14:anchorId="3FB69A7B" wp14:editId="1F37B8AA">
            <wp:extent cx="4500499" cy="3600000"/>
            <wp:effectExtent l="0" t="0" r="0"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0499" cy="3600000"/>
                    </a:xfrm>
                    <a:prstGeom prst="rect">
                      <a:avLst/>
                    </a:prstGeom>
                  </pic:spPr>
                </pic:pic>
              </a:graphicData>
            </a:graphic>
          </wp:inline>
        </w:drawing>
      </w:r>
    </w:p>
    <w:p w14:paraId="63DC9444" w14:textId="74A2FE0D" w:rsidR="004C073D" w:rsidRPr="000D2B58" w:rsidRDefault="004C073D" w:rsidP="00E3758D">
      <w:pPr>
        <w:pStyle w:val="af6"/>
        <w:jc w:val="both"/>
        <w:rPr>
          <w:rFonts w:cstheme="minorHAnsi"/>
          <w:sz w:val="24"/>
          <w:szCs w:val="24"/>
        </w:rPr>
      </w:pPr>
      <w:r w:rsidRPr="000D2B58">
        <w:rPr>
          <w:rFonts w:cstheme="minorHAnsi"/>
          <w:rtl/>
        </w:rPr>
        <w:t xml:space="preserve">מקור נתונים: </w:t>
      </w:r>
      <w:r w:rsidR="001D70C0" w:rsidRPr="000D2B58">
        <w:rPr>
          <w:rFonts w:cstheme="minorHAnsi"/>
          <w:rtl/>
        </w:rPr>
        <w:t xml:space="preserve">הודעות החברות לציבור ועיבודי </w:t>
      </w:r>
      <w:r w:rsidRPr="000D2B58">
        <w:rPr>
          <w:rFonts w:cstheme="minorHAnsi"/>
          <w:rtl/>
        </w:rPr>
        <w:t>בנק ישראל</w:t>
      </w:r>
    </w:p>
    <w:p w14:paraId="1E1CAB11" w14:textId="765AD3DA" w:rsidR="00DF687A" w:rsidRPr="000D2B58" w:rsidRDefault="00DF687A" w:rsidP="00F53B4A">
      <w:pPr>
        <w:spacing w:after="120" w:line="360" w:lineRule="auto"/>
        <w:jc w:val="center"/>
        <w:rPr>
          <w:rFonts w:cstheme="minorHAnsi"/>
          <w:sz w:val="24"/>
          <w:szCs w:val="24"/>
        </w:rPr>
      </w:pPr>
    </w:p>
    <w:p w14:paraId="3F7AFE2A" w14:textId="3F95A777" w:rsidR="001F24F8" w:rsidRPr="000D2B58" w:rsidRDefault="001F24F8" w:rsidP="00EA3963">
      <w:pPr>
        <w:spacing w:after="120" w:line="360" w:lineRule="auto"/>
        <w:jc w:val="both"/>
        <w:rPr>
          <w:rFonts w:cstheme="minorHAnsi"/>
          <w:sz w:val="24"/>
          <w:szCs w:val="24"/>
          <w:rtl/>
        </w:rPr>
      </w:pPr>
      <w:r w:rsidRPr="000D2B58">
        <w:rPr>
          <w:rFonts w:cstheme="minorHAnsi"/>
          <w:sz w:val="24"/>
          <w:szCs w:val="24"/>
          <w:rtl/>
        </w:rPr>
        <w:t xml:space="preserve">בשלב הראשון המחקר בוחן </w:t>
      </w:r>
      <w:r w:rsidR="0010067A" w:rsidRPr="000D2B58">
        <w:rPr>
          <w:rFonts w:cstheme="minorHAnsi"/>
          <w:sz w:val="24"/>
          <w:szCs w:val="24"/>
          <w:rtl/>
        </w:rPr>
        <w:t xml:space="preserve">את הבחירה בהליך המשפטי במסגרתו פתרה </w:t>
      </w:r>
      <w:r w:rsidR="00F1327F" w:rsidRPr="000D2B58">
        <w:rPr>
          <w:rFonts w:cstheme="minorHAnsi"/>
          <w:sz w:val="24"/>
          <w:szCs w:val="24"/>
          <w:rtl/>
        </w:rPr>
        <w:t>ה</w:t>
      </w:r>
      <w:r w:rsidR="0010067A" w:rsidRPr="000D2B58">
        <w:rPr>
          <w:rFonts w:cstheme="minorHAnsi"/>
          <w:sz w:val="24"/>
          <w:szCs w:val="24"/>
          <w:rtl/>
        </w:rPr>
        <w:t xml:space="preserve">חברה את </w:t>
      </w:r>
      <w:r w:rsidR="00775DC5" w:rsidRPr="000D2B58">
        <w:rPr>
          <w:rFonts w:cstheme="minorHAnsi"/>
          <w:sz w:val="24"/>
          <w:szCs w:val="24"/>
          <w:rtl/>
        </w:rPr>
        <w:t xml:space="preserve">המצוקה הפיננסית. שלוש האפשרויות שעומדות </w:t>
      </w:r>
      <w:r w:rsidR="00764859" w:rsidRPr="000D2B58">
        <w:rPr>
          <w:rFonts w:cstheme="minorHAnsi"/>
          <w:sz w:val="24"/>
          <w:szCs w:val="24"/>
          <w:rtl/>
        </w:rPr>
        <w:t>בפני</w:t>
      </w:r>
      <w:r w:rsidR="00775DC5" w:rsidRPr="000D2B58">
        <w:rPr>
          <w:rFonts w:cstheme="minorHAnsi"/>
          <w:sz w:val="24"/>
          <w:szCs w:val="24"/>
          <w:rtl/>
        </w:rPr>
        <w:t xml:space="preserve"> החבר</w:t>
      </w:r>
      <w:r w:rsidR="00F90FCD" w:rsidRPr="000D2B58">
        <w:rPr>
          <w:rFonts w:cstheme="minorHAnsi"/>
          <w:sz w:val="24"/>
          <w:szCs w:val="24"/>
          <w:rtl/>
        </w:rPr>
        <w:t>ה</w:t>
      </w:r>
      <w:r w:rsidR="00775DC5" w:rsidRPr="000D2B58">
        <w:rPr>
          <w:rFonts w:cstheme="minorHAnsi"/>
          <w:sz w:val="24"/>
          <w:szCs w:val="24"/>
          <w:rtl/>
        </w:rPr>
        <w:t xml:space="preserve"> הן</w:t>
      </w:r>
      <w:r w:rsidR="0010067A" w:rsidRPr="000D2B58">
        <w:rPr>
          <w:rFonts w:cstheme="minorHAnsi"/>
          <w:sz w:val="24"/>
          <w:szCs w:val="24"/>
          <w:rtl/>
        </w:rPr>
        <w:t xml:space="preserve"> הסדר חוב מחוץ לבית המשפט, הסדר חוב </w:t>
      </w:r>
      <w:r w:rsidR="00EA3963" w:rsidRPr="000D2B58">
        <w:rPr>
          <w:rFonts w:cstheme="minorHAnsi"/>
          <w:sz w:val="24"/>
          <w:szCs w:val="24"/>
          <w:rtl/>
        </w:rPr>
        <w:t>תחת צו הקפאה</w:t>
      </w:r>
      <w:r w:rsidR="00EA3963" w:rsidRPr="000D2B58" w:rsidDel="00EA3963">
        <w:rPr>
          <w:rFonts w:cstheme="minorHAnsi"/>
          <w:sz w:val="24"/>
          <w:szCs w:val="24"/>
          <w:rtl/>
        </w:rPr>
        <w:t xml:space="preserve"> </w:t>
      </w:r>
      <w:r w:rsidR="0010067A" w:rsidRPr="000D2B58">
        <w:rPr>
          <w:rFonts w:cstheme="minorHAnsi"/>
          <w:sz w:val="24"/>
          <w:szCs w:val="24"/>
          <w:rtl/>
        </w:rPr>
        <w:t xml:space="preserve">(במסגרתו </w:t>
      </w:r>
      <w:r w:rsidR="00F90FCD" w:rsidRPr="000D2B58">
        <w:rPr>
          <w:rFonts w:cstheme="minorHAnsi"/>
          <w:sz w:val="24"/>
          <w:szCs w:val="24"/>
          <w:rtl/>
        </w:rPr>
        <w:t>מ</w:t>
      </w:r>
      <w:r w:rsidR="00764859" w:rsidRPr="000D2B58">
        <w:rPr>
          <w:rFonts w:cstheme="minorHAnsi"/>
          <w:sz w:val="24"/>
          <w:szCs w:val="24"/>
          <w:rtl/>
        </w:rPr>
        <w:t>מונה בעל תפקיד</w:t>
      </w:r>
      <w:r w:rsidR="0010067A" w:rsidRPr="000D2B58">
        <w:rPr>
          <w:rFonts w:cstheme="minorHAnsi"/>
          <w:sz w:val="24"/>
          <w:szCs w:val="24"/>
          <w:rtl/>
        </w:rPr>
        <w:t>) ופירוק.</w:t>
      </w:r>
      <w:r w:rsidR="00775DC5" w:rsidRPr="000D2B58">
        <w:rPr>
          <w:rFonts w:cstheme="minorHAnsi"/>
          <w:sz w:val="24"/>
          <w:szCs w:val="24"/>
          <w:rtl/>
        </w:rPr>
        <w:t xml:space="preserve"> </w:t>
      </w:r>
      <w:r w:rsidR="00F90FCD" w:rsidRPr="000D2B58">
        <w:rPr>
          <w:rFonts w:cstheme="minorHAnsi"/>
          <w:sz w:val="24"/>
          <w:szCs w:val="24"/>
          <w:rtl/>
        </w:rPr>
        <w:t>סביר להניח כי בעלי השליטה יעדיפו להימנע מפירוק החברה עד כמה שניתן</w:t>
      </w:r>
      <w:r w:rsidR="00B25463" w:rsidRPr="000D2B58">
        <w:rPr>
          <w:rFonts w:cstheme="minorHAnsi"/>
          <w:sz w:val="24"/>
          <w:szCs w:val="24"/>
          <w:rtl/>
        </w:rPr>
        <w:t>,</w:t>
      </w:r>
      <w:r w:rsidR="00F90FCD" w:rsidRPr="000D2B58">
        <w:rPr>
          <w:rFonts w:cstheme="minorHAnsi"/>
          <w:sz w:val="24"/>
          <w:szCs w:val="24"/>
          <w:rtl/>
        </w:rPr>
        <w:t xml:space="preserve"> כיוון שבמצב כזה </w:t>
      </w:r>
      <w:r w:rsidR="00F1327F" w:rsidRPr="000D2B58">
        <w:rPr>
          <w:rFonts w:cstheme="minorHAnsi"/>
          <w:sz w:val="24"/>
          <w:szCs w:val="24"/>
          <w:rtl/>
        </w:rPr>
        <w:t xml:space="preserve">נלקח מהם ניהול החברה </w:t>
      </w:r>
      <w:r w:rsidR="00764859" w:rsidRPr="000D2B58">
        <w:rPr>
          <w:rFonts w:cstheme="minorHAnsi"/>
          <w:sz w:val="24"/>
          <w:szCs w:val="24"/>
          <w:rtl/>
        </w:rPr>
        <w:t xml:space="preserve">ובסבירות גבוהה </w:t>
      </w:r>
      <w:r w:rsidR="00F1327F" w:rsidRPr="000D2B58">
        <w:rPr>
          <w:rFonts w:cstheme="minorHAnsi"/>
          <w:sz w:val="24"/>
          <w:szCs w:val="24"/>
          <w:rtl/>
        </w:rPr>
        <w:t xml:space="preserve">הם </w:t>
      </w:r>
      <w:r w:rsidR="00764859" w:rsidRPr="000D2B58">
        <w:rPr>
          <w:rFonts w:cstheme="minorHAnsi"/>
          <w:sz w:val="24"/>
          <w:szCs w:val="24"/>
          <w:rtl/>
        </w:rPr>
        <w:t>גם לא יקבלו תמורה פיננסית</w:t>
      </w:r>
      <w:r w:rsidR="00F1327F" w:rsidRPr="000D2B58">
        <w:rPr>
          <w:rFonts w:cstheme="minorHAnsi"/>
          <w:sz w:val="24"/>
          <w:szCs w:val="24"/>
          <w:rtl/>
        </w:rPr>
        <w:t xml:space="preserve"> בסיום ההליך. לעומת זאת, לא ברור </w:t>
      </w:r>
      <w:r w:rsidR="00B25463" w:rsidRPr="000D2B58">
        <w:rPr>
          <w:rFonts w:cstheme="minorHAnsi"/>
          <w:sz w:val="24"/>
          <w:szCs w:val="24"/>
          <w:rtl/>
        </w:rPr>
        <w:t xml:space="preserve">מראש </w:t>
      </w:r>
      <w:r w:rsidR="00F1327F" w:rsidRPr="000D2B58">
        <w:rPr>
          <w:rFonts w:cstheme="minorHAnsi"/>
          <w:sz w:val="24"/>
          <w:szCs w:val="24"/>
          <w:rtl/>
        </w:rPr>
        <w:t xml:space="preserve">האם יש לבעלי שליטה העדפה ביחס להסדר </w:t>
      </w:r>
      <w:r w:rsidR="00EA3963" w:rsidRPr="000D2B58">
        <w:rPr>
          <w:rFonts w:cstheme="minorHAnsi"/>
          <w:sz w:val="24"/>
          <w:szCs w:val="24"/>
          <w:rtl/>
        </w:rPr>
        <w:t>עם צו הקפאת הליכים או מעורבות מינימלית של בית המשפט</w:t>
      </w:r>
      <w:r w:rsidR="00F1327F" w:rsidRPr="000D2B58">
        <w:rPr>
          <w:rFonts w:cstheme="minorHAnsi"/>
          <w:sz w:val="24"/>
          <w:szCs w:val="24"/>
          <w:rtl/>
        </w:rPr>
        <w:t>.</w:t>
      </w:r>
      <w:r w:rsidR="00F90FCD" w:rsidRPr="000D2B58">
        <w:rPr>
          <w:rFonts w:cstheme="minorHAnsi"/>
          <w:sz w:val="24"/>
          <w:szCs w:val="24"/>
          <w:rtl/>
        </w:rPr>
        <w:t xml:space="preserve"> </w:t>
      </w:r>
      <w:r w:rsidR="00775DC5" w:rsidRPr="000D2B58">
        <w:rPr>
          <w:rFonts w:cstheme="minorHAnsi"/>
          <w:sz w:val="24"/>
          <w:szCs w:val="24"/>
          <w:rtl/>
        </w:rPr>
        <w:t>שימוש בצו הקפאת הליכים</w:t>
      </w:r>
      <w:r w:rsidR="00F1327F" w:rsidRPr="000D2B58">
        <w:rPr>
          <w:rFonts w:cstheme="minorHAnsi"/>
          <w:sz w:val="24"/>
          <w:szCs w:val="24"/>
          <w:rtl/>
        </w:rPr>
        <w:t xml:space="preserve"> כחלק מהסדר בניהול בית </w:t>
      </w:r>
      <w:r w:rsidR="002C3679" w:rsidRPr="000D2B58">
        <w:rPr>
          <w:rFonts w:cstheme="minorHAnsi"/>
          <w:sz w:val="24"/>
          <w:szCs w:val="24"/>
          <w:rtl/>
        </w:rPr>
        <w:t>המשפט</w:t>
      </w:r>
      <w:r w:rsidR="00775DC5" w:rsidRPr="000D2B58">
        <w:rPr>
          <w:rFonts w:cstheme="minorHAnsi"/>
          <w:sz w:val="24"/>
          <w:szCs w:val="24"/>
          <w:rtl/>
        </w:rPr>
        <w:t xml:space="preserve"> </w:t>
      </w:r>
      <w:r w:rsidR="00F90FCD" w:rsidRPr="000D2B58">
        <w:rPr>
          <w:rFonts w:cstheme="minorHAnsi"/>
          <w:sz w:val="24"/>
          <w:szCs w:val="24"/>
          <w:rtl/>
        </w:rPr>
        <w:t>נותן</w:t>
      </w:r>
      <w:r w:rsidR="008D1ED8" w:rsidRPr="000D2B58">
        <w:rPr>
          <w:rFonts w:cstheme="minorHAnsi"/>
          <w:sz w:val="24"/>
          <w:szCs w:val="24"/>
          <w:rtl/>
        </w:rPr>
        <w:t xml:space="preserve"> לחברה הגנה מפני הנושים,</w:t>
      </w:r>
      <w:r w:rsidR="00F1327F" w:rsidRPr="000D2B58">
        <w:rPr>
          <w:rFonts w:cstheme="minorHAnsi"/>
          <w:sz w:val="24"/>
          <w:szCs w:val="24"/>
          <w:rtl/>
        </w:rPr>
        <w:t xml:space="preserve"> ומכאן</w:t>
      </w:r>
      <w:r w:rsidR="008D1ED8" w:rsidRPr="000D2B58">
        <w:rPr>
          <w:rFonts w:cstheme="minorHAnsi"/>
          <w:sz w:val="24"/>
          <w:szCs w:val="24"/>
          <w:rtl/>
        </w:rPr>
        <w:t xml:space="preserve"> </w:t>
      </w:r>
      <w:r w:rsidR="00F1327F" w:rsidRPr="000D2B58">
        <w:rPr>
          <w:rFonts w:cstheme="minorHAnsi"/>
          <w:sz w:val="24"/>
          <w:szCs w:val="24"/>
          <w:rtl/>
        </w:rPr>
        <w:t>ש</w:t>
      </w:r>
      <w:r w:rsidR="008D1ED8" w:rsidRPr="000D2B58">
        <w:rPr>
          <w:rFonts w:cstheme="minorHAnsi"/>
          <w:sz w:val="24"/>
          <w:szCs w:val="24"/>
          <w:rtl/>
        </w:rPr>
        <w:t xml:space="preserve">יש בו </w:t>
      </w:r>
      <w:r w:rsidR="00764859" w:rsidRPr="000D2B58">
        <w:rPr>
          <w:rFonts w:cstheme="minorHAnsi"/>
          <w:sz w:val="24"/>
          <w:szCs w:val="24"/>
          <w:rtl/>
        </w:rPr>
        <w:t>תועלת ל</w:t>
      </w:r>
      <w:r w:rsidR="00F1327F" w:rsidRPr="000D2B58">
        <w:rPr>
          <w:rFonts w:cstheme="minorHAnsi"/>
          <w:sz w:val="24"/>
          <w:szCs w:val="24"/>
          <w:rtl/>
        </w:rPr>
        <w:t>בעלים</w:t>
      </w:r>
      <w:r w:rsidR="00764859" w:rsidRPr="000D2B58">
        <w:rPr>
          <w:rFonts w:cstheme="minorHAnsi"/>
          <w:sz w:val="24"/>
          <w:szCs w:val="24"/>
          <w:rtl/>
        </w:rPr>
        <w:t>,</w:t>
      </w:r>
      <w:r w:rsidR="008D1ED8" w:rsidRPr="000D2B58">
        <w:rPr>
          <w:rFonts w:cstheme="minorHAnsi"/>
          <w:sz w:val="24"/>
          <w:szCs w:val="24"/>
          <w:rtl/>
        </w:rPr>
        <w:t xml:space="preserve"> למרות איבוד הניהול</w:t>
      </w:r>
      <w:r w:rsidR="00764859" w:rsidRPr="000D2B58">
        <w:rPr>
          <w:rFonts w:cstheme="minorHAnsi"/>
          <w:sz w:val="24"/>
          <w:szCs w:val="24"/>
          <w:rtl/>
        </w:rPr>
        <w:t xml:space="preserve"> בפועל</w:t>
      </w:r>
      <w:r w:rsidR="008D1ED8" w:rsidRPr="000D2B58">
        <w:rPr>
          <w:rFonts w:cstheme="minorHAnsi"/>
          <w:sz w:val="24"/>
          <w:szCs w:val="24"/>
          <w:rtl/>
        </w:rPr>
        <w:t>.</w:t>
      </w:r>
      <w:r w:rsidR="00775DC5" w:rsidRPr="000D2B58">
        <w:rPr>
          <w:rFonts w:cstheme="minorHAnsi"/>
          <w:sz w:val="24"/>
          <w:szCs w:val="24"/>
          <w:rtl/>
        </w:rPr>
        <w:t xml:space="preserve"> </w:t>
      </w:r>
      <w:r w:rsidR="00F1327F" w:rsidRPr="000D2B58">
        <w:rPr>
          <w:rFonts w:cstheme="minorHAnsi"/>
          <w:sz w:val="24"/>
          <w:szCs w:val="24"/>
          <w:rtl/>
        </w:rPr>
        <w:t xml:space="preserve">בדיעבד, השימוש המועט במסלול בניהול בית המשפט, והנטייה של הסדר כזה להסתיים בהעברת הבעלות למשקיעים חדשים, מצביעים על כך </w:t>
      </w:r>
      <w:r w:rsidR="002C3679" w:rsidRPr="000D2B58">
        <w:rPr>
          <w:rFonts w:cstheme="minorHAnsi"/>
          <w:sz w:val="24"/>
          <w:szCs w:val="24"/>
          <w:rtl/>
        </w:rPr>
        <w:t>ש</w:t>
      </w:r>
      <w:r w:rsidR="00F1327F" w:rsidRPr="000D2B58">
        <w:rPr>
          <w:rFonts w:cstheme="minorHAnsi"/>
          <w:sz w:val="24"/>
          <w:szCs w:val="24"/>
          <w:rtl/>
        </w:rPr>
        <w:t xml:space="preserve">בעלי שליטה יעדיפו להימנע משימוש במסלול זה. </w:t>
      </w:r>
    </w:p>
    <w:p w14:paraId="11ECC1EF" w14:textId="77777777" w:rsidR="00975364" w:rsidRPr="000D2B58" w:rsidRDefault="00975364" w:rsidP="00975364">
      <w:pPr>
        <w:spacing w:after="120" w:line="360" w:lineRule="auto"/>
        <w:jc w:val="both"/>
        <w:rPr>
          <w:rFonts w:cstheme="minorHAnsi"/>
          <w:sz w:val="24"/>
          <w:szCs w:val="24"/>
          <w:rtl/>
        </w:rPr>
      </w:pPr>
      <w:r w:rsidRPr="000D2B58">
        <w:rPr>
          <w:rFonts w:cstheme="minorHAnsi"/>
          <w:sz w:val="24"/>
          <w:szCs w:val="24"/>
          <w:rtl/>
        </w:rPr>
        <w:lastRenderedPageBreak/>
        <w:t xml:space="preserve">הקשר הפיננסי של בעלי השליטה לחברה נאמד בעזרת שני מאפיינים: הראשון הוא שיעור הבעלות של בעלי שליטה </w:t>
      </w:r>
      <w:proofErr w:type="spellStart"/>
      <w:r w:rsidRPr="000D2B58">
        <w:rPr>
          <w:rFonts w:cstheme="minorHAnsi"/>
          <w:sz w:val="24"/>
          <w:szCs w:val="24"/>
          <w:rtl/>
        </w:rPr>
        <w:t>בתזרים</w:t>
      </w:r>
      <w:proofErr w:type="spellEnd"/>
      <w:r w:rsidRPr="000D2B58">
        <w:rPr>
          <w:rFonts w:cstheme="minorHAnsi"/>
          <w:sz w:val="24"/>
          <w:szCs w:val="24"/>
          <w:rtl/>
        </w:rPr>
        <w:t xml:space="preserve"> המזומנים, דהיינו, שיעור האחזקה הישיר של בעלי השליטה במניות החברה. המאפיין השני הוא החלק של החוב של החברה ששייך לגורמים הקשורים לחברה – בין אם חברה אחרת בקבוצה העסקית או בעלי השליטה עצמם. </w:t>
      </w:r>
    </w:p>
    <w:p w14:paraId="5224C068" w14:textId="0012C11B" w:rsidR="008D1ED8" w:rsidRPr="000D2B58" w:rsidRDefault="00975364" w:rsidP="00474663">
      <w:pPr>
        <w:spacing w:after="120" w:line="360" w:lineRule="auto"/>
        <w:jc w:val="both"/>
        <w:rPr>
          <w:rFonts w:cstheme="minorHAnsi"/>
          <w:sz w:val="24"/>
          <w:szCs w:val="24"/>
          <w:rtl/>
        </w:rPr>
      </w:pPr>
      <w:r w:rsidRPr="000D2B58">
        <w:rPr>
          <w:rFonts w:cstheme="minorHAnsi"/>
          <w:sz w:val="24"/>
          <w:szCs w:val="24"/>
          <w:rtl/>
        </w:rPr>
        <w:t xml:space="preserve">תאורטית, </w:t>
      </w:r>
      <w:r w:rsidR="00F90FCD" w:rsidRPr="000D2B58">
        <w:rPr>
          <w:rFonts w:cstheme="minorHAnsi"/>
          <w:sz w:val="24"/>
          <w:szCs w:val="24"/>
          <w:rtl/>
        </w:rPr>
        <w:t xml:space="preserve">ההשפעה של </w:t>
      </w:r>
      <w:r w:rsidRPr="000D2B58">
        <w:rPr>
          <w:rFonts w:cstheme="minorHAnsi"/>
          <w:sz w:val="24"/>
          <w:szCs w:val="24"/>
          <w:rtl/>
        </w:rPr>
        <w:t>בעלי השליטה</w:t>
      </w:r>
      <w:r w:rsidR="00F90FCD" w:rsidRPr="000D2B58">
        <w:rPr>
          <w:rFonts w:cstheme="minorHAnsi"/>
          <w:sz w:val="24"/>
          <w:szCs w:val="24"/>
          <w:rtl/>
        </w:rPr>
        <w:t xml:space="preserve"> </w:t>
      </w:r>
      <w:r w:rsidRPr="000D2B58">
        <w:rPr>
          <w:rFonts w:cstheme="minorHAnsi"/>
          <w:sz w:val="24"/>
          <w:szCs w:val="24"/>
          <w:rtl/>
        </w:rPr>
        <w:t>על חברה על סף חדלות פירעון תלויה בגורמים הבאים</w:t>
      </w:r>
      <w:r w:rsidR="00F90FCD" w:rsidRPr="000D2B58">
        <w:rPr>
          <w:rFonts w:cstheme="minorHAnsi"/>
          <w:sz w:val="24"/>
          <w:szCs w:val="24"/>
          <w:rtl/>
        </w:rPr>
        <w:t>: עד כמה חזק התמריץ של הבעלים להציל את החברה (מהו הערך הפרטי של השליטה</w:t>
      </w:r>
      <w:r w:rsidRPr="000D2B58">
        <w:rPr>
          <w:rFonts w:cstheme="minorHAnsi"/>
          <w:sz w:val="24"/>
          <w:szCs w:val="24"/>
          <w:rtl/>
        </w:rPr>
        <w:t xml:space="preserve"> עבור הבעלים</w:t>
      </w:r>
      <w:r w:rsidR="00F90FCD" w:rsidRPr="000D2B58">
        <w:rPr>
          <w:rFonts w:cstheme="minorHAnsi"/>
          <w:sz w:val="24"/>
          <w:szCs w:val="24"/>
          <w:rtl/>
        </w:rPr>
        <w:t>), ובאיזו מידה הם מסוגלים</w:t>
      </w:r>
      <w:r w:rsidRPr="000D2B58">
        <w:rPr>
          <w:rFonts w:cstheme="minorHAnsi"/>
          <w:sz w:val="24"/>
          <w:szCs w:val="24"/>
          <w:rtl/>
        </w:rPr>
        <w:t xml:space="preserve"> </w:t>
      </w:r>
      <w:r w:rsidR="00F90FCD" w:rsidRPr="000D2B58">
        <w:rPr>
          <w:rFonts w:cstheme="minorHAnsi"/>
          <w:sz w:val="24"/>
          <w:szCs w:val="24"/>
          <w:rtl/>
        </w:rPr>
        <w:t>לשקם אותה</w:t>
      </w:r>
      <w:r w:rsidR="00B25463" w:rsidRPr="000D2B58">
        <w:rPr>
          <w:rFonts w:cstheme="minorHAnsi"/>
          <w:sz w:val="24"/>
          <w:szCs w:val="24"/>
          <w:rtl/>
        </w:rPr>
        <w:t xml:space="preserve"> מבחינ</w:t>
      </w:r>
      <w:r w:rsidR="004C073D" w:rsidRPr="000D2B58">
        <w:rPr>
          <w:rFonts w:cstheme="minorHAnsi"/>
          <w:sz w:val="24"/>
          <w:szCs w:val="24"/>
          <w:rtl/>
        </w:rPr>
        <w:t>ת יכולתם</w:t>
      </w:r>
      <w:r w:rsidR="00B25463" w:rsidRPr="000D2B58">
        <w:rPr>
          <w:rFonts w:cstheme="minorHAnsi"/>
          <w:sz w:val="24"/>
          <w:szCs w:val="24"/>
          <w:rtl/>
        </w:rPr>
        <w:t xml:space="preserve"> </w:t>
      </w:r>
      <w:r w:rsidR="00474663" w:rsidRPr="000D2B58">
        <w:rPr>
          <w:rFonts w:cstheme="minorHAnsi"/>
          <w:sz w:val="24"/>
          <w:szCs w:val="24"/>
          <w:rtl/>
        </w:rPr>
        <w:t>הפיננסית</w:t>
      </w:r>
      <w:r w:rsidR="00F90FCD" w:rsidRPr="000D2B58">
        <w:rPr>
          <w:rFonts w:cstheme="minorHAnsi"/>
          <w:sz w:val="24"/>
          <w:szCs w:val="24"/>
          <w:rtl/>
        </w:rPr>
        <w:t xml:space="preserve">. ההשערה </w:t>
      </w:r>
      <w:r w:rsidRPr="000D2B58">
        <w:rPr>
          <w:rFonts w:cstheme="minorHAnsi"/>
          <w:sz w:val="24"/>
          <w:szCs w:val="24"/>
          <w:rtl/>
        </w:rPr>
        <w:t xml:space="preserve">הנבחנת במאמר </w:t>
      </w:r>
      <w:r w:rsidR="002C3679" w:rsidRPr="000D2B58">
        <w:rPr>
          <w:rFonts w:cstheme="minorHAnsi"/>
          <w:sz w:val="24"/>
          <w:szCs w:val="24"/>
          <w:rtl/>
        </w:rPr>
        <w:t>גורסת</w:t>
      </w:r>
      <w:r w:rsidR="00F90FCD" w:rsidRPr="000D2B58">
        <w:rPr>
          <w:rFonts w:cstheme="minorHAnsi"/>
          <w:sz w:val="24"/>
          <w:szCs w:val="24"/>
          <w:rtl/>
        </w:rPr>
        <w:t xml:space="preserve"> שככל ששיעור אחזקת המניות על ידי בעל</w:t>
      </w:r>
      <w:r w:rsidRPr="000D2B58">
        <w:rPr>
          <w:rFonts w:cstheme="minorHAnsi"/>
          <w:sz w:val="24"/>
          <w:szCs w:val="24"/>
          <w:rtl/>
        </w:rPr>
        <w:t>י</w:t>
      </w:r>
      <w:r w:rsidR="00F90FCD" w:rsidRPr="000D2B58">
        <w:rPr>
          <w:rFonts w:cstheme="minorHAnsi"/>
          <w:sz w:val="24"/>
          <w:szCs w:val="24"/>
          <w:rtl/>
        </w:rPr>
        <w:t xml:space="preserve"> </w:t>
      </w:r>
      <w:r w:rsidRPr="000D2B58">
        <w:rPr>
          <w:rFonts w:cstheme="minorHAnsi"/>
          <w:sz w:val="24"/>
          <w:szCs w:val="24"/>
          <w:rtl/>
        </w:rPr>
        <w:t>ה</w:t>
      </w:r>
      <w:r w:rsidR="00F90FCD" w:rsidRPr="000D2B58">
        <w:rPr>
          <w:rFonts w:cstheme="minorHAnsi"/>
          <w:sz w:val="24"/>
          <w:szCs w:val="24"/>
          <w:rtl/>
        </w:rPr>
        <w:t>שליטה ג</w:t>
      </w:r>
      <w:r w:rsidRPr="000D2B58">
        <w:rPr>
          <w:rFonts w:cstheme="minorHAnsi"/>
          <w:sz w:val="24"/>
          <w:szCs w:val="24"/>
          <w:rtl/>
        </w:rPr>
        <w:t>בוה</w:t>
      </w:r>
      <w:r w:rsidR="00F90FCD" w:rsidRPr="000D2B58">
        <w:rPr>
          <w:rFonts w:cstheme="minorHAnsi"/>
          <w:sz w:val="24"/>
          <w:szCs w:val="24"/>
          <w:rtl/>
        </w:rPr>
        <w:t xml:space="preserve"> יותר, </w:t>
      </w:r>
      <w:r w:rsidRPr="000D2B58">
        <w:rPr>
          <w:rFonts w:cstheme="minorHAnsi"/>
          <w:sz w:val="24"/>
          <w:szCs w:val="24"/>
          <w:rtl/>
        </w:rPr>
        <w:t xml:space="preserve">וככל שגדול יותר שיעור החוב לצדדים קשורים, כך גדלה </w:t>
      </w:r>
      <w:r w:rsidR="002C3679" w:rsidRPr="000D2B58">
        <w:rPr>
          <w:rFonts w:cstheme="minorHAnsi"/>
          <w:sz w:val="24"/>
          <w:szCs w:val="24"/>
          <w:rtl/>
        </w:rPr>
        <w:t>הגמישות</w:t>
      </w:r>
      <w:r w:rsidRPr="000D2B58">
        <w:rPr>
          <w:rFonts w:cstheme="minorHAnsi"/>
          <w:sz w:val="24"/>
          <w:szCs w:val="24"/>
          <w:rtl/>
        </w:rPr>
        <w:t xml:space="preserve"> הפיננסית של בעלי השליטה לחזק את ההון של החברה ולכן גדלה ההסתברות שהחברה תצליח להשלים הסדר ללא </w:t>
      </w:r>
      <w:r w:rsidR="002C3679" w:rsidRPr="000D2B58">
        <w:rPr>
          <w:rFonts w:cstheme="minorHAnsi"/>
          <w:sz w:val="24"/>
          <w:szCs w:val="24"/>
          <w:rtl/>
        </w:rPr>
        <w:t>צורך ב</w:t>
      </w:r>
      <w:r w:rsidRPr="000D2B58">
        <w:rPr>
          <w:rFonts w:cstheme="minorHAnsi"/>
          <w:sz w:val="24"/>
          <w:szCs w:val="24"/>
          <w:rtl/>
        </w:rPr>
        <w:t xml:space="preserve">מעורבות בית המשפט. </w:t>
      </w:r>
      <w:r w:rsidR="002C3679" w:rsidRPr="000D2B58">
        <w:rPr>
          <w:rFonts w:cstheme="minorHAnsi"/>
          <w:sz w:val="24"/>
          <w:szCs w:val="24"/>
          <w:rtl/>
        </w:rPr>
        <w:t>ממצאי המחקר תומכים בהשערה.</w:t>
      </w:r>
    </w:p>
    <w:p w14:paraId="0797A959" w14:textId="426E356A" w:rsidR="00764859" w:rsidRPr="000D2B58" w:rsidRDefault="002C3679" w:rsidP="00EA3963">
      <w:pPr>
        <w:spacing w:after="120" w:line="360" w:lineRule="auto"/>
        <w:jc w:val="both"/>
        <w:rPr>
          <w:rFonts w:cstheme="minorHAnsi"/>
          <w:sz w:val="24"/>
          <w:szCs w:val="24"/>
          <w:rtl/>
        </w:rPr>
      </w:pPr>
      <w:r w:rsidRPr="000D2B58">
        <w:rPr>
          <w:rFonts w:cstheme="minorHAnsi"/>
          <w:sz w:val="24"/>
          <w:szCs w:val="24"/>
          <w:rtl/>
        </w:rPr>
        <w:t xml:space="preserve">בנוסף </w:t>
      </w:r>
      <w:r w:rsidR="00764859" w:rsidRPr="000D2B58">
        <w:rPr>
          <w:rFonts w:cstheme="minorHAnsi"/>
          <w:sz w:val="24"/>
          <w:szCs w:val="24"/>
          <w:rtl/>
        </w:rPr>
        <w:t>המאמר בוחן כיצד שאלת שינוי הבעלות בחברה במהלך הסדר חוב</w:t>
      </w:r>
      <w:r w:rsidRPr="000D2B58">
        <w:rPr>
          <w:rFonts w:cstheme="minorHAnsi"/>
          <w:sz w:val="24"/>
          <w:szCs w:val="24"/>
          <w:rtl/>
        </w:rPr>
        <w:t xml:space="preserve"> משפיעה על התשלום לבעלי </w:t>
      </w:r>
      <w:proofErr w:type="spellStart"/>
      <w:r w:rsidRPr="000D2B58">
        <w:rPr>
          <w:rFonts w:cstheme="minorHAnsi"/>
          <w:sz w:val="24"/>
          <w:szCs w:val="24"/>
          <w:rtl/>
        </w:rPr>
        <w:t>האג</w:t>
      </w:r>
      <w:r w:rsidR="00B25463" w:rsidRPr="000D2B58">
        <w:rPr>
          <w:rFonts w:cstheme="minorHAnsi"/>
          <w:sz w:val="24"/>
          <w:szCs w:val="24"/>
          <w:rtl/>
        </w:rPr>
        <w:t>"</w:t>
      </w:r>
      <w:r w:rsidRPr="000D2B58">
        <w:rPr>
          <w:rFonts w:cstheme="minorHAnsi"/>
          <w:sz w:val="24"/>
          <w:szCs w:val="24"/>
          <w:rtl/>
        </w:rPr>
        <w:t>ח</w:t>
      </w:r>
      <w:proofErr w:type="spellEnd"/>
      <w:r w:rsidRPr="000D2B58">
        <w:rPr>
          <w:rFonts w:cstheme="minorHAnsi"/>
          <w:sz w:val="24"/>
          <w:szCs w:val="24"/>
          <w:rtl/>
        </w:rPr>
        <w:t xml:space="preserve"> ולבעלי מניות המיעוט</w:t>
      </w:r>
      <w:r w:rsidR="00764859" w:rsidRPr="000D2B58">
        <w:rPr>
          <w:rFonts w:cstheme="minorHAnsi"/>
          <w:sz w:val="24"/>
          <w:szCs w:val="24"/>
          <w:rtl/>
        </w:rPr>
        <w:t xml:space="preserve">. המשכיות הבעלות על החברה מתואמת עם שיעורי החזר גבוהים יותר לנושי </w:t>
      </w:r>
      <w:proofErr w:type="spellStart"/>
      <w:r w:rsidR="00764859" w:rsidRPr="000D2B58">
        <w:rPr>
          <w:rFonts w:cstheme="minorHAnsi"/>
          <w:sz w:val="24"/>
          <w:szCs w:val="24"/>
          <w:rtl/>
        </w:rPr>
        <w:t>האג"ח</w:t>
      </w:r>
      <w:proofErr w:type="spellEnd"/>
      <w:r w:rsidR="00764859" w:rsidRPr="000D2B58">
        <w:rPr>
          <w:rFonts w:cstheme="minorHAnsi"/>
          <w:sz w:val="24"/>
          <w:szCs w:val="24"/>
          <w:rtl/>
        </w:rPr>
        <w:t>, אך יחד עם זאת, היא מלווה בסטייה גדולה יותר מסדר הנשייה</w:t>
      </w:r>
      <w:r w:rsidR="004C073D" w:rsidRPr="000D2B58">
        <w:rPr>
          <w:rStyle w:val="a5"/>
          <w:rFonts w:cstheme="minorHAnsi"/>
          <w:sz w:val="24"/>
          <w:szCs w:val="24"/>
          <w:rtl/>
        </w:rPr>
        <w:footnoteReference w:id="1"/>
      </w:r>
      <w:r w:rsidR="00764859" w:rsidRPr="000D2B58">
        <w:rPr>
          <w:rFonts w:cstheme="minorHAnsi"/>
          <w:sz w:val="24"/>
          <w:szCs w:val="24"/>
          <w:rtl/>
        </w:rPr>
        <w:t xml:space="preserve"> (</w:t>
      </w:r>
      <w:r w:rsidR="00764859" w:rsidRPr="000D2B58">
        <w:rPr>
          <w:rFonts w:cstheme="minorHAnsi"/>
          <w:sz w:val="24"/>
          <w:szCs w:val="24"/>
        </w:rPr>
        <w:t>Absolute Priority Rule</w:t>
      </w:r>
      <w:r w:rsidR="00764859" w:rsidRPr="000D2B58">
        <w:rPr>
          <w:rFonts w:cstheme="minorHAnsi"/>
          <w:sz w:val="24"/>
          <w:szCs w:val="24"/>
          <w:rtl/>
        </w:rPr>
        <w:t xml:space="preserve">) לטובת מחזיקי המניות הנותרים. </w:t>
      </w:r>
      <w:r w:rsidRPr="000D2B58">
        <w:rPr>
          <w:rFonts w:cstheme="minorHAnsi"/>
          <w:sz w:val="24"/>
          <w:szCs w:val="24"/>
          <w:rtl/>
        </w:rPr>
        <w:t>מידת הסטי</w:t>
      </w:r>
      <w:r w:rsidR="004C073D" w:rsidRPr="000D2B58">
        <w:rPr>
          <w:rFonts w:cstheme="minorHAnsi"/>
          <w:sz w:val="24"/>
          <w:szCs w:val="24"/>
          <w:rtl/>
        </w:rPr>
        <w:t>י</w:t>
      </w:r>
      <w:r w:rsidRPr="000D2B58">
        <w:rPr>
          <w:rFonts w:cstheme="minorHAnsi"/>
          <w:sz w:val="24"/>
          <w:szCs w:val="24"/>
          <w:rtl/>
        </w:rPr>
        <w:t xml:space="preserve">ה מסדר הנשייה מצביעה על נחיתות עמדתם של נושי </w:t>
      </w:r>
      <w:proofErr w:type="spellStart"/>
      <w:r w:rsidRPr="000D2B58">
        <w:rPr>
          <w:rFonts w:cstheme="minorHAnsi"/>
          <w:sz w:val="24"/>
          <w:szCs w:val="24"/>
          <w:rtl/>
        </w:rPr>
        <w:t>האג"ח</w:t>
      </w:r>
      <w:proofErr w:type="spellEnd"/>
      <w:r w:rsidRPr="000D2B58">
        <w:rPr>
          <w:rFonts w:cstheme="minorHAnsi"/>
          <w:sz w:val="24"/>
          <w:szCs w:val="24"/>
          <w:rtl/>
        </w:rPr>
        <w:t xml:space="preserve"> ביחס לבעלי השליטה במצב המשפטי הקיים. ייתכן שהתשלום לנושים היה משתפר בכל החלופות, אם הנושים היו יכולים להציע </w:t>
      </w:r>
      <w:proofErr w:type="spellStart"/>
      <w:r w:rsidRPr="000D2B58">
        <w:rPr>
          <w:rFonts w:cstheme="minorHAnsi"/>
          <w:sz w:val="24"/>
          <w:szCs w:val="24"/>
          <w:rtl/>
        </w:rPr>
        <w:t>תוכניות</w:t>
      </w:r>
      <w:proofErr w:type="spellEnd"/>
      <w:r w:rsidRPr="000D2B58">
        <w:rPr>
          <w:rFonts w:cstheme="minorHAnsi"/>
          <w:sz w:val="24"/>
          <w:szCs w:val="24"/>
          <w:rtl/>
        </w:rPr>
        <w:t xml:space="preserve"> הסדר משלהם.</w:t>
      </w:r>
    </w:p>
    <w:p w14:paraId="164E9761" w14:textId="581A228E" w:rsidR="001D70C0" w:rsidRPr="000D2B58" w:rsidRDefault="006D5194" w:rsidP="00E3758D">
      <w:pPr>
        <w:keepNext/>
        <w:spacing w:after="120" w:line="360" w:lineRule="auto"/>
        <w:jc w:val="center"/>
        <w:rPr>
          <w:rFonts w:cstheme="minorHAnsi"/>
        </w:rPr>
      </w:pPr>
      <w:r w:rsidRPr="000D2B58">
        <w:rPr>
          <w:rFonts w:cstheme="minorHAnsi"/>
          <w:noProof/>
        </w:rPr>
        <w:lastRenderedPageBreak/>
        <w:drawing>
          <wp:inline distT="0" distB="0" distL="0" distR="0" wp14:anchorId="55B7F95D" wp14:editId="5AD0FBA9">
            <wp:extent cx="4500499" cy="3600000"/>
            <wp:effectExtent l="0" t="0" r="0"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0499" cy="3600000"/>
                    </a:xfrm>
                    <a:prstGeom prst="rect">
                      <a:avLst/>
                    </a:prstGeom>
                  </pic:spPr>
                </pic:pic>
              </a:graphicData>
            </a:graphic>
          </wp:inline>
        </w:drawing>
      </w:r>
    </w:p>
    <w:p w14:paraId="142E0FBD" w14:textId="4510E7E6" w:rsidR="001D70C0" w:rsidRPr="000D2B58" w:rsidRDefault="001D70C0" w:rsidP="00E3758D">
      <w:pPr>
        <w:pStyle w:val="af6"/>
        <w:rPr>
          <w:rFonts w:cstheme="minorHAnsi"/>
          <w:sz w:val="24"/>
          <w:szCs w:val="24"/>
        </w:rPr>
      </w:pPr>
      <w:r w:rsidRPr="000D2B58">
        <w:rPr>
          <w:rFonts w:cstheme="minorHAnsi"/>
          <w:rtl/>
        </w:rPr>
        <w:t>מקור הנתונים: הודעות החברות לציבור ועיבודי בנק ישראל</w:t>
      </w:r>
    </w:p>
    <w:p w14:paraId="4B1D7AA4" w14:textId="23826070" w:rsidR="00764859" w:rsidRPr="000D2B58" w:rsidRDefault="00764859" w:rsidP="00E3758D">
      <w:pPr>
        <w:spacing w:after="120" w:line="360" w:lineRule="auto"/>
        <w:jc w:val="both"/>
        <w:rPr>
          <w:rFonts w:cstheme="minorHAnsi"/>
          <w:sz w:val="24"/>
          <w:szCs w:val="24"/>
          <w:rtl/>
        </w:rPr>
      </w:pPr>
      <w:r w:rsidRPr="000D2B58">
        <w:rPr>
          <w:rFonts w:cstheme="minorHAnsi"/>
          <w:sz w:val="24"/>
          <w:szCs w:val="24"/>
          <w:rtl/>
        </w:rPr>
        <w:t xml:space="preserve">בדיקה של ביצועי החברות לאחר הסדר מצביעים על כך שלעתים קרובות ארגון מחדש אינו מספק שיקום כלכלי או פיננסי לחברות. בפרט, </w:t>
      </w:r>
      <w:r w:rsidR="00474663" w:rsidRPr="000D2B58">
        <w:rPr>
          <w:rFonts w:cstheme="minorHAnsi"/>
          <w:sz w:val="24"/>
          <w:szCs w:val="24"/>
          <w:rtl/>
        </w:rPr>
        <w:t>63</w:t>
      </w:r>
      <w:r w:rsidR="00F1327F" w:rsidRPr="000D2B58">
        <w:rPr>
          <w:rFonts w:cstheme="minorHAnsi"/>
          <w:sz w:val="24"/>
          <w:szCs w:val="24"/>
          <w:rtl/>
        </w:rPr>
        <w:t>% מה</w:t>
      </w:r>
      <w:r w:rsidRPr="000D2B58">
        <w:rPr>
          <w:rFonts w:cstheme="minorHAnsi"/>
          <w:sz w:val="24"/>
          <w:szCs w:val="24"/>
          <w:rtl/>
        </w:rPr>
        <w:t xml:space="preserve">חברות </w:t>
      </w:r>
      <w:r w:rsidR="00F1327F" w:rsidRPr="000D2B58">
        <w:rPr>
          <w:rFonts w:cstheme="minorHAnsi"/>
          <w:sz w:val="24"/>
          <w:szCs w:val="24"/>
          <w:rtl/>
        </w:rPr>
        <w:t>בהן לא השתנתה הבעלות,</w:t>
      </w:r>
      <w:r w:rsidR="002C3679" w:rsidRPr="000D2B58">
        <w:rPr>
          <w:rFonts w:cstheme="minorHAnsi"/>
          <w:sz w:val="24"/>
          <w:szCs w:val="24"/>
          <w:rtl/>
        </w:rPr>
        <w:t xml:space="preserve"> הגיעו למצוקת חוב פעם נוספת בתקופת המדגם</w:t>
      </w:r>
      <w:r w:rsidR="00474663" w:rsidRPr="000D2B58">
        <w:rPr>
          <w:rFonts w:cstheme="minorHAnsi"/>
          <w:sz w:val="24"/>
          <w:szCs w:val="24"/>
          <w:rtl/>
        </w:rPr>
        <w:t xml:space="preserve">, לעומת 25% </w:t>
      </w:r>
      <w:r w:rsidR="00EA3963" w:rsidRPr="000D2B58">
        <w:rPr>
          <w:rFonts w:cstheme="minorHAnsi"/>
          <w:sz w:val="24"/>
          <w:szCs w:val="24"/>
          <w:rtl/>
        </w:rPr>
        <w:t>מה</w:t>
      </w:r>
      <w:r w:rsidR="00474663" w:rsidRPr="000D2B58">
        <w:rPr>
          <w:rFonts w:cstheme="minorHAnsi"/>
          <w:sz w:val="24"/>
          <w:szCs w:val="24"/>
          <w:rtl/>
        </w:rPr>
        <w:t>חברות בהן התחלפו הבעלים</w:t>
      </w:r>
      <w:r w:rsidR="002C3679" w:rsidRPr="000D2B58">
        <w:rPr>
          <w:rFonts w:cstheme="minorHAnsi"/>
          <w:sz w:val="24"/>
          <w:szCs w:val="24"/>
          <w:rtl/>
        </w:rPr>
        <w:t xml:space="preserve">. מאזן הכוחות בין בעלי </w:t>
      </w:r>
      <w:proofErr w:type="spellStart"/>
      <w:r w:rsidR="002C3679" w:rsidRPr="000D2B58">
        <w:rPr>
          <w:rFonts w:cstheme="minorHAnsi"/>
          <w:sz w:val="24"/>
          <w:szCs w:val="24"/>
          <w:rtl/>
        </w:rPr>
        <w:t>האג"ח</w:t>
      </w:r>
      <w:proofErr w:type="spellEnd"/>
      <w:r w:rsidR="002C3679" w:rsidRPr="000D2B58">
        <w:rPr>
          <w:rFonts w:cstheme="minorHAnsi"/>
          <w:sz w:val="24"/>
          <w:szCs w:val="24"/>
          <w:rtl/>
        </w:rPr>
        <w:t xml:space="preserve"> לבעלי השליטה מביא לחוסר יעילות כלכלית עם הטיה להישרדות חברות והסדרים שמובילים לביצועים לא מרשימים והסתברות גבוהה למצוקת חוב נשנית. </w:t>
      </w:r>
      <w:r w:rsidR="00474663" w:rsidRPr="000D2B58">
        <w:rPr>
          <w:rFonts w:cstheme="minorHAnsi"/>
          <w:sz w:val="24"/>
          <w:szCs w:val="24"/>
          <w:rtl/>
        </w:rPr>
        <w:t>הסבר אפשרי לכך הוא ש</w:t>
      </w:r>
      <w:r w:rsidR="002C3679" w:rsidRPr="000D2B58">
        <w:rPr>
          <w:rFonts w:cstheme="minorHAnsi"/>
          <w:sz w:val="24"/>
          <w:szCs w:val="24"/>
          <w:rtl/>
        </w:rPr>
        <w:t xml:space="preserve">לבעלי החברה אין די תמריץ להציע הסדר יעיל והוגן יותר מבחינה כלכלית למחזיקי </w:t>
      </w:r>
      <w:proofErr w:type="spellStart"/>
      <w:r w:rsidR="002C3679" w:rsidRPr="000D2B58">
        <w:rPr>
          <w:rFonts w:cstheme="minorHAnsi"/>
          <w:sz w:val="24"/>
          <w:szCs w:val="24"/>
          <w:rtl/>
        </w:rPr>
        <w:t>האג"ח</w:t>
      </w:r>
      <w:proofErr w:type="spellEnd"/>
      <w:r w:rsidR="002C3679" w:rsidRPr="000D2B58">
        <w:rPr>
          <w:rFonts w:cstheme="minorHAnsi"/>
          <w:sz w:val="24"/>
          <w:szCs w:val="24"/>
          <w:rtl/>
        </w:rPr>
        <w:t>.</w:t>
      </w:r>
    </w:p>
    <w:p w14:paraId="21DBF8FA" w14:textId="44D87D85" w:rsidR="00B25463" w:rsidRPr="000D2B58" w:rsidRDefault="004038F2" w:rsidP="0043643A">
      <w:pPr>
        <w:spacing w:after="120" w:line="360" w:lineRule="auto"/>
        <w:jc w:val="both"/>
        <w:rPr>
          <w:rFonts w:cstheme="minorHAnsi"/>
          <w:sz w:val="24"/>
          <w:szCs w:val="24"/>
          <w:rtl/>
        </w:rPr>
      </w:pPr>
      <w:r w:rsidRPr="000D2B58">
        <w:rPr>
          <w:rFonts w:cstheme="minorHAnsi"/>
          <w:sz w:val="24"/>
          <w:szCs w:val="24"/>
          <w:rtl/>
        </w:rPr>
        <w:t>לעבודה זו תרומה למחק</w:t>
      </w:r>
      <w:r w:rsidR="00D739AD" w:rsidRPr="000D2B58">
        <w:rPr>
          <w:rFonts w:cstheme="minorHAnsi"/>
          <w:sz w:val="24"/>
          <w:szCs w:val="24"/>
          <w:rtl/>
        </w:rPr>
        <w:t>ר הכלכלי בתחום של חדלות פירעון:</w:t>
      </w:r>
      <w:r w:rsidRPr="000D2B58">
        <w:rPr>
          <w:rFonts w:cstheme="minorHAnsi"/>
          <w:sz w:val="24"/>
          <w:szCs w:val="24"/>
          <w:rtl/>
        </w:rPr>
        <w:t xml:space="preserve"> הרוב המכריע של הספרות עוסקת בחדלות פירעון של חברות ציבוריות בבעלות מבוזרת</w:t>
      </w:r>
      <w:r w:rsidR="00975364" w:rsidRPr="000D2B58">
        <w:rPr>
          <w:rFonts w:cstheme="minorHAnsi"/>
          <w:sz w:val="24"/>
          <w:szCs w:val="24"/>
          <w:rtl/>
        </w:rPr>
        <w:t>, כפי שרווח בארה"ב</w:t>
      </w:r>
      <w:r w:rsidRPr="000D2B58">
        <w:rPr>
          <w:rFonts w:cstheme="minorHAnsi"/>
          <w:sz w:val="24"/>
          <w:szCs w:val="24"/>
          <w:rtl/>
        </w:rPr>
        <w:t>. אולם, בהרבה מדינות, הן מפותחות</w:t>
      </w:r>
      <w:r w:rsidR="00B25463" w:rsidRPr="000D2B58">
        <w:rPr>
          <w:rFonts w:cstheme="minorHAnsi"/>
          <w:sz w:val="24"/>
          <w:szCs w:val="24"/>
          <w:rtl/>
        </w:rPr>
        <w:t xml:space="preserve"> כמו ישראל</w:t>
      </w:r>
      <w:r w:rsidRPr="000D2B58">
        <w:rPr>
          <w:rFonts w:cstheme="minorHAnsi"/>
          <w:sz w:val="24"/>
          <w:szCs w:val="24"/>
          <w:rtl/>
        </w:rPr>
        <w:t xml:space="preserve"> והן מתפתחות</w:t>
      </w:r>
      <w:r w:rsidR="00975364" w:rsidRPr="000D2B58">
        <w:rPr>
          <w:rFonts w:cstheme="minorHAnsi"/>
          <w:sz w:val="24"/>
          <w:szCs w:val="24"/>
          <w:rtl/>
        </w:rPr>
        <w:t>,</w:t>
      </w:r>
      <w:r w:rsidRPr="000D2B58">
        <w:rPr>
          <w:rFonts w:cstheme="minorHAnsi"/>
          <w:sz w:val="24"/>
          <w:szCs w:val="24"/>
          <w:rtl/>
        </w:rPr>
        <w:t xml:space="preserve"> מבנה הבעלות בחברות הציבוריות הוא ריכוזי, דהיינו: יש בחברה לפחות בעל מניות אחד ששיעור הבעלות שלו בהון החברה מקנה לו את היכולת </w:t>
      </w:r>
      <w:r w:rsidR="00975364" w:rsidRPr="000D2B58">
        <w:rPr>
          <w:rFonts w:cstheme="minorHAnsi"/>
          <w:sz w:val="24"/>
          <w:szCs w:val="24"/>
          <w:rtl/>
        </w:rPr>
        <w:t>להשפיע על הפעילות</w:t>
      </w:r>
      <w:r w:rsidRPr="000D2B58">
        <w:rPr>
          <w:rFonts w:cstheme="minorHAnsi"/>
          <w:sz w:val="24"/>
          <w:szCs w:val="24"/>
          <w:rtl/>
        </w:rPr>
        <w:t xml:space="preserve"> שלה. </w:t>
      </w:r>
      <w:r w:rsidR="00D739AD" w:rsidRPr="000D2B58">
        <w:rPr>
          <w:rFonts w:cstheme="minorHAnsi"/>
          <w:sz w:val="24"/>
          <w:szCs w:val="24"/>
          <w:rtl/>
        </w:rPr>
        <w:t xml:space="preserve">מבנה הבעלות צפוי להיות משמעותי בעת חדלות פירעון; </w:t>
      </w:r>
      <w:r w:rsidRPr="000D2B58">
        <w:rPr>
          <w:rFonts w:cstheme="minorHAnsi"/>
          <w:sz w:val="24"/>
          <w:szCs w:val="24"/>
          <w:rtl/>
        </w:rPr>
        <w:t xml:space="preserve">סביבת חדלות פירעון </w:t>
      </w:r>
      <w:r w:rsidR="00D739AD" w:rsidRPr="000D2B58">
        <w:rPr>
          <w:rFonts w:cstheme="minorHAnsi"/>
          <w:sz w:val="24"/>
          <w:szCs w:val="24"/>
          <w:rtl/>
        </w:rPr>
        <w:t>מציבה את בעלי המניות והנושים</w:t>
      </w:r>
      <w:r w:rsidRPr="000D2B58">
        <w:rPr>
          <w:rFonts w:cstheme="minorHAnsi"/>
          <w:sz w:val="24"/>
          <w:szCs w:val="24"/>
          <w:rtl/>
        </w:rPr>
        <w:t xml:space="preserve"> </w:t>
      </w:r>
      <w:r w:rsidR="00D739AD" w:rsidRPr="000D2B58">
        <w:rPr>
          <w:rFonts w:cstheme="minorHAnsi"/>
          <w:sz w:val="24"/>
          <w:szCs w:val="24"/>
          <w:rtl/>
        </w:rPr>
        <w:t>בניגוד עניינים</w:t>
      </w:r>
      <w:r w:rsidR="002C3679" w:rsidRPr="000D2B58">
        <w:rPr>
          <w:rFonts w:cstheme="minorHAnsi"/>
          <w:sz w:val="24"/>
          <w:szCs w:val="24"/>
          <w:rtl/>
        </w:rPr>
        <w:t xml:space="preserve"> חריף</w:t>
      </w:r>
      <w:r w:rsidRPr="000D2B58">
        <w:rPr>
          <w:rFonts w:cstheme="minorHAnsi"/>
          <w:sz w:val="24"/>
          <w:szCs w:val="24"/>
          <w:rtl/>
        </w:rPr>
        <w:t xml:space="preserve">. בחברה בבעלות מבוזרת, בעלי המניות מיוצגים </w:t>
      </w:r>
      <w:r w:rsidR="00D739AD" w:rsidRPr="000D2B58">
        <w:rPr>
          <w:rFonts w:cstheme="minorHAnsi"/>
          <w:sz w:val="24"/>
          <w:szCs w:val="24"/>
          <w:rtl/>
        </w:rPr>
        <w:t>על ידי</w:t>
      </w:r>
      <w:r w:rsidRPr="000D2B58">
        <w:rPr>
          <w:rFonts w:cstheme="minorHAnsi"/>
          <w:sz w:val="24"/>
          <w:szCs w:val="24"/>
          <w:rtl/>
        </w:rPr>
        <w:t xml:space="preserve"> מנהלים מקצועיים ויכולת ההשפעה </w:t>
      </w:r>
      <w:r w:rsidR="00D739AD" w:rsidRPr="000D2B58">
        <w:rPr>
          <w:rFonts w:cstheme="minorHAnsi"/>
          <w:sz w:val="24"/>
          <w:szCs w:val="24"/>
          <w:rtl/>
        </w:rPr>
        <w:t>שלהם מוגבלת</w:t>
      </w:r>
      <w:r w:rsidRPr="000D2B58">
        <w:rPr>
          <w:rFonts w:cstheme="minorHAnsi"/>
          <w:sz w:val="24"/>
          <w:szCs w:val="24"/>
          <w:rtl/>
        </w:rPr>
        <w:t xml:space="preserve">. לעומת זאת, לבעלי שליטה </w:t>
      </w:r>
      <w:r w:rsidR="00D739AD" w:rsidRPr="000D2B58">
        <w:rPr>
          <w:rFonts w:cstheme="minorHAnsi"/>
          <w:sz w:val="24"/>
          <w:szCs w:val="24"/>
          <w:rtl/>
        </w:rPr>
        <w:t xml:space="preserve">בחברה ריכוזית </w:t>
      </w:r>
      <w:r w:rsidRPr="000D2B58">
        <w:rPr>
          <w:rFonts w:cstheme="minorHAnsi"/>
          <w:sz w:val="24"/>
          <w:szCs w:val="24"/>
          <w:rtl/>
        </w:rPr>
        <w:t xml:space="preserve">יש גם יכולת השפעה על המנהלים וגם תמריץ כלכלי משמעותי לשמר את השליטה שלהם </w:t>
      </w:r>
      <w:r w:rsidR="00D739AD" w:rsidRPr="000D2B58">
        <w:rPr>
          <w:rFonts w:cstheme="minorHAnsi"/>
          <w:sz w:val="24"/>
          <w:szCs w:val="24"/>
          <w:rtl/>
        </w:rPr>
        <w:t>בחברה</w:t>
      </w:r>
      <w:r w:rsidRPr="000D2B58">
        <w:rPr>
          <w:rFonts w:cstheme="minorHAnsi"/>
          <w:sz w:val="24"/>
          <w:szCs w:val="24"/>
          <w:rtl/>
        </w:rPr>
        <w:t>.</w:t>
      </w:r>
    </w:p>
    <w:p w14:paraId="39438A5C" w14:textId="77777777" w:rsidR="000D2B58" w:rsidRDefault="000D2B58" w:rsidP="0043643A">
      <w:pPr>
        <w:spacing w:after="120" w:line="360" w:lineRule="auto"/>
        <w:jc w:val="both"/>
        <w:rPr>
          <w:rFonts w:cstheme="minorHAnsi"/>
          <w:sz w:val="24"/>
          <w:szCs w:val="24"/>
          <w:rtl/>
        </w:rPr>
      </w:pPr>
    </w:p>
    <w:p w14:paraId="2E1F2CB3" w14:textId="77777777" w:rsidR="000D2B58" w:rsidRDefault="000D2B58" w:rsidP="0043643A">
      <w:pPr>
        <w:spacing w:after="120" w:line="360" w:lineRule="auto"/>
        <w:jc w:val="both"/>
        <w:rPr>
          <w:rFonts w:cstheme="minorHAnsi"/>
          <w:sz w:val="24"/>
          <w:szCs w:val="24"/>
          <w:rtl/>
        </w:rPr>
      </w:pPr>
    </w:p>
    <w:p w14:paraId="699A597E" w14:textId="6F1FB2E7" w:rsidR="00B25463" w:rsidRPr="000D2B58" w:rsidRDefault="00B25463" w:rsidP="0043643A">
      <w:pPr>
        <w:spacing w:after="120" w:line="360" w:lineRule="auto"/>
        <w:jc w:val="both"/>
        <w:rPr>
          <w:rFonts w:cstheme="minorHAnsi"/>
          <w:sz w:val="24"/>
          <w:szCs w:val="24"/>
          <w:rtl/>
        </w:rPr>
      </w:pPr>
      <w:r w:rsidRPr="000D2B58">
        <w:rPr>
          <w:rFonts w:cstheme="minorHAnsi"/>
          <w:sz w:val="24"/>
          <w:szCs w:val="24"/>
          <w:rtl/>
        </w:rPr>
        <w:lastRenderedPageBreak/>
        <w:t xml:space="preserve">מבט קדימה על התפתחויות נוספות: </w:t>
      </w:r>
    </w:p>
    <w:p w14:paraId="11CAFC56" w14:textId="40541DE6" w:rsidR="0043643A" w:rsidRPr="000D2B58" w:rsidRDefault="00802DDC" w:rsidP="00EA3963">
      <w:pPr>
        <w:spacing w:after="120" w:line="360" w:lineRule="auto"/>
        <w:jc w:val="both"/>
        <w:rPr>
          <w:rFonts w:cstheme="minorHAnsi"/>
          <w:sz w:val="24"/>
          <w:szCs w:val="24"/>
          <w:rtl/>
        </w:rPr>
      </w:pPr>
      <w:r w:rsidRPr="000D2B58">
        <w:rPr>
          <w:rFonts w:cstheme="minorHAnsi"/>
          <w:sz w:val="24"/>
          <w:szCs w:val="24"/>
          <w:rtl/>
        </w:rPr>
        <w:t xml:space="preserve">המדגם </w:t>
      </w:r>
      <w:r w:rsidR="002C3679" w:rsidRPr="000D2B58">
        <w:rPr>
          <w:rFonts w:cstheme="minorHAnsi"/>
          <w:sz w:val="24"/>
          <w:szCs w:val="24"/>
          <w:rtl/>
        </w:rPr>
        <w:t>במחקר זה מסתיים ב-2018 בעוד</w:t>
      </w:r>
      <w:r w:rsidRPr="000D2B58">
        <w:rPr>
          <w:rFonts w:cstheme="minorHAnsi"/>
          <w:sz w:val="24"/>
          <w:szCs w:val="24"/>
          <w:rtl/>
        </w:rPr>
        <w:t xml:space="preserve"> </w:t>
      </w:r>
      <w:r w:rsidR="002C3679" w:rsidRPr="000D2B58">
        <w:rPr>
          <w:rFonts w:cstheme="minorHAnsi"/>
          <w:sz w:val="24"/>
          <w:szCs w:val="24"/>
          <w:rtl/>
        </w:rPr>
        <w:t>שבשנת 2019 נכנס לתוקפו</w:t>
      </w:r>
      <w:r w:rsidRPr="000D2B58">
        <w:rPr>
          <w:rFonts w:cstheme="minorHAnsi"/>
          <w:sz w:val="24"/>
          <w:szCs w:val="24"/>
          <w:rtl/>
        </w:rPr>
        <w:t xml:space="preserve"> חוק חדלות פירעון ושיקום כלכלי - התשע"ח-2018. </w:t>
      </w:r>
      <w:r w:rsidR="00E433B1" w:rsidRPr="000D2B58">
        <w:rPr>
          <w:rFonts w:cstheme="minorHAnsi"/>
          <w:sz w:val="24"/>
          <w:szCs w:val="24"/>
          <w:rtl/>
        </w:rPr>
        <w:t xml:space="preserve">החוק שימר את שני המסלולים העיקריים </w:t>
      </w:r>
      <w:r w:rsidR="004C2C68" w:rsidRPr="000D2B58">
        <w:rPr>
          <w:rFonts w:cstheme="minorHAnsi"/>
          <w:sz w:val="24"/>
          <w:szCs w:val="24"/>
          <w:rtl/>
        </w:rPr>
        <w:t>הזמינים</w:t>
      </w:r>
      <w:r w:rsidR="00E433B1" w:rsidRPr="000D2B58">
        <w:rPr>
          <w:rFonts w:cstheme="minorHAnsi"/>
          <w:sz w:val="24"/>
          <w:szCs w:val="24"/>
          <w:rtl/>
        </w:rPr>
        <w:t xml:space="preserve"> </w:t>
      </w:r>
      <w:r w:rsidR="004C2C68" w:rsidRPr="000D2B58">
        <w:rPr>
          <w:rFonts w:cstheme="minorHAnsi"/>
          <w:sz w:val="24"/>
          <w:szCs w:val="24"/>
          <w:rtl/>
        </w:rPr>
        <w:t>ל</w:t>
      </w:r>
      <w:r w:rsidR="00E433B1" w:rsidRPr="000D2B58">
        <w:rPr>
          <w:rFonts w:cstheme="minorHAnsi"/>
          <w:sz w:val="24"/>
          <w:szCs w:val="24"/>
          <w:rtl/>
        </w:rPr>
        <w:t>חברות על סף חדלות פירעון בא</w:t>
      </w:r>
      <w:r w:rsidR="004C2C68" w:rsidRPr="000D2B58">
        <w:rPr>
          <w:rFonts w:cstheme="minorHAnsi"/>
          <w:sz w:val="24"/>
          <w:szCs w:val="24"/>
          <w:rtl/>
        </w:rPr>
        <w:t>ופן דומה למה שהיה קיים קודם לכן -</w:t>
      </w:r>
      <w:r w:rsidR="00E433B1" w:rsidRPr="000D2B58">
        <w:rPr>
          <w:rFonts w:cstheme="minorHAnsi"/>
          <w:sz w:val="24"/>
          <w:szCs w:val="24"/>
          <w:rtl/>
        </w:rPr>
        <w:t xml:space="preserve"> הליך לפי פרק ב' לחוק מציע הליך חדלות פירעון "מלא" הכולל מינוי נאמן</w:t>
      </w:r>
      <w:r w:rsidR="004C2C68" w:rsidRPr="000D2B58">
        <w:rPr>
          <w:rFonts w:cstheme="minorHAnsi"/>
          <w:sz w:val="24"/>
          <w:szCs w:val="24"/>
          <w:rtl/>
        </w:rPr>
        <w:t xml:space="preserve">, </w:t>
      </w:r>
      <w:r w:rsidR="00E433B1" w:rsidRPr="000D2B58">
        <w:rPr>
          <w:rFonts w:cstheme="minorHAnsi"/>
          <w:sz w:val="24"/>
          <w:szCs w:val="24"/>
          <w:rtl/>
        </w:rPr>
        <w:t xml:space="preserve">עיכוב הליכים </w:t>
      </w:r>
      <w:r w:rsidR="004C2C68" w:rsidRPr="000D2B58">
        <w:rPr>
          <w:rFonts w:cstheme="minorHAnsi"/>
          <w:sz w:val="24"/>
          <w:szCs w:val="24"/>
          <w:rtl/>
        </w:rPr>
        <w:t>ו</w:t>
      </w:r>
      <w:r w:rsidR="00E433B1" w:rsidRPr="000D2B58">
        <w:rPr>
          <w:rFonts w:cstheme="minorHAnsi"/>
          <w:sz w:val="24"/>
          <w:szCs w:val="24"/>
          <w:rtl/>
        </w:rPr>
        <w:t>איסור פירעון חובות עבר</w:t>
      </w:r>
      <w:r w:rsidR="004C2C68" w:rsidRPr="000D2B58">
        <w:rPr>
          <w:rFonts w:cstheme="minorHAnsi"/>
          <w:sz w:val="24"/>
          <w:szCs w:val="24"/>
          <w:rtl/>
        </w:rPr>
        <w:t>;</w:t>
      </w:r>
      <w:r w:rsidR="00E433B1" w:rsidRPr="000D2B58">
        <w:rPr>
          <w:rFonts w:cstheme="minorHAnsi"/>
          <w:sz w:val="24"/>
          <w:szCs w:val="24"/>
          <w:rtl/>
        </w:rPr>
        <w:t xml:space="preserve"> הליך לפי פרק י' לחוק מאפשר לתאגיד להגיע להסדר מול הנושים. בהליך זה, השליטה בתאגיד נותרת בידי הבעלים, אין </w:t>
      </w:r>
      <w:r w:rsidR="00EA3963" w:rsidRPr="000D2B58">
        <w:rPr>
          <w:rFonts w:cstheme="minorHAnsi"/>
          <w:sz w:val="24"/>
          <w:szCs w:val="24"/>
          <w:rtl/>
        </w:rPr>
        <w:t xml:space="preserve">הקפאת </w:t>
      </w:r>
      <w:r w:rsidR="00E433B1" w:rsidRPr="000D2B58">
        <w:rPr>
          <w:rFonts w:cstheme="minorHAnsi"/>
          <w:sz w:val="24"/>
          <w:szCs w:val="24"/>
          <w:rtl/>
        </w:rPr>
        <w:t xml:space="preserve">הליכים, והתאגיד מחויב לעמוד במלוא ההתחייבויות לנושים. </w:t>
      </w:r>
      <w:r w:rsidR="001A3E57" w:rsidRPr="000D2B58">
        <w:rPr>
          <w:rFonts w:cstheme="minorHAnsi"/>
          <w:sz w:val="24"/>
          <w:szCs w:val="24"/>
          <w:rtl/>
        </w:rPr>
        <w:t>במקביל,</w:t>
      </w:r>
      <w:r w:rsidR="00E433B1" w:rsidRPr="000D2B58">
        <w:rPr>
          <w:rFonts w:cstheme="minorHAnsi"/>
          <w:sz w:val="24"/>
          <w:szCs w:val="24"/>
          <w:rtl/>
        </w:rPr>
        <w:t xml:space="preserve"> תיקון 4 לחוק חדלות פירעון </w:t>
      </w:r>
      <w:r w:rsidR="001A3E57" w:rsidRPr="000D2B58">
        <w:rPr>
          <w:rFonts w:cstheme="minorHAnsi"/>
          <w:sz w:val="24"/>
          <w:szCs w:val="24"/>
          <w:rtl/>
        </w:rPr>
        <w:t xml:space="preserve">ושיקום כלכלי - התשע"ח-2018 </w:t>
      </w:r>
      <w:r w:rsidR="00E433B1" w:rsidRPr="000D2B58">
        <w:rPr>
          <w:rFonts w:cstheme="minorHAnsi"/>
          <w:sz w:val="24"/>
          <w:szCs w:val="24"/>
          <w:rtl/>
        </w:rPr>
        <w:t xml:space="preserve">נכנס לתוקף כהוראת שעה </w:t>
      </w:r>
      <w:r w:rsidR="004C2C68" w:rsidRPr="000D2B58">
        <w:rPr>
          <w:rFonts w:cstheme="minorHAnsi"/>
          <w:sz w:val="24"/>
          <w:szCs w:val="24"/>
          <w:rtl/>
        </w:rPr>
        <w:t>ב</w:t>
      </w:r>
      <w:r w:rsidR="001A3E57" w:rsidRPr="000D2B58">
        <w:rPr>
          <w:rFonts w:cstheme="minorHAnsi"/>
          <w:sz w:val="24"/>
          <w:szCs w:val="24"/>
          <w:rtl/>
        </w:rPr>
        <w:t xml:space="preserve">תחילת </w:t>
      </w:r>
      <w:r w:rsidR="004C2C68" w:rsidRPr="000D2B58">
        <w:rPr>
          <w:rFonts w:cstheme="minorHAnsi"/>
          <w:sz w:val="24"/>
          <w:szCs w:val="24"/>
          <w:rtl/>
        </w:rPr>
        <w:t>שנת 2021</w:t>
      </w:r>
      <w:r w:rsidR="00E433B1" w:rsidRPr="000D2B58">
        <w:rPr>
          <w:rFonts w:cstheme="minorHAnsi"/>
          <w:sz w:val="24"/>
          <w:szCs w:val="24"/>
          <w:rtl/>
        </w:rPr>
        <w:t>, ו</w:t>
      </w:r>
      <w:r w:rsidR="001A3E57" w:rsidRPr="000D2B58">
        <w:rPr>
          <w:rFonts w:cstheme="minorHAnsi"/>
          <w:sz w:val="24"/>
          <w:szCs w:val="24"/>
          <w:rtl/>
        </w:rPr>
        <w:t>תוקפו הוארך עד למרץ 2024. התיקון</w:t>
      </w:r>
      <w:r w:rsidR="00E433B1" w:rsidRPr="000D2B58">
        <w:rPr>
          <w:rFonts w:cstheme="minorHAnsi"/>
          <w:sz w:val="24"/>
          <w:szCs w:val="24"/>
          <w:rtl/>
        </w:rPr>
        <w:t xml:space="preserve"> יצר מסלול חדש של עיכוב הליכים. מסלול ביניים זה אינו מעביר את ניהול החברה מידי בעלי השליטה, אך כן מספק לה דחייה בתשלום חובות.</w:t>
      </w:r>
      <w:r w:rsidR="001A3E57" w:rsidRPr="000D2B58">
        <w:rPr>
          <w:rFonts w:cstheme="minorHAnsi"/>
          <w:sz w:val="24"/>
          <w:szCs w:val="24"/>
          <w:rtl/>
        </w:rPr>
        <w:t xml:space="preserve"> </w:t>
      </w:r>
    </w:p>
    <w:p w14:paraId="482E956C" w14:textId="3163CDCF" w:rsidR="004038F2" w:rsidRPr="000D2B58" w:rsidRDefault="0043643A" w:rsidP="00E3758D">
      <w:pPr>
        <w:spacing w:after="120" w:line="360" w:lineRule="auto"/>
        <w:jc w:val="both"/>
        <w:rPr>
          <w:rFonts w:cstheme="minorHAnsi"/>
          <w:sz w:val="24"/>
          <w:szCs w:val="24"/>
          <w:rtl/>
        </w:rPr>
      </w:pPr>
      <w:r w:rsidRPr="000D2B58">
        <w:rPr>
          <w:rFonts w:cstheme="minorHAnsi"/>
          <w:sz w:val="24"/>
          <w:szCs w:val="24"/>
          <w:rtl/>
        </w:rPr>
        <w:t xml:space="preserve">איסוף נתונים ראשוני עבור השנים </w:t>
      </w:r>
      <w:r w:rsidR="008C27FF" w:rsidRPr="000D2B58">
        <w:rPr>
          <w:rFonts w:cstheme="minorHAnsi"/>
          <w:sz w:val="24"/>
          <w:szCs w:val="24"/>
          <w:rtl/>
        </w:rPr>
        <w:t xml:space="preserve">2019 ואילך </w:t>
      </w:r>
      <w:r w:rsidRPr="000D2B58">
        <w:rPr>
          <w:rFonts w:cstheme="minorHAnsi"/>
          <w:sz w:val="24"/>
          <w:szCs w:val="24"/>
          <w:rtl/>
        </w:rPr>
        <w:t xml:space="preserve">מצביע על כך שמיעוט חברות היו מעורבות בהסדרי חוב בשנים העוקבות; כ-11 חברות </w:t>
      </w:r>
      <w:r w:rsidR="00AC5E21" w:rsidRPr="000D2B58">
        <w:rPr>
          <w:rFonts w:cstheme="minorHAnsi"/>
          <w:sz w:val="24"/>
          <w:szCs w:val="24"/>
          <w:rtl/>
        </w:rPr>
        <w:t>השלימו</w:t>
      </w:r>
      <w:r w:rsidRPr="000D2B58">
        <w:rPr>
          <w:rFonts w:cstheme="minorHAnsi"/>
          <w:sz w:val="24"/>
          <w:szCs w:val="24"/>
          <w:rtl/>
        </w:rPr>
        <w:t xml:space="preserve"> הסדר חוב במעורבות בית המשפט (בהליך </w:t>
      </w:r>
      <w:r w:rsidR="00AC5E21" w:rsidRPr="000D2B58">
        <w:rPr>
          <w:rFonts w:cstheme="minorHAnsi"/>
          <w:sz w:val="24"/>
          <w:szCs w:val="24"/>
          <w:rtl/>
        </w:rPr>
        <w:t>"</w:t>
      </w:r>
      <w:r w:rsidRPr="000D2B58">
        <w:rPr>
          <w:rFonts w:cstheme="minorHAnsi"/>
          <w:sz w:val="24"/>
          <w:szCs w:val="24"/>
          <w:rtl/>
        </w:rPr>
        <w:t>מלא</w:t>
      </w:r>
      <w:r w:rsidR="00AC5E21" w:rsidRPr="000D2B58">
        <w:rPr>
          <w:rFonts w:cstheme="minorHAnsi"/>
          <w:sz w:val="24"/>
          <w:szCs w:val="24"/>
          <w:rtl/>
        </w:rPr>
        <w:t>"</w:t>
      </w:r>
      <w:r w:rsidRPr="000D2B58">
        <w:rPr>
          <w:rFonts w:cstheme="minorHAnsi"/>
          <w:sz w:val="24"/>
          <w:szCs w:val="24"/>
          <w:rtl/>
        </w:rPr>
        <w:t xml:space="preserve"> או חיצוני) בין השנים 2019 </w:t>
      </w:r>
      <w:r w:rsidR="00AC5E21" w:rsidRPr="000D2B58">
        <w:rPr>
          <w:rFonts w:cstheme="minorHAnsi"/>
          <w:sz w:val="24"/>
          <w:szCs w:val="24"/>
          <w:rtl/>
        </w:rPr>
        <w:t>-</w:t>
      </w:r>
      <w:r w:rsidRPr="000D2B58">
        <w:rPr>
          <w:rFonts w:cstheme="minorHAnsi"/>
          <w:sz w:val="24"/>
          <w:szCs w:val="24"/>
          <w:rtl/>
        </w:rPr>
        <w:t xml:space="preserve">2021. </w:t>
      </w:r>
      <w:r w:rsidR="001A3E57" w:rsidRPr="000D2B58">
        <w:rPr>
          <w:rFonts w:cstheme="minorHAnsi"/>
          <w:sz w:val="24"/>
          <w:szCs w:val="24"/>
          <w:rtl/>
        </w:rPr>
        <w:t>מחקר עתידי</w:t>
      </w:r>
      <w:r w:rsidRPr="000D2B58">
        <w:rPr>
          <w:rFonts w:cstheme="minorHAnsi"/>
          <w:sz w:val="24"/>
          <w:szCs w:val="24"/>
          <w:rtl/>
        </w:rPr>
        <w:t>,</w:t>
      </w:r>
      <w:r w:rsidR="001A3E57" w:rsidRPr="000D2B58">
        <w:rPr>
          <w:rFonts w:cstheme="minorHAnsi"/>
          <w:sz w:val="24"/>
          <w:szCs w:val="24"/>
          <w:rtl/>
        </w:rPr>
        <w:t xml:space="preserve"> </w:t>
      </w:r>
      <w:r w:rsidRPr="000D2B58">
        <w:rPr>
          <w:rFonts w:cstheme="minorHAnsi"/>
          <w:sz w:val="24"/>
          <w:szCs w:val="24"/>
          <w:rtl/>
        </w:rPr>
        <w:t xml:space="preserve">לכשיתווספו חברות נוספות, </w:t>
      </w:r>
      <w:r w:rsidR="001A3E57" w:rsidRPr="000D2B58">
        <w:rPr>
          <w:rFonts w:cstheme="minorHAnsi"/>
          <w:sz w:val="24"/>
          <w:szCs w:val="24"/>
          <w:rtl/>
        </w:rPr>
        <w:t>יוכל לבדוק</w:t>
      </w:r>
      <w:r w:rsidR="004C2C68" w:rsidRPr="000D2B58">
        <w:rPr>
          <w:rFonts w:cstheme="minorHAnsi"/>
          <w:sz w:val="24"/>
          <w:szCs w:val="24"/>
          <w:rtl/>
        </w:rPr>
        <w:t xml:space="preserve"> כיצד השפיע </w:t>
      </w:r>
      <w:r w:rsidR="0007005E" w:rsidRPr="000D2B58">
        <w:rPr>
          <w:rFonts w:cstheme="minorHAnsi"/>
          <w:sz w:val="24"/>
          <w:szCs w:val="24"/>
          <w:rtl/>
        </w:rPr>
        <w:t xml:space="preserve">החוק </w:t>
      </w:r>
      <w:r w:rsidR="00474663" w:rsidRPr="000D2B58">
        <w:rPr>
          <w:rFonts w:cstheme="minorHAnsi"/>
          <w:sz w:val="24"/>
          <w:szCs w:val="24"/>
          <w:rtl/>
        </w:rPr>
        <w:t>שנכנס לתוקף ב-2019</w:t>
      </w:r>
      <w:r w:rsidR="001A3E57" w:rsidRPr="000D2B58">
        <w:rPr>
          <w:rFonts w:cstheme="minorHAnsi"/>
          <w:sz w:val="24"/>
          <w:szCs w:val="24"/>
          <w:rtl/>
        </w:rPr>
        <w:t>, ובדגש על תיקון 4</w:t>
      </w:r>
      <w:r w:rsidR="00474663" w:rsidRPr="000D2B58">
        <w:rPr>
          <w:rFonts w:cstheme="minorHAnsi"/>
          <w:sz w:val="24"/>
          <w:szCs w:val="24"/>
          <w:rtl/>
        </w:rPr>
        <w:t xml:space="preserve"> שנכנס לתוקף ב-2021</w:t>
      </w:r>
      <w:r w:rsidR="001A3E57" w:rsidRPr="000D2B58">
        <w:rPr>
          <w:rFonts w:cstheme="minorHAnsi"/>
          <w:sz w:val="24"/>
          <w:szCs w:val="24"/>
          <w:rtl/>
        </w:rPr>
        <w:t>,</w:t>
      </w:r>
      <w:r w:rsidR="004C2C68" w:rsidRPr="000D2B58">
        <w:rPr>
          <w:rFonts w:cstheme="minorHAnsi"/>
          <w:sz w:val="24"/>
          <w:szCs w:val="24"/>
          <w:rtl/>
        </w:rPr>
        <w:t xml:space="preserve"> על האופן שבו מתמודדות חברות אג"ח עם מצוקת חוב</w:t>
      </w:r>
      <w:r w:rsidR="0007005E" w:rsidRPr="000D2B58">
        <w:rPr>
          <w:rFonts w:cstheme="minorHAnsi"/>
          <w:sz w:val="24"/>
          <w:szCs w:val="24"/>
          <w:rtl/>
        </w:rPr>
        <w:t xml:space="preserve"> בהשוואה לתקופה </w:t>
      </w:r>
      <w:r w:rsidR="00E3758D" w:rsidRPr="000D2B58">
        <w:rPr>
          <w:rFonts w:cstheme="minorHAnsi"/>
          <w:sz w:val="24"/>
          <w:szCs w:val="24"/>
          <w:rtl/>
        </w:rPr>
        <w:t>שעמדה</w:t>
      </w:r>
      <w:r w:rsidR="0007005E" w:rsidRPr="000D2B58">
        <w:rPr>
          <w:rFonts w:cstheme="minorHAnsi"/>
          <w:sz w:val="24"/>
          <w:szCs w:val="24"/>
          <w:rtl/>
        </w:rPr>
        <w:t xml:space="preserve"> במוקד הניתוח במאמר הנוכחי</w:t>
      </w:r>
      <w:r w:rsidR="004C2C68" w:rsidRPr="000D2B58">
        <w:rPr>
          <w:rFonts w:cstheme="minorHAnsi"/>
          <w:sz w:val="24"/>
          <w:szCs w:val="24"/>
          <w:rtl/>
        </w:rPr>
        <w:t xml:space="preserve">. </w:t>
      </w:r>
    </w:p>
    <w:p w14:paraId="28636A3D" w14:textId="77777777" w:rsidR="004038F2" w:rsidRPr="000D2B58" w:rsidRDefault="004038F2" w:rsidP="004038F2">
      <w:pPr>
        <w:spacing w:after="120" w:line="360" w:lineRule="auto"/>
        <w:rPr>
          <w:rFonts w:cstheme="minorHAnsi"/>
          <w:sz w:val="24"/>
          <w:szCs w:val="24"/>
        </w:rPr>
      </w:pPr>
    </w:p>
    <w:sectPr w:rsidR="004038F2" w:rsidRPr="000D2B58" w:rsidSect="00B15896">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920BF" w14:textId="77777777" w:rsidR="009014D0" w:rsidRDefault="009014D0" w:rsidP="000E4A3F">
      <w:pPr>
        <w:spacing w:after="0" w:line="240" w:lineRule="auto"/>
      </w:pPr>
      <w:r>
        <w:separator/>
      </w:r>
    </w:p>
  </w:endnote>
  <w:endnote w:type="continuationSeparator" w:id="0">
    <w:p w14:paraId="53C90789" w14:textId="77777777" w:rsidR="009014D0" w:rsidRDefault="009014D0" w:rsidP="000E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F206" w14:textId="77777777" w:rsidR="009014D0" w:rsidRDefault="009014D0" w:rsidP="000E4A3F">
      <w:pPr>
        <w:spacing w:after="0" w:line="240" w:lineRule="auto"/>
      </w:pPr>
      <w:r>
        <w:separator/>
      </w:r>
    </w:p>
  </w:footnote>
  <w:footnote w:type="continuationSeparator" w:id="0">
    <w:p w14:paraId="7BA44B27" w14:textId="77777777" w:rsidR="009014D0" w:rsidRDefault="009014D0" w:rsidP="000E4A3F">
      <w:pPr>
        <w:spacing w:after="0" w:line="240" w:lineRule="auto"/>
      </w:pPr>
      <w:r>
        <w:continuationSeparator/>
      </w:r>
    </w:p>
  </w:footnote>
  <w:footnote w:id="1">
    <w:p w14:paraId="2A8BE8BE" w14:textId="7D6EE0AB" w:rsidR="004C073D" w:rsidRPr="000D2B58" w:rsidRDefault="004C073D" w:rsidP="004C073D">
      <w:pPr>
        <w:pStyle w:val="a3"/>
        <w:rPr>
          <w:rFonts w:cstheme="minorHAnsi"/>
        </w:rPr>
      </w:pPr>
      <w:r w:rsidRPr="000D2B58">
        <w:rPr>
          <w:rStyle w:val="a5"/>
          <w:rFonts w:cstheme="minorHAnsi"/>
        </w:rPr>
        <w:footnoteRef/>
      </w:r>
      <w:r w:rsidRPr="000D2B58">
        <w:rPr>
          <w:rFonts w:cstheme="minorHAnsi"/>
          <w:rtl/>
        </w:rPr>
        <w:t xml:space="preserve"> לפי רעיון בסיסי זה במימון, בעלי החברה (בעלי המניות) הם האחרונים בסדר הנשייה במקרה של חדלות פירעון. כלומר, כל עוד לא שולמו כל ההתחייבויות לנושים, בעלי מניות המיעוט, שאינם תורמים פיננסית לחברה שמצויה בקשיים, לא אמורים לקבל כל תשלום.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133"/>
    <w:multiLevelType w:val="hybridMultilevel"/>
    <w:tmpl w:val="7A06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13941"/>
    <w:multiLevelType w:val="hybridMultilevel"/>
    <w:tmpl w:val="40BC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76802"/>
    <w:multiLevelType w:val="hybridMultilevel"/>
    <w:tmpl w:val="D19E24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2E"/>
    <w:rsid w:val="00027EDB"/>
    <w:rsid w:val="00037068"/>
    <w:rsid w:val="0003742F"/>
    <w:rsid w:val="00047488"/>
    <w:rsid w:val="000550D6"/>
    <w:rsid w:val="0006406E"/>
    <w:rsid w:val="00067560"/>
    <w:rsid w:val="0007005E"/>
    <w:rsid w:val="0008365D"/>
    <w:rsid w:val="000848E7"/>
    <w:rsid w:val="000A065D"/>
    <w:rsid w:val="000B7D2E"/>
    <w:rsid w:val="000D2B58"/>
    <w:rsid w:val="000E4549"/>
    <w:rsid w:val="000E4A3F"/>
    <w:rsid w:val="000F4BDC"/>
    <w:rsid w:val="000F7ACE"/>
    <w:rsid w:val="0010067A"/>
    <w:rsid w:val="00130CEF"/>
    <w:rsid w:val="00135DE9"/>
    <w:rsid w:val="001365A9"/>
    <w:rsid w:val="00142ADC"/>
    <w:rsid w:val="00166C08"/>
    <w:rsid w:val="00171668"/>
    <w:rsid w:val="0018662B"/>
    <w:rsid w:val="00186E34"/>
    <w:rsid w:val="0019513C"/>
    <w:rsid w:val="001A3E57"/>
    <w:rsid w:val="001C414A"/>
    <w:rsid w:val="001C75D2"/>
    <w:rsid w:val="001D70C0"/>
    <w:rsid w:val="001E1153"/>
    <w:rsid w:val="001F13B9"/>
    <w:rsid w:val="001F24F8"/>
    <w:rsid w:val="001F2F96"/>
    <w:rsid w:val="00200503"/>
    <w:rsid w:val="00203B2D"/>
    <w:rsid w:val="00213078"/>
    <w:rsid w:val="00214F15"/>
    <w:rsid w:val="00215521"/>
    <w:rsid w:val="00216893"/>
    <w:rsid w:val="0022032A"/>
    <w:rsid w:val="002250C0"/>
    <w:rsid w:val="00227454"/>
    <w:rsid w:val="00247C9B"/>
    <w:rsid w:val="0025074B"/>
    <w:rsid w:val="00250E1A"/>
    <w:rsid w:val="002531EE"/>
    <w:rsid w:val="00256CB7"/>
    <w:rsid w:val="00257FA6"/>
    <w:rsid w:val="00262169"/>
    <w:rsid w:val="00270405"/>
    <w:rsid w:val="00272D9F"/>
    <w:rsid w:val="002A0069"/>
    <w:rsid w:val="002B61EA"/>
    <w:rsid w:val="002C3679"/>
    <w:rsid w:val="002C7BE8"/>
    <w:rsid w:val="002E4BB7"/>
    <w:rsid w:val="003005FB"/>
    <w:rsid w:val="00302A4F"/>
    <w:rsid w:val="003146AD"/>
    <w:rsid w:val="00314DB7"/>
    <w:rsid w:val="00327438"/>
    <w:rsid w:val="003307A5"/>
    <w:rsid w:val="00331E1A"/>
    <w:rsid w:val="00336F70"/>
    <w:rsid w:val="00341B97"/>
    <w:rsid w:val="00351DF8"/>
    <w:rsid w:val="00354F31"/>
    <w:rsid w:val="003605D3"/>
    <w:rsid w:val="00363E5D"/>
    <w:rsid w:val="0037418B"/>
    <w:rsid w:val="003777A6"/>
    <w:rsid w:val="003864C8"/>
    <w:rsid w:val="003A07A2"/>
    <w:rsid w:val="003A2E8E"/>
    <w:rsid w:val="003A5C75"/>
    <w:rsid w:val="003A72E5"/>
    <w:rsid w:val="003C752C"/>
    <w:rsid w:val="003D34C3"/>
    <w:rsid w:val="003E79B8"/>
    <w:rsid w:val="003F2990"/>
    <w:rsid w:val="004038F2"/>
    <w:rsid w:val="004043B9"/>
    <w:rsid w:val="00415FA2"/>
    <w:rsid w:val="00420B3E"/>
    <w:rsid w:val="0043643A"/>
    <w:rsid w:val="00437B01"/>
    <w:rsid w:val="00445581"/>
    <w:rsid w:val="00452CD7"/>
    <w:rsid w:val="00461D24"/>
    <w:rsid w:val="00474663"/>
    <w:rsid w:val="00480F09"/>
    <w:rsid w:val="004812D0"/>
    <w:rsid w:val="00487184"/>
    <w:rsid w:val="004A2CBD"/>
    <w:rsid w:val="004B0F37"/>
    <w:rsid w:val="004C0024"/>
    <w:rsid w:val="004C00FF"/>
    <w:rsid w:val="004C073D"/>
    <w:rsid w:val="004C2C68"/>
    <w:rsid w:val="004E76DC"/>
    <w:rsid w:val="00507320"/>
    <w:rsid w:val="00513A46"/>
    <w:rsid w:val="00516827"/>
    <w:rsid w:val="0052146C"/>
    <w:rsid w:val="0052720A"/>
    <w:rsid w:val="00536228"/>
    <w:rsid w:val="00543BA8"/>
    <w:rsid w:val="0054609F"/>
    <w:rsid w:val="00546C4A"/>
    <w:rsid w:val="00551A96"/>
    <w:rsid w:val="00570917"/>
    <w:rsid w:val="0058007E"/>
    <w:rsid w:val="00580895"/>
    <w:rsid w:val="005845BA"/>
    <w:rsid w:val="00584CD8"/>
    <w:rsid w:val="005A48D7"/>
    <w:rsid w:val="005C47F9"/>
    <w:rsid w:val="005C6957"/>
    <w:rsid w:val="005E7149"/>
    <w:rsid w:val="005F28F6"/>
    <w:rsid w:val="00606DED"/>
    <w:rsid w:val="00614C2C"/>
    <w:rsid w:val="00623F9B"/>
    <w:rsid w:val="00626AAF"/>
    <w:rsid w:val="00633716"/>
    <w:rsid w:val="00644420"/>
    <w:rsid w:val="00654289"/>
    <w:rsid w:val="006703CD"/>
    <w:rsid w:val="00674BB4"/>
    <w:rsid w:val="006777CF"/>
    <w:rsid w:val="00692087"/>
    <w:rsid w:val="006977F3"/>
    <w:rsid w:val="00697BE7"/>
    <w:rsid w:val="006A65CB"/>
    <w:rsid w:val="006B131D"/>
    <w:rsid w:val="006B1673"/>
    <w:rsid w:val="006C055F"/>
    <w:rsid w:val="006C1DA5"/>
    <w:rsid w:val="006C6206"/>
    <w:rsid w:val="006C762B"/>
    <w:rsid w:val="006D1F89"/>
    <w:rsid w:val="006D5194"/>
    <w:rsid w:val="006D5748"/>
    <w:rsid w:val="006E7291"/>
    <w:rsid w:val="006F2625"/>
    <w:rsid w:val="0070001D"/>
    <w:rsid w:val="0071206B"/>
    <w:rsid w:val="00725B63"/>
    <w:rsid w:val="00742234"/>
    <w:rsid w:val="0074533D"/>
    <w:rsid w:val="0075772E"/>
    <w:rsid w:val="00757B49"/>
    <w:rsid w:val="00764859"/>
    <w:rsid w:val="0077360B"/>
    <w:rsid w:val="00775DC5"/>
    <w:rsid w:val="00793497"/>
    <w:rsid w:val="007A27B2"/>
    <w:rsid w:val="007E3130"/>
    <w:rsid w:val="007E5D3F"/>
    <w:rsid w:val="007F2FDE"/>
    <w:rsid w:val="00800539"/>
    <w:rsid w:val="00802DDC"/>
    <w:rsid w:val="00846157"/>
    <w:rsid w:val="00852B43"/>
    <w:rsid w:val="00857BEA"/>
    <w:rsid w:val="008635BD"/>
    <w:rsid w:val="00865FAB"/>
    <w:rsid w:val="00876DC6"/>
    <w:rsid w:val="008B58C8"/>
    <w:rsid w:val="008B6C44"/>
    <w:rsid w:val="008B71C1"/>
    <w:rsid w:val="008B733E"/>
    <w:rsid w:val="008C27FF"/>
    <w:rsid w:val="008C78EE"/>
    <w:rsid w:val="008D1ED8"/>
    <w:rsid w:val="008D2869"/>
    <w:rsid w:val="008D43C4"/>
    <w:rsid w:val="008E3672"/>
    <w:rsid w:val="008F2FDC"/>
    <w:rsid w:val="008F5D0E"/>
    <w:rsid w:val="009014D0"/>
    <w:rsid w:val="00921769"/>
    <w:rsid w:val="00944180"/>
    <w:rsid w:val="009608C0"/>
    <w:rsid w:val="00972067"/>
    <w:rsid w:val="00975364"/>
    <w:rsid w:val="00987293"/>
    <w:rsid w:val="009A6918"/>
    <w:rsid w:val="009C4D21"/>
    <w:rsid w:val="009C77C1"/>
    <w:rsid w:val="009D74E1"/>
    <w:rsid w:val="00A02454"/>
    <w:rsid w:val="00A05709"/>
    <w:rsid w:val="00A05EAC"/>
    <w:rsid w:val="00A12935"/>
    <w:rsid w:val="00A25A09"/>
    <w:rsid w:val="00A3049C"/>
    <w:rsid w:val="00A4744E"/>
    <w:rsid w:val="00A85364"/>
    <w:rsid w:val="00A85524"/>
    <w:rsid w:val="00A87574"/>
    <w:rsid w:val="00A91E73"/>
    <w:rsid w:val="00AA337B"/>
    <w:rsid w:val="00AA74E2"/>
    <w:rsid w:val="00AB5854"/>
    <w:rsid w:val="00AC5E21"/>
    <w:rsid w:val="00AE2F40"/>
    <w:rsid w:val="00B03363"/>
    <w:rsid w:val="00B037ED"/>
    <w:rsid w:val="00B15896"/>
    <w:rsid w:val="00B252E2"/>
    <w:rsid w:val="00B25463"/>
    <w:rsid w:val="00B301A3"/>
    <w:rsid w:val="00B32206"/>
    <w:rsid w:val="00B55CEB"/>
    <w:rsid w:val="00BA1AE9"/>
    <w:rsid w:val="00BA53FD"/>
    <w:rsid w:val="00BB598A"/>
    <w:rsid w:val="00BC228D"/>
    <w:rsid w:val="00BC6509"/>
    <w:rsid w:val="00BD0529"/>
    <w:rsid w:val="00BD3569"/>
    <w:rsid w:val="00BE3C88"/>
    <w:rsid w:val="00BF327D"/>
    <w:rsid w:val="00BF6434"/>
    <w:rsid w:val="00C173CC"/>
    <w:rsid w:val="00C651F9"/>
    <w:rsid w:val="00C65FB0"/>
    <w:rsid w:val="00C71BD8"/>
    <w:rsid w:val="00C85DA9"/>
    <w:rsid w:val="00CC26EC"/>
    <w:rsid w:val="00CC3CA5"/>
    <w:rsid w:val="00CD34D9"/>
    <w:rsid w:val="00CE0D05"/>
    <w:rsid w:val="00CF08F6"/>
    <w:rsid w:val="00CF262D"/>
    <w:rsid w:val="00D02A9E"/>
    <w:rsid w:val="00D05D5E"/>
    <w:rsid w:val="00D52454"/>
    <w:rsid w:val="00D53804"/>
    <w:rsid w:val="00D6378B"/>
    <w:rsid w:val="00D70C96"/>
    <w:rsid w:val="00D739AD"/>
    <w:rsid w:val="00D95E60"/>
    <w:rsid w:val="00DC22F8"/>
    <w:rsid w:val="00DE2EBA"/>
    <w:rsid w:val="00DE68EF"/>
    <w:rsid w:val="00DE7D79"/>
    <w:rsid w:val="00DF20C1"/>
    <w:rsid w:val="00DF687A"/>
    <w:rsid w:val="00E04AE5"/>
    <w:rsid w:val="00E12E6A"/>
    <w:rsid w:val="00E15C92"/>
    <w:rsid w:val="00E2205D"/>
    <w:rsid w:val="00E223B7"/>
    <w:rsid w:val="00E3758D"/>
    <w:rsid w:val="00E40C8F"/>
    <w:rsid w:val="00E433B1"/>
    <w:rsid w:val="00E529A7"/>
    <w:rsid w:val="00E64E58"/>
    <w:rsid w:val="00E67841"/>
    <w:rsid w:val="00E82753"/>
    <w:rsid w:val="00E92AD2"/>
    <w:rsid w:val="00EA0BD2"/>
    <w:rsid w:val="00EA3963"/>
    <w:rsid w:val="00ED35D8"/>
    <w:rsid w:val="00EE261E"/>
    <w:rsid w:val="00F074CB"/>
    <w:rsid w:val="00F1327F"/>
    <w:rsid w:val="00F23229"/>
    <w:rsid w:val="00F426EE"/>
    <w:rsid w:val="00F50912"/>
    <w:rsid w:val="00F53B4A"/>
    <w:rsid w:val="00F555A7"/>
    <w:rsid w:val="00F63BF3"/>
    <w:rsid w:val="00F66905"/>
    <w:rsid w:val="00F710BE"/>
    <w:rsid w:val="00F750E6"/>
    <w:rsid w:val="00F90FCD"/>
    <w:rsid w:val="00F922F9"/>
    <w:rsid w:val="00FA3366"/>
    <w:rsid w:val="00FB05C4"/>
    <w:rsid w:val="00FB5099"/>
    <w:rsid w:val="00FE6B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221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7736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C695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4A3F"/>
    <w:pPr>
      <w:spacing w:after="0" w:line="240" w:lineRule="auto"/>
    </w:pPr>
    <w:rPr>
      <w:sz w:val="20"/>
      <w:szCs w:val="20"/>
    </w:rPr>
  </w:style>
  <w:style w:type="character" w:customStyle="1" w:styleId="a4">
    <w:name w:val="טקסט הערת שוליים תו"/>
    <w:basedOn w:val="a0"/>
    <w:link w:val="a3"/>
    <w:uiPriority w:val="99"/>
    <w:semiHidden/>
    <w:rsid w:val="000E4A3F"/>
    <w:rPr>
      <w:sz w:val="20"/>
      <w:szCs w:val="20"/>
    </w:rPr>
  </w:style>
  <w:style w:type="character" w:styleId="a5">
    <w:name w:val="footnote reference"/>
    <w:basedOn w:val="a0"/>
    <w:uiPriority w:val="99"/>
    <w:semiHidden/>
    <w:unhideWhenUsed/>
    <w:rsid w:val="000E4A3F"/>
    <w:rPr>
      <w:vertAlign w:val="superscript"/>
    </w:rPr>
  </w:style>
  <w:style w:type="paragraph" w:styleId="a6">
    <w:name w:val="Balloon Text"/>
    <w:basedOn w:val="a"/>
    <w:link w:val="a7"/>
    <w:uiPriority w:val="99"/>
    <w:semiHidden/>
    <w:unhideWhenUsed/>
    <w:rsid w:val="006C1DA5"/>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6C1DA5"/>
    <w:rPr>
      <w:rFonts w:ascii="Tahoma" w:hAnsi="Tahoma" w:cs="Tahoma"/>
      <w:sz w:val="18"/>
      <w:szCs w:val="18"/>
    </w:rPr>
  </w:style>
  <w:style w:type="paragraph" w:styleId="a8">
    <w:name w:val="List Paragraph"/>
    <w:basedOn w:val="a"/>
    <w:uiPriority w:val="34"/>
    <w:qFormat/>
    <w:rsid w:val="00D52454"/>
    <w:pPr>
      <w:ind w:left="720"/>
      <w:contextualSpacing/>
    </w:pPr>
  </w:style>
  <w:style w:type="character" w:styleId="a9">
    <w:name w:val="annotation reference"/>
    <w:basedOn w:val="a0"/>
    <w:uiPriority w:val="99"/>
    <w:semiHidden/>
    <w:unhideWhenUsed/>
    <w:rsid w:val="00D52454"/>
    <w:rPr>
      <w:sz w:val="16"/>
      <w:szCs w:val="16"/>
    </w:rPr>
  </w:style>
  <w:style w:type="paragraph" w:styleId="aa">
    <w:name w:val="annotation text"/>
    <w:basedOn w:val="a"/>
    <w:link w:val="ab"/>
    <w:uiPriority w:val="99"/>
    <w:semiHidden/>
    <w:unhideWhenUsed/>
    <w:rsid w:val="00D52454"/>
    <w:pPr>
      <w:spacing w:line="240" w:lineRule="auto"/>
    </w:pPr>
    <w:rPr>
      <w:sz w:val="20"/>
      <w:szCs w:val="20"/>
    </w:rPr>
  </w:style>
  <w:style w:type="character" w:customStyle="1" w:styleId="ab">
    <w:name w:val="טקסט הערה תו"/>
    <w:basedOn w:val="a0"/>
    <w:link w:val="aa"/>
    <w:uiPriority w:val="99"/>
    <w:semiHidden/>
    <w:rsid w:val="00D52454"/>
    <w:rPr>
      <w:sz w:val="20"/>
      <w:szCs w:val="20"/>
    </w:rPr>
  </w:style>
  <w:style w:type="paragraph" w:styleId="ac">
    <w:name w:val="annotation subject"/>
    <w:basedOn w:val="aa"/>
    <w:next w:val="aa"/>
    <w:link w:val="ad"/>
    <w:uiPriority w:val="99"/>
    <w:semiHidden/>
    <w:unhideWhenUsed/>
    <w:rsid w:val="00D52454"/>
    <w:rPr>
      <w:b/>
      <w:bCs/>
    </w:rPr>
  </w:style>
  <w:style w:type="character" w:customStyle="1" w:styleId="ad">
    <w:name w:val="נושא הערה תו"/>
    <w:basedOn w:val="ab"/>
    <w:link w:val="ac"/>
    <w:uiPriority w:val="99"/>
    <w:semiHidden/>
    <w:rsid w:val="00D52454"/>
    <w:rPr>
      <w:b/>
      <w:bCs/>
      <w:sz w:val="20"/>
      <w:szCs w:val="20"/>
    </w:rPr>
  </w:style>
  <w:style w:type="paragraph" w:styleId="ae">
    <w:name w:val="Revision"/>
    <w:hidden/>
    <w:uiPriority w:val="99"/>
    <w:semiHidden/>
    <w:rsid w:val="003864C8"/>
    <w:pPr>
      <w:spacing w:after="0" w:line="240" w:lineRule="auto"/>
    </w:pPr>
  </w:style>
  <w:style w:type="paragraph" w:styleId="NormalWeb">
    <w:name w:val="Normal (Web)"/>
    <w:basedOn w:val="a"/>
    <w:uiPriority w:val="99"/>
    <w:semiHidden/>
    <w:unhideWhenUsed/>
    <w:rsid w:val="003A72E5"/>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f">
    <w:name w:val="header"/>
    <w:basedOn w:val="a"/>
    <w:link w:val="af0"/>
    <w:uiPriority w:val="99"/>
    <w:unhideWhenUsed/>
    <w:rsid w:val="00633716"/>
    <w:pPr>
      <w:tabs>
        <w:tab w:val="center" w:pos="4153"/>
        <w:tab w:val="right" w:pos="8306"/>
      </w:tabs>
      <w:spacing w:after="0" w:line="240" w:lineRule="auto"/>
    </w:pPr>
  </w:style>
  <w:style w:type="character" w:customStyle="1" w:styleId="af0">
    <w:name w:val="כותרת עליונה תו"/>
    <w:basedOn w:val="a0"/>
    <w:link w:val="af"/>
    <w:uiPriority w:val="99"/>
    <w:rsid w:val="00633716"/>
  </w:style>
  <w:style w:type="paragraph" w:styleId="af1">
    <w:name w:val="footer"/>
    <w:basedOn w:val="a"/>
    <w:link w:val="af2"/>
    <w:uiPriority w:val="99"/>
    <w:unhideWhenUsed/>
    <w:rsid w:val="00633716"/>
    <w:pPr>
      <w:tabs>
        <w:tab w:val="center" w:pos="4153"/>
        <w:tab w:val="right" w:pos="8306"/>
      </w:tabs>
      <w:spacing w:after="0" w:line="240" w:lineRule="auto"/>
    </w:pPr>
  </w:style>
  <w:style w:type="character" w:customStyle="1" w:styleId="af2">
    <w:name w:val="כותרת תחתונה תו"/>
    <w:basedOn w:val="a0"/>
    <w:link w:val="af1"/>
    <w:uiPriority w:val="99"/>
    <w:rsid w:val="00633716"/>
  </w:style>
  <w:style w:type="character" w:customStyle="1" w:styleId="20">
    <w:name w:val="כותרת 2 תו"/>
    <w:basedOn w:val="a0"/>
    <w:link w:val="2"/>
    <w:uiPriority w:val="9"/>
    <w:rsid w:val="0077360B"/>
    <w:rPr>
      <w:rFonts w:asciiTheme="majorHAnsi" w:eastAsiaTheme="majorEastAsia" w:hAnsiTheme="majorHAnsi" w:cstheme="majorBidi"/>
      <w:color w:val="2F5496" w:themeColor="accent1" w:themeShade="BF"/>
      <w:sz w:val="26"/>
      <w:szCs w:val="26"/>
    </w:rPr>
  </w:style>
  <w:style w:type="table" w:styleId="21">
    <w:name w:val="Plain Table 2"/>
    <w:basedOn w:val="a1"/>
    <w:uiPriority w:val="42"/>
    <w:rsid w:val="000370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0">
    <w:name w:val="כותרת 3 תו"/>
    <w:basedOn w:val="a0"/>
    <w:link w:val="3"/>
    <w:uiPriority w:val="9"/>
    <w:rsid w:val="005C6957"/>
    <w:rPr>
      <w:rFonts w:asciiTheme="majorHAnsi" w:eastAsiaTheme="majorEastAsia" w:hAnsiTheme="majorHAnsi" w:cstheme="majorBidi"/>
      <w:color w:val="1F3763" w:themeColor="accent1" w:themeShade="7F"/>
      <w:sz w:val="24"/>
      <w:szCs w:val="24"/>
      <w:lang w:val="en-GB"/>
    </w:rPr>
  </w:style>
  <w:style w:type="table" w:styleId="4">
    <w:name w:val="Plain Table 4"/>
    <w:basedOn w:val="a1"/>
    <w:uiPriority w:val="44"/>
    <w:rsid w:val="005C69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3">
    <w:name w:val="endnote text"/>
    <w:basedOn w:val="a"/>
    <w:link w:val="af4"/>
    <w:uiPriority w:val="99"/>
    <w:semiHidden/>
    <w:unhideWhenUsed/>
    <w:rsid w:val="00543BA8"/>
    <w:pPr>
      <w:spacing w:after="0" w:line="240" w:lineRule="auto"/>
    </w:pPr>
    <w:rPr>
      <w:sz w:val="20"/>
      <w:szCs w:val="20"/>
    </w:rPr>
  </w:style>
  <w:style w:type="character" w:customStyle="1" w:styleId="af4">
    <w:name w:val="טקסט הערת סיום תו"/>
    <w:basedOn w:val="a0"/>
    <w:link w:val="af3"/>
    <w:uiPriority w:val="99"/>
    <w:semiHidden/>
    <w:rsid w:val="00543BA8"/>
    <w:rPr>
      <w:sz w:val="20"/>
      <w:szCs w:val="20"/>
    </w:rPr>
  </w:style>
  <w:style w:type="character" w:styleId="af5">
    <w:name w:val="endnote reference"/>
    <w:basedOn w:val="a0"/>
    <w:uiPriority w:val="99"/>
    <w:semiHidden/>
    <w:unhideWhenUsed/>
    <w:rsid w:val="00543BA8"/>
    <w:rPr>
      <w:vertAlign w:val="superscript"/>
    </w:rPr>
  </w:style>
  <w:style w:type="paragraph" w:styleId="af6">
    <w:name w:val="caption"/>
    <w:basedOn w:val="a"/>
    <w:next w:val="a"/>
    <w:uiPriority w:val="35"/>
    <w:unhideWhenUsed/>
    <w:qFormat/>
    <w:rsid w:val="004C073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691D-C60E-4230-A18A-CF7E7571E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3CBDC-838B-4946-A57B-1FC6C86581CF}">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B3F345B-2782-455D-9453-A381361A9BD9}">
  <ds:schemaRefs>
    <ds:schemaRef ds:uri="http://schemas.microsoft.com/sharepoint/v3/contenttype/forms"/>
  </ds:schemaRefs>
</ds:datastoreItem>
</file>

<file path=customXml/itemProps4.xml><?xml version="1.0" encoding="utf-8"?>
<ds:datastoreItem xmlns:ds="http://schemas.openxmlformats.org/officeDocument/2006/customXml" ds:itemID="{B53AD65D-27D8-47CF-9608-C20A600E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5729</Characters>
  <Application>Microsoft Office Word</Application>
  <DocSecurity>4</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2024-02-19T08:05:00Z</dcterms:created>
  <dcterms:modified xsi:type="dcterms:W3CDTF">2024-02-19T08:05:00Z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