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5AED7" w14:textId="085930B9" w:rsidR="00B44B19" w:rsidRPr="00BD44A1" w:rsidRDefault="00BD44A1" w:rsidP="00B44B19">
      <w:pPr>
        <w:bidi w:val="0"/>
        <w:jc w:val="center"/>
        <w:rPr>
          <w:rFonts w:ascii="Calibri" w:hAnsi="Calibri" w:cs="Calibri"/>
        </w:rPr>
      </w:pPr>
      <w:bookmarkStart w:id="0" w:name="_GoBack"/>
      <w:bookmarkEnd w:id="0"/>
      <w:r>
        <w:rPr>
          <w:noProof/>
        </w:rPr>
        <w:drawing>
          <wp:inline distT="0" distB="0" distL="0" distR="0" wp14:anchorId="60AEEEE4" wp14:editId="320F77D2">
            <wp:extent cx="1828800" cy="638175"/>
            <wp:effectExtent l="0" t="0" r="0" b="9525"/>
            <wp:docPr id="10" name="תמונה 1" descr="logo 70-eng"/>
            <wp:cNvGraphicFramePr/>
            <a:graphic xmlns:a="http://schemas.openxmlformats.org/drawingml/2006/main">
              <a:graphicData uri="http://schemas.openxmlformats.org/drawingml/2006/picture">
                <pic:pic xmlns:pic="http://schemas.openxmlformats.org/drawingml/2006/picture">
                  <pic:nvPicPr>
                    <pic:cNvPr id="10" name="תמונה 1" descr="logo 70-en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638175"/>
                    </a:xfrm>
                    <a:prstGeom prst="rect">
                      <a:avLst/>
                    </a:prstGeom>
                    <a:noFill/>
                    <a:ln>
                      <a:noFill/>
                    </a:ln>
                  </pic:spPr>
                </pic:pic>
              </a:graphicData>
            </a:graphic>
          </wp:inline>
        </w:drawing>
      </w:r>
    </w:p>
    <w:p w14:paraId="56A14193" w14:textId="77777777" w:rsidR="00B44B19" w:rsidRPr="00BD44A1" w:rsidRDefault="00B44B19" w:rsidP="00B44B19">
      <w:pPr>
        <w:bidi w:val="0"/>
        <w:jc w:val="center"/>
        <w:rPr>
          <w:rFonts w:ascii="Calibri" w:hAnsi="Calibri" w:cs="Calibri"/>
          <w:rtl/>
        </w:rPr>
      </w:pPr>
    </w:p>
    <w:p w14:paraId="13A81218" w14:textId="77777777" w:rsidR="00B44B19" w:rsidRPr="00BD44A1" w:rsidRDefault="00B44B19" w:rsidP="00B44B19">
      <w:pPr>
        <w:pStyle w:val="LetterheadBOI"/>
        <w:rPr>
          <w:rFonts w:ascii="Calibri" w:hAnsi="Calibri" w:cs="Calibri"/>
        </w:rPr>
      </w:pPr>
      <w:r w:rsidRPr="00BD44A1">
        <w:rPr>
          <w:rFonts w:ascii="Calibri" w:hAnsi="Calibri" w:cs="Calibri"/>
        </w:rPr>
        <w:t>BANK OF ISRAEL</w:t>
      </w:r>
    </w:p>
    <w:p w14:paraId="31CAE6E8" w14:textId="77777777" w:rsidR="00B44B19" w:rsidRPr="00BD44A1" w:rsidRDefault="00B44B19" w:rsidP="00B44B19">
      <w:pPr>
        <w:pStyle w:val="Letterhead2"/>
        <w:rPr>
          <w:rFonts w:ascii="Calibri" w:hAnsi="Calibri" w:cs="Calibri"/>
          <w:b/>
        </w:rPr>
      </w:pPr>
      <w:r w:rsidRPr="00BD44A1">
        <w:rPr>
          <w:rFonts w:ascii="Calibri" w:hAnsi="Calibri" w:cs="Calibri"/>
        </w:rPr>
        <w:t>Office of the Spokesperson and Economic Information</w:t>
      </w:r>
    </w:p>
    <w:p w14:paraId="500910FF" w14:textId="77777777" w:rsidR="00B44B19" w:rsidRPr="00BD44A1" w:rsidRDefault="00B44B19" w:rsidP="00B44B19">
      <w:pPr>
        <w:bidi w:val="0"/>
        <w:jc w:val="center"/>
        <w:rPr>
          <w:rFonts w:ascii="Calibri" w:hAnsi="Calibri" w:cs="Calibri"/>
          <w:b/>
          <w:bCs/>
          <w:sz w:val="26"/>
          <w:szCs w:val="26"/>
        </w:rPr>
      </w:pPr>
    </w:p>
    <w:p w14:paraId="06DDE1C1" w14:textId="2F9F62B3" w:rsidR="00B44B19" w:rsidRPr="00BD44A1" w:rsidRDefault="00416C49" w:rsidP="000D5119">
      <w:pPr>
        <w:bidi w:val="0"/>
        <w:jc w:val="right"/>
        <w:rPr>
          <w:rFonts w:ascii="Calibri" w:hAnsi="Calibri" w:cs="Calibri"/>
        </w:rPr>
      </w:pPr>
      <w:r w:rsidRPr="00BD44A1">
        <w:rPr>
          <w:rFonts w:ascii="Calibri" w:hAnsi="Calibri" w:cs="Calibri"/>
        </w:rPr>
        <w:t>April 7</w:t>
      </w:r>
      <w:r w:rsidR="00757359" w:rsidRPr="00BD44A1">
        <w:rPr>
          <w:rFonts w:ascii="Calibri" w:hAnsi="Calibri" w:cs="Calibri"/>
        </w:rPr>
        <w:t>, 2025</w:t>
      </w:r>
    </w:p>
    <w:p w14:paraId="092A57CC" w14:textId="77777777" w:rsidR="00B44B19" w:rsidRPr="00BD44A1" w:rsidRDefault="00B44B19" w:rsidP="008F2323">
      <w:pPr>
        <w:bidi w:val="0"/>
        <w:jc w:val="center"/>
        <w:rPr>
          <w:rFonts w:ascii="Calibri" w:hAnsi="Calibri" w:cs="Calibri"/>
          <w:b/>
          <w:bCs/>
        </w:rPr>
      </w:pPr>
    </w:p>
    <w:p w14:paraId="3876E6CE" w14:textId="04A31805" w:rsidR="00A21D01" w:rsidRPr="00BD44A1" w:rsidRDefault="00A21D01" w:rsidP="00416C49">
      <w:pPr>
        <w:bidi w:val="0"/>
        <w:jc w:val="center"/>
        <w:rPr>
          <w:rFonts w:ascii="Calibri" w:hAnsi="Calibri" w:cs="Calibri"/>
          <w:b/>
          <w:bCs/>
          <w:sz w:val="28"/>
          <w:szCs w:val="28"/>
        </w:rPr>
      </w:pPr>
      <w:r w:rsidRPr="00BD44A1">
        <w:rPr>
          <w:rFonts w:ascii="Calibri" w:hAnsi="Calibri" w:cs="Calibri"/>
          <w:b/>
          <w:bCs/>
          <w:sz w:val="28"/>
          <w:szCs w:val="28"/>
        </w:rPr>
        <w:t xml:space="preserve">Research Department Staff Forecast, </w:t>
      </w:r>
      <w:r w:rsidR="00416C49" w:rsidRPr="00BD44A1">
        <w:rPr>
          <w:rFonts w:ascii="Calibri" w:hAnsi="Calibri" w:cs="Calibri"/>
          <w:b/>
          <w:bCs/>
          <w:sz w:val="28"/>
          <w:szCs w:val="28"/>
        </w:rPr>
        <w:t>April</w:t>
      </w:r>
      <w:r w:rsidR="00757359" w:rsidRPr="00BD44A1">
        <w:rPr>
          <w:rFonts w:ascii="Calibri" w:hAnsi="Calibri" w:cs="Calibri"/>
          <w:b/>
          <w:bCs/>
          <w:sz w:val="28"/>
          <w:szCs w:val="28"/>
        </w:rPr>
        <w:t xml:space="preserve"> 2025</w:t>
      </w:r>
    </w:p>
    <w:p w14:paraId="4481416E" w14:textId="77777777" w:rsidR="00252B31" w:rsidRPr="00BD44A1" w:rsidRDefault="00252B31" w:rsidP="007D70EA">
      <w:pPr>
        <w:bidi w:val="0"/>
        <w:spacing w:line="360" w:lineRule="auto"/>
        <w:jc w:val="both"/>
        <w:rPr>
          <w:rFonts w:ascii="Calibri" w:hAnsi="Calibri" w:cs="Calibri"/>
          <w:b/>
          <w:bCs/>
        </w:rPr>
      </w:pPr>
    </w:p>
    <w:p w14:paraId="2DB7F593" w14:textId="77777777" w:rsidR="00A21D01" w:rsidRPr="00BD44A1" w:rsidRDefault="00A21D01" w:rsidP="00252B31">
      <w:pPr>
        <w:bidi w:val="0"/>
        <w:spacing w:line="360" w:lineRule="auto"/>
        <w:jc w:val="both"/>
        <w:rPr>
          <w:rFonts w:ascii="Calibri" w:hAnsi="Calibri" w:cs="Calibri"/>
        </w:rPr>
      </w:pPr>
      <w:r w:rsidRPr="00BD44A1">
        <w:rPr>
          <w:rFonts w:ascii="Calibri" w:hAnsi="Calibri" w:cs="Calibri"/>
          <w:b/>
          <w:bCs/>
        </w:rPr>
        <w:t>Abstract</w:t>
      </w:r>
    </w:p>
    <w:p w14:paraId="2573B91C" w14:textId="6ACDD33F" w:rsidR="007D6422" w:rsidRPr="00BD44A1" w:rsidRDefault="00B766FF" w:rsidP="00416C49">
      <w:pPr>
        <w:bidi w:val="0"/>
        <w:jc w:val="both"/>
        <w:rPr>
          <w:rFonts w:ascii="Calibri" w:hAnsi="Calibri" w:cs="Calibri"/>
        </w:rPr>
      </w:pPr>
      <w:r w:rsidRPr="00BD44A1">
        <w:rPr>
          <w:rFonts w:ascii="Calibri" w:hAnsi="Calibri" w:cs="Calibri"/>
        </w:rPr>
        <w:t xml:space="preserve">This document presents the macroeconomic staff forecast formulated by the Bank of Israel Research Department in </w:t>
      </w:r>
      <w:r w:rsidR="00416C49" w:rsidRPr="00BD44A1">
        <w:rPr>
          <w:rFonts w:ascii="Calibri" w:hAnsi="Calibri" w:cs="Calibri"/>
        </w:rPr>
        <w:t>April</w:t>
      </w:r>
      <w:r w:rsidR="00757359" w:rsidRPr="00BD44A1">
        <w:rPr>
          <w:rFonts w:ascii="Calibri" w:hAnsi="Calibri" w:cs="Calibri"/>
        </w:rPr>
        <w:t xml:space="preserve"> 2025 concerning the main macroeconomic variables—GDP, inflation, and the interest rate.</w:t>
      </w:r>
      <w:r w:rsidR="00A30AC5" w:rsidRPr="00BD44A1">
        <w:rPr>
          <w:rStyle w:val="ac"/>
          <w:rFonts w:ascii="Calibri" w:hAnsi="Calibri" w:cs="Calibri"/>
        </w:rPr>
        <w:footnoteReference w:id="1"/>
      </w:r>
      <w:r w:rsidRPr="00BD44A1">
        <w:rPr>
          <w:rFonts w:ascii="Calibri" w:hAnsi="Calibri" w:cs="Calibri"/>
        </w:rPr>
        <w:t xml:space="preserve"> </w:t>
      </w:r>
      <w:r w:rsidR="00757359" w:rsidRPr="00BD44A1">
        <w:rPr>
          <w:rFonts w:ascii="Calibri" w:hAnsi="Calibri" w:cs="Calibri"/>
        </w:rPr>
        <w:t>According to the forecast</w:t>
      </w:r>
      <w:r w:rsidR="0086132E" w:rsidRPr="00BD44A1">
        <w:rPr>
          <w:rFonts w:ascii="Calibri" w:hAnsi="Calibri" w:cs="Calibri"/>
        </w:rPr>
        <w:t>’</w:t>
      </w:r>
      <w:r w:rsidR="00757359" w:rsidRPr="00BD44A1">
        <w:rPr>
          <w:rFonts w:ascii="Calibri" w:hAnsi="Calibri" w:cs="Calibri"/>
        </w:rPr>
        <w:t xml:space="preserve">s baseline scenario, GDP </w:t>
      </w:r>
      <w:r w:rsidR="00416C49" w:rsidRPr="00BD44A1">
        <w:rPr>
          <w:rFonts w:ascii="Calibri" w:hAnsi="Calibri" w:cs="Calibri"/>
        </w:rPr>
        <w:t xml:space="preserve">is expected to </w:t>
      </w:r>
      <w:r w:rsidR="00757359" w:rsidRPr="00BD44A1">
        <w:rPr>
          <w:rFonts w:ascii="Calibri" w:hAnsi="Calibri" w:cs="Calibri"/>
        </w:rPr>
        <w:t>gr</w:t>
      </w:r>
      <w:r w:rsidR="00416C49" w:rsidRPr="00BD44A1">
        <w:rPr>
          <w:rFonts w:ascii="Calibri" w:hAnsi="Calibri" w:cs="Calibri"/>
        </w:rPr>
        <w:t>o</w:t>
      </w:r>
      <w:r w:rsidR="00757359" w:rsidRPr="00BD44A1">
        <w:rPr>
          <w:rFonts w:ascii="Calibri" w:hAnsi="Calibri" w:cs="Calibri"/>
        </w:rPr>
        <w:t xml:space="preserve">w by </w:t>
      </w:r>
      <w:r w:rsidR="00416C49" w:rsidRPr="00BD44A1">
        <w:rPr>
          <w:rFonts w:ascii="Calibri" w:hAnsi="Calibri" w:cs="Calibri"/>
          <w:rtl/>
        </w:rPr>
        <w:t>3.5</w:t>
      </w:r>
      <w:r w:rsidR="00757359" w:rsidRPr="00BD44A1">
        <w:rPr>
          <w:rFonts w:ascii="Calibri" w:hAnsi="Calibri" w:cs="Calibri"/>
        </w:rPr>
        <w:t xml:space="preserve"> percent in 2025</w:t>
      </w:r>
      <w:r w:rsidR="00A53B6A" w:rsidRPr="00BD44A1">
        <w:rPr>
          <w:rFonts w:ascii="Calibri" w:hAnsi="Calibri" w:cs="Calibri"/>
        </w:rPr>
        <w:t>, and by 4.</w:t>
      </w:r>
      <w:r w:rsidR="00416C49" w:rsidRPr="00BD44A1">
        <w:rPr>
          <w:rFonts w:ascii="Calibri" w:hAnsi="Calibri" w:cs="Calibri"/>
          <w:rtl/>
        </w:rPr>
        <w:t>0</w:t>
      </w:r>
      <w:r w:rsidR="00A53B6A" w:rsidRPr="00BD44A1">
        <w:rPr>
          <w:rFonts w:ascii="Calibri" w:hAnsi="Calibri" w:cs="Calibri"/>
        </w:rPr>
        <w:t xml:space="preserve"> percent</w:t>
      </w:r>
      <w:r w:rsidR="00757359" w:rsidRPr="00BD44A1">
        <w:rPr>
          <w:rFonts w:ascii="Calibri" w:hAnsi="Calibri" w:cs="Calibri"/>
        </w:rPr>
        <w:t xml:space="preserve"> </w:t>
      </w:r>
      <w:r w:rsidR="00A53B6A" w:rsidRPr="00BD44A1">
        <w:rPr>
          <w:rFonts w:ascii="Calibri" w:hAnsi="Calibri" w:cs="Calibri"/>
        </w:rPr>
        <w:t>i</w:t>
      </w:r>
      <w:r w:rsidR="00757359" w:rsidRPr="00BD44A1">
        <w:rPr>
          <w:rFonts w:ascii="Calibri" w:hAnsi="Calibri" w:cs="Calibri"/>
        </w:rPr>
        <w:t xml:space="preserve">n 2026.  </w:t>
      </w:r>
      <w:r w:rsidR="007D6422" w:rsidRPr="00BD44A1">
        <w:rPr>
          <w:rFonts w:ascii="Calibri" w:hAnsi="Calibri" w:cs="Calibri"/>
        </w:rPr>
        <w:t xml:space="preserve">The inflation rate in </w:t>
      </w:r>
      <w:r w:rsidR="00B525D0" w:rsidRPr="00BD44A1">
        <w:rPr>
          <w:rFonts w:ascii="Calibri" w:hAnsi="Calibri" w:cs="Calibri"/>
        </w:rPr>
        <w:t xml:space="preserve">the coming four quarters (ending in the </w:t>
      </w:r>
      <w:r w:rsidR="00416C49" w:rsidRPr="00BD44A1">
        <w:rPr>
          <w:rFonts w:ascii="Calibri" w:hAnsi="Calibri" w:cs="Calibri"/>
        </w:rPr>
        <w:t>fi</w:t>
      </w:r>
      <w:r w:rsidR="00757359" w:rsidRPr="00BD44A1">
        <w:rPr>
          <w:rFonts w:ascii="Calibri" w:hAnsi="Calibri" w:cs="Calibri"/>
        </w:rPr>
        <w:t>r</w:t>
      </w:r>
      <w:r w:rsidR="00416C49" w:rsidRPr="00BD44A1">
        <w:rPr>
          <w:rFonts w:ascii="Calibri" w:hAnsi="Calibri" w:cs="Calibri"/>
        </w:rPr>
        <w:t>s</w:t>
      </w:r>
      <w:r w:rsidR="00757359" w:rsidRPr="00BD44A1">
        <w:rPr>
          <w:rFonts w:ascii="Calibri" w:hAnsi="Calibri" w:cs="Calibri"/>
        </w:rPr>
        <w:t>t</w:t>
      </w:r>
      <w:r w:rsidR="00B525D0" w:rsidRPr="00BD44A1">
        <w:rPr>
          <w:rFonts w:ascii="Calibri" w:hAnsi="Calibri" w:cs="Calibri"/>
        </w:rPr>
        <w:t xml:space="preserve"> quarter of 202</w:t>
      </w:r>
      <w:r w:rsidR="00416C49" w:rsidRPr="00BD44A1">
        <w:rPr>
          <w:rFonts w:ascii="Calibri" w:hAnsi="Calibri" w:cs="Calibri"/>
        </w:rPr>
        <w:t>6</w:t>
      </w:r>
      <w:r w:rsidR="00B525D0" w:rsidRPr="00BD44A1">
        <w:rPr>
          <w:rFonts w:ascii="Calibri" w:hAnsi="Calibri" w:cs="Calibri"/>
        </w:rPr>
        <w:t xml:space="preserve">) </w:t>
      </w:r>
      <w:r w:rsidR="007D6422" w:rsidRPr="00BD44A1">
        <w:rPr>
          <w:rFonts w:ascii="Calibri" w:hAnsi="Calibri" w:cs="Calibri"/>
        </w:rPr>
        <w:t xml:space="preserve">is expected to be </w:t>
      </w:r>
      <w:r w:rsidR="00757359" w:rsidRPr="00BD44A1">
        <w:rPr>
          <w:rFonts w:ascii="Calibri" w:hAnsi="Calibri" w:cs="Calibri"/>
        </w:rPr>
        <w:t>2.</w:t>
      </w:r>
      <w:r w:rsidR="00416C49" w:rsidRPr="00BD44A1">
        <w:rPr>
          <w:rFonts w:ascii="Calibri" w:hAnsi="Calibri" w:cs="Calibri"/>
        </w:rPr>
        <w:t>5</w:t>
      </w:r>
      <w:r w:rsidR="007D6422" w:rsidRPr="00BD44A1">
        <w:rPr>
          <w:rFonts w:ascii="Calibri" w:hAnsi="Calibri" w:cs="Calibri"/>
        </w:rPr>
        <w:t xml:space="preserve"> percent</w:t>
      </w:r>
      <w:r w:rsidR="00A53B6A" w:rsidRPr="00BD44A1">
        <w:rPr>
          <w:rFonts w:ascii="Calibri" w:hAnsi="Calibri" w:cs="Calibri"/>
        </w:rPr>
        <w:t>, i</w:t>
      </w:r>
      <w:r w:rsidR="00B525D0" w:rsidRPr="00BD44A1">
        <w:rPr>
          <w:rFonts w:ascii="Calibri" w:hAnsi="Calibri" w:cs="Calibri"/>
        </w:rPr>
        <w:t>nflation in 202</w:t>
      </w:r>
      <w:r w:rsidR="00416C49" w:rsidRPr="00BD44A1">
        <w:rPr>
          <w:rFonts w:ascii="Calibri" w:hAnsi="Calibri" w:cs="Calibri"/>
        </w:rPr>
        <w:t>5</w:t>
      </w:r>
      <w:r w:rsidR="00B525D0" w:rsidRPr="00BD44A1">
        <w:rPr>
          <w:rFonts w:ascii="Calibri" w:hAnsi="Calibri" w:cs="Calibri"/>
        </w:rPr>
        <w:t xml:space="preserve"> is expected to be </w:t>
      </w:r>
      <w:r w:rsidR="00757359" w:rsidRPr="00BD44A1">
        <w:rPr>
          <w:rFonts w:ascii="Calibri" w:hAnsi="Calibri" w:cs="Calibri"/>
        </w:rPr>
        <w:t>2.</w:t>
      </w:r>
      <w:r w:rsidR="00416C49" w:rsidRPr="00BD44A1">
        <w:rPr>
          <w:rFonts w:ascii="Calibri" w:hAnsi="Calibri" w:cs="Calibri"/>
        </w:rPr>
        <w:t>6</w:t>
      </w:r>
      <w:r w:rsidR="00B525D0" w:rsidRPr="00BD44A1">
        <w:rPr>
          <w:rFonts w:ascii="Calibri" w:hAnsi="Calibri" w:cs="Calibri"/>
        </w:rPr>
        <w:t xml:space="preserve"> percent</w:t>
      </w:r>
      <w:r w:rsidR="00416C49" w:rsidRPr="00BD44A1">
        <w:rPr>
          <w:rFonts w:ascii="Calibri" w:hAnsi="Calibri" w:cs="Calibri"/>
        </w:rPr>
        <w:t>, and inflation in 2026 is expected to be 2.2 percent</w:t>
      </w:r>
      <w:r w:rsidR="00757359" w:rsidRPr="00BD44A1">
        <w:rPr>
          <w:rFonts w:ascii="Calibri" w:hAnsi="Calibri" w:cs="Calibri"/>
        </w:rPr>
        <w:t>.</w:t>
      </w:r>
      <w:r w:rsidR="00653278" w:rsidRPr="00BD44A1">
        <w:rPr>
          <w:rFonts w:ascii="Calibri" w:hAnsi="Calibri" w:cs="Calibri"/>
        </w:rPr>
        <w:t xml:space="preserve">  The</w:t>
      </w:r>
      <w:r w:rsidR="00757359" w:rsidRPr="00BD44A1">
        <w:rPr>
          <w:rFonts w:ascii="Calibri" w:hAnsi="Calibri" w:cs="Calibri"/>
        </w:rPr>
        <w:t xml:space="preserve"> average interest rate in the </w:t>
      </w:r>
      <w:r w:rsidR="00416C49" w:rsidRPr="00BD44A1">
        <w:rPr>
          <w:rFonts w:ascii="Calibri" w:hAnsi="Calibri" w:cs="Calibri"/>
        </w:rPr>
        <w:t>first</w:t>
      </w:r>
      <w:r w:rsidR="00757359" w:rsidRPr="00BD44A1">
        <w:rPr>
          <w:rFonts w:ascii="Calibri" w:hAnsi="Calibri" w:cs="Calibri"/>
        </w:rPr>
        <w:t xml:space="preserve"> quarter of 202</w:t>
      </w:r>
      <w:r w:rsidR="00416C49" w:rsidRPr="00BD44A1">
        <w:rPr>
          <w:rFonts w:ascii="Calibri" w:hAnsi="Calibri" w:cs="Calibri"/>
        </w:rPr>
        <w:t>6</w:t>
      </w:r>
      <w:r w:rsidR="00757359" w:rsidRPr="00BD44A1">
        <w:rPr>
          <w:rFonts w:ascii="Calibri" w:hAnsi="Calibri" w:cs="Calibri"/>
        </w:rPr>
        <w:t xml:space="preserve"> is expected to be </w:t>
      </w:r>
      <w:r w:rsidR="004F4469" w:rsidRPr="00BD44A1">
        <w:rPr>
          <w:rFonts w:ascii="Calibri" w:hAnsi="Calibri" w:cs="Calibri"/>
          <w:rtl/>
        </w:rPr>
        <w:t>4.0</w:t>
      </w:r>
      <w:r w:rsidR="00757359" w:rsidRPr="00BD44A1">
        <w:rPr>
          <w:rFonts w:ascii="Calibri" w:hAnsi="Calibri" w:cs="Calibri"/>
        </w:rPr>
        <w:t xml:space="preserve"> percent.</w:t>
      </w:r>
      <w:r w:rsidR="00653278" w:rsidRPr="00BD44A1">
        <w:rPr>
          <w:rFonts w:ascii="Calibri" w:hAnsi="Calibri" w:cs="Calibri"/>
        </w:rPr>
        <w:t xml:space="preserve"> </w:t>
      </w:r>
    </w:p>
    <w:p w14:paraId="1D58F0CC" w14:textId="2DF60957" w:rsidR="00757359" w:rsidRPr="00BD44A1" w:rsidRDefault="00757359" w:rsidP="00757359">
      <w:pPr>
        <w:bidi w:val="0"/>
        <w:jc w:val="both"/>
        <w:rPr>
          <w:rFonts w:ascii="Calibri" w:hAnsi="Calibri" w:cs="Calibri"/>
        </w:rPr>
      </w:pPr>
    </w:p>
    <w:p w14:paraId="356F4E6C" w14:textId="3E80DC70" w:rsidR="00416C49" w:rsidRPr="00BD44A1" w:rsidRDefault="00757359" w:rsidP="00EC4295">
      <w:pPr>
        <w:bidi w:val="0"/>
        <w:jc w:val="both"/>
        <w:rPr>
          <w:rFonts w:ascii="Calibri" w:hAnsi="Calibri" w:cs="Calibri"/>
        </w:rPr>
      </w:pPr>
      <w:r w:rsidRPr="00BD44A1">
        <w:rPr>
          <w:rFonts w:ascii="Calibri" w:hAnsi="Calibri" w:cs="Calibri"/>
        </w:rPr>
        <w:t>This forecast was formulated under the assumption that the</w:t>
      </w:r>
      <w:r w:rsidR="00416C49" w:rsidRPr="00BD44A1">
        <w:rPr>
          <w:rFonts w:ascii="Calibri" w:hAnsi="Calibri" w:cs="Calibri"/>
        </w:rPr>
        <w:t xml:space="preserve"> resumption of fighting in Gaza will not extend beyond the second quarter of 2025, and that during this period, there will be no serious restrictions on activity on the home front (in contrast with the situation at the beginning of the war).  In addition, the forecast contains assessments regarding the impact of the import tariffs announced by the United States on April 2, 2025.  The working assumption underlying the forecast is that the increase in tariffs worldwide will lead to a 4 percent </w:t>
      </w:r>
      <w:r w:rsidR="00EC4295" w:rsidRPr="00BD44A1">
        <w:rPr>
          <w:rFonts w:ascii="Calibri" w:hAnsi="Calibri" w:cs="Calibri"/>
        </w:rPr>
        <w:t xml:space="preserve">decline </w:t>
      </w:r>
      <w:r w:rsidR="00416C49" w:rsidRPr="00BD44A1">
        <w:rPr>
          <w:rFonts w:ascii="Calibri" w:hAnsi="Calibri" w:cs="Calibri"/>
        </w:rPr>
        <w:t xml:space="preserve">in the volume of world trade by the end of 2026 (relative to a </w:t>
      </w:r>
      <w:r w:rsidR="00EC4295" w:rsidRPr="00BD44A1">
        <w:rPr>
          <w:rFonts w:ascii="Calibri" w:hAnsi="Calibri" w:cs="Calibri"/>
        </w:rPr>
        <w:t>scenario</w:t>
      </w:r>
      <w:r w:rsidR="00416C49" w:rsidRPr="00BD44A1">
        <w:rPr>
          <w:rFonts w:ascii="Calibri" w:hAnsi="Calibri" w:cs="Calibri"/>
        </w:rPr>
        <w:t xml:space="preserve"> without tariffs).  The forecast is characterized by a</w:t>
      </w:r>
      <w:r w:rsidR="00EC4295" w:rsidRPr="00BD44A1">
        <w:rPr>
          <w:rFonts w:ascii="Calibri" w:hAnsi="Calibri" w:cs="Calibri"/>
        </w:rPr>
        <w:t>n exceptionally</w:t>
      </w:r>
      <w:r w:rsidR="00416C49" w:rsidRPr="00BD44A1">
        <w:rPr>
          <w:rFonts w:ascii="Calibri" w:hAnsi="Calibri" w:cs="Calibri"/>
        </w:rPr>
        <w:t xml:space="preserve"> high level of uncertainty, </w:t>
      </w:r>
      <w:r w:rsidR="00EC4295" w:rsidRPr="00BD44A1">
        <w:rPr>
          <w:rFonts w:ascii="Calibri" w:hAnsi="Calibri" w:cs="Calibri"/>
        </w:rPr>
        <w:t>given</w:t>
      </w:r>
      <w:r w:rsidR="00416C49" w:rsidRPr="00BD44A1">
        <w:rPr>
          <w:rFonts w:ascii="Calibri" w:hAnsi="Calibri" w:cs="Calibri"/>
        </w:rPr>
        <w:t xml:space="preserve"> the uncertainty regarding the </w:t>
      </w:r>
      <w:r w:rsidR="00EC4295" w:rsidRPr="00BD44A1">
        <w:rPr>
          <w:rFonts w:ascii="Calibri" w:hAnsi="Calibri" w:cs="Calibri"/>
        </w:rPr>
        <w:t>scope</w:t>
      </w:r>
      <w:r w:rsidR="00416C49" w:rsidRPr="00BD44A1">
        <w:rPr>
          <w:rFonts w:ascii="Calibri" w:hAnsi="Calibri" w:cs="Calibri"/>
        </w:rPr>
        <w:t xml:space="preserve"> and effects of the </w:t>
      </w:r>
      <w:r w:rsidR="00EC4295" w:rsidRPr="00BD44A1">
        <w:rPr>
          <w:rFonts w:ascii="Calibri" w:hAnsi="Calibri" w:cs="Calibri"/>
        </w:rPr>
        <w:t xml:space="preserve">trade war that is developing globally </w:t>
      </w:r>
      <w:r w:rsidR="00416C49" w:rsidRPr="00BD44A1">
        <w:rPr>
          <w:rFonts w:ascii="Calibri" w:hAnsi="Calibri" w:cs="Calibri"/>
        </w:rPr>
        <w:t xml:space="preserve">and the possibility of more severe security scenarios than those reflected in the forecast. In our assessment, the risks to the growth forecast </w:t>
      </w:r>
      <w:proofErr w:type="spellStart"/>
      <w:r w:rsidR="00EC4295" w:rsidRPr="00BD44A1">
        <w:rPr>
          <w:rFonts w:ascii="Calibri" w:hAnsi="Calibri" w:cs="Calibri"/>
        </w:rPr>
        <w:t>tend</w:t>
      </w:r>
      <w:proofErr w:type="spellEnd"/>
      <w:r w:rsidR="00EC4295" w:rsidRPr="00BD44A1">
        <w:rPr>
          <w:rFonts w:ascii="Calibri" w:hAnsi="Calibri" w:cs="Calibri"/>
        </w:rPr>
        <w:t xml:space="preserve"> downward</w:t>
      </w:r>
      <w:r w:rsidR="00416C49" w:rsidRPr="00BD44A1">
        <w:rPr>
          <w:rFonts w:ascii="Calibri" w:hAnsi="Calibri" w:cs="Calibri"/>
        </w:rPr>
        <w:t xml:space="preserve">, while the risks to the inflation, interest rate, and deficit forecasts </w:t>
      </w:r>
      <w:proofErr w:type="spellStart"/>
      <w:r w:rsidR="00EC4295" w:rsidRPr="00BD44A1">
        <w:rPr>
          <w:rFonts w:ascii="Calibri" w:hAnsi="Calibri" w:cs="Calibri"/>
        </w:rPr>
        <w:t>tend</w:t>
      </w:r>
      <w:proofErr w:type="spellEnd"/>
      <w:r w:rsidR="00EC4295" w:rsidRPr="00BD44A1">
        <w:rPr>
          <w:rFonts w:ascii="Calibri" w:hAnsi="Calibri" w:cs="Calibri"/>
        </w:rPr>
        <w:t xml:space="preserve"> upward</w:t>
      </w:r>
      <w:r w:rsidR="00416C49" w:rsidRPr="00BD44A1">
        <w:rPr>
          <w:rFonts w:ascii="Calibri" w:hAnsi="Calibri" w:cs="Calibri"/>
        </w:rPr>
        <w:t>.</w:t>
      </w:r>
    </w:p>
    <w:p w14:paraId="639123B6" w14:textId="77777777" w:rsidR="005D7D3B" w:rsidRPr="00BD44A1" w:rsidRDefault="005D7D3B" w:rsidP="00324468">
      <w:pPr>
        <w:bidi w:val="0"/>
        <w:jc w:val="both"/>
        <w:rPr>
          <w:rFonts w:ascii="Calibri" w:hAnsi="Calibri" w:cs="Calibri"/>
        </w:rPr>
      </w:pPr>
    </w:p>
    <w:p w14:paraId="5213F454" w14:textId="77777777" w:rsidR="00E932DD" w:rsidRPr="00BD44A1" w:rsidRDefault="00F7707F" w:rsidP="004675C1">
      <w:pPr>
        <w:bidi w:val="0"/>
        <w:jc w:val="both"/>
        <w:rPr>
          <w:rFonts w:ascii="Calibri" w:hAnsi="Calibri" w:cs="Calibri"/>
          <w:b/>
          <w:bCs/>
        </w:rPr>
      </w:pPr>
      <w:r w:rsidRPr="00BD44A1">
        <w:rPr>
          <w:rFonts w:ascii="Calibri" w:hAnsi="Calibri" w:cs="Calibri"/>
          <w:b/>
          <w:bCs/>
        </w:rPr>
        <w:t>The forecast</w:t>
      </w:r>
    </w:p>
    <w:p w14:paraId="629113FA" w14:textId="77777777" w:rsidR="00F7707F" w:rsidRPr="00BD44A1" w:rsidRDefault="00F7707F" w:rsidP="00F7707F">
      <w:pPr>
        <w:bidi w:val="0"/>
        <w:jc w:val="both"/>
        <w:rPr>
          <w:rFonts w:ascii="Calibri" w:hAnsi="Calibri" w:cs="Calibri"/>
          <w:b/>
          <w:bCs/>
        </w:rPr>
      </w:pPr>
    </w:p>
    <w:p w14:paraId="72B85960" w14:textId="1444485C" w:rsidR="004675C1" w:rsidRPr="00BD44A1" w:rsidRDefault="004675C1" w:rsidP="00D9118C">
      <w:pPr>
        <w:bidi w:val="0"/>
        <w:jc w:val="both"/>
        <w:rPr>
          <w:rFonts w:ascii="Calibri" w:hAnsi="Calibri" w:cs="Calibri"/>
        </w:rPr>
      </w:pPr>
      <w:r w:rsidRPr="00BD44A1">
        <w:rPr>
          <w:rFonts w:ascii="Calibri" w:hAnsi="Calibri" w:cs="Calibri"/>
        </w:rPr>
        <w:t>The Bank of Israel Research Department compiles a staff forecast of macroeconomic developments based on several models, various data sources, and assessments based on economists</w:t>
      </w:r>
      <w:r w:rsidR="0086132E" w:rsidRPr="00BD44A1">
        <w:rPr>
          <w:rFonts w:ascii="Calibri" w:hAnsi="Calibri" w:cs="Calibri"/>
        </w:rPr>
        <w:t>’</w:t>
      </w:r>
      <w:r w:rsidRPr="00BD44A1">
        <w:rPr>
          <w:rFonts w:ascii="Calibri" w:hAnsi="Calibri" w:cs="Calibri"/>
        </w:rPr>
        <w:t xml:space="preserve"> judgment. The Bank</w:t>
      </w:r>
      <w:r w:rsidR="0086132E" w:rsidRPr="00BD44A1">
        <w:rPr>
          <w:rFonts w:ascii="Calibri" w:hAnsi="Calibri" w:cs="Calibri"/>
        </w:rPr>
        <w:t>’</w:t>
      </w:r>
      <w:r w:rsidRPr="00BD44A1">
        <w:rPr>
          <w:rFonts w:ascii="Calibri" w:hAnsi="Calibri" w:cs="Calibri"/>
        </w:rPr>
        <w:t xml:space="preserve">s DSGE (Dynamic Stochastic General Equilibrium) model—a structural model </w:t>
      </w:r>
      <w:r w:rsidR="00F7707F" w:rsidRPr="00BD44A1">
        <w:rPr>
          <w:rFonts w:ascii="Calibri" w:hAnsi="Calibri" w:cs="Calibri"/>
        </w:rPr>
        <w:t xml:space="preserve">developed in the Research Department and </w:t>
      </w:r>
      <w:r w:rsidRPr="00BD44A1">
        <w:rPr>
          <w:rFonts w:ascii="Calibri" w:hAnsi="Calibri" w:cs="Calibri"/>
        </w:rPr>
        <w:t>based on microeconomic foundations—plays a prim</w:t>
      </w:r>
      <w:r w:rsidR="00A83C38" w:rsidRPr="00BD44A1">
        <w:rPr>
          <w:rFonts w:ascii="Calibri" w:hAnsi="Calibri" w:cs="Calibri"/>
        </w:rPr>
        <w:t>e</w:t>
      </w:r>
      <w:r w:rsidRPr="00BD44A1">
        <w:rPr>
          <w:rFonts w:ascii="Calibri" w:hAnsi="Calibri" w:cs="Calibri"/>
        </w:rPr>
        <w:t xml:space="preserve"> role in formulating the macroeconomic forecast.</w:t>
      </w:r>
      <w:r w:rsidRPr="00BD44A1">
        <w:rPr>
          <w:rStyle w:val="ac"/>
          <w:rFonts w:ascii="Calibri" w:hAnsi="Calibri" w:cs="Calibri"/>
        </w:rPr>
        <w:footnoteReference w:id="2"/>
      </w:r>
      <w:r w:rsidRPr="00BD44A1">
        <w:rPr>
          <w:rFonts w:ascii="Calibri" w:hAnsi="Calibri" w:cs="Calibri"/>
        </w:rPr>
        <w:t xml:space="preserve"> The model provides a framework for analyzing the forces that have an effect on the economy, and allows </w:t>
      </w:r>
      <w:r w:rsidRPr="00BD44A1">
        <w:rPr>
          <w:rFonts w:ascii="Calibri" w:hAnsi="Calibri" w:cs="Calibri"/>
        </w:rPr>
        <w:lastRenderedPageBreak/>
        <w:t>information from various sources to be combined into a macroeconomic forecast of real and nominal variables, with an internally consistent “economic story”.</w:t>
      </w:r>
    </w:p>
    <w:p w14:paraId="2549A5DF" w14:textId="77777777" w:rsidR="00D975F7" w:rsidRPr="00BD44A1" w:rsidRDefault="00D975F7" w:rsidP="00D975F7">
      <w:pPr>
        <w:bidi w:val="0"/>
        <w:jc w:val="both"/>
        <w:rPr>
          <w:rFonts w:ascii="Calibri" w:hAnsi="Calibri" w:cs="Calibri"/>
        </w:rPr>
      </w:pPr>
    </w:p>
    <w:p w14:paraId="2F7952B8" w14:textId="77777777" w:rsidR="00A21D01" w:rsidRPr="00BD44A1" w:rsidRDefault="00A21D01" w:rsidP="00A21D01">
      <w:pPr>
        <w:numPr>
          <w:ilvl w:val="0"/>
          <w:numId w:val="9"/>
        </w:numPr>
        <w:bidi w:val="0"/>
        <w:spacing w:line="360" w:lineRule="auto"/>
        <w:ind w:left="357" w:hanging="357"/>
        <w:jc w:val="both"/>
        <w:rPr>
          <w:rFonts w:ascii="Calibri" w:hAnsi="Calibri" w:cs="Calibri"/>
          <w:b/>
          <w:bCs/>
        </w:rPr>
      </w:pPr>
      <w:r w:rsidRPr="00BD44A1">
        <w:rPr>
          <w:rFonts w:ascii="Calibri" w:hAnsi="Calibri" w:cs="Calibri"/>
          <w:b/>
          <w:bCs/>
        </w:rPr>
        <w:t>The global environment</w:t>
      </w:r>
    </w:p>
    <w:p w14:paraId="7FBA13D9" w14:textId="625F5555" w:rsidR="00EC4295" w:rsidRPr="00BD44A1" w:rsidRDefault="00A21D01" w:rsidP="00AE6BBB">
      <w:pPr>
        <w:bidi w:val="0"/>
        <w:jc w:val="both"/>
        <w:rPr>
          <w:rFonts w:ascii="Calibri" w:hAnsi="Calibri" w:cs="Calibri"/>
        </w:rPr>
      </w:pPr>
      <w:r w:rsidRPr="00BD44A1">
        <w:rPr>
          <w:rFonts w:ascii="Calibri" w:hAnsi="Calibri" w:cs="Calibri"/>
        </w:rPr>
        <w:t xml:space="preserve">Our assessments of expected developments in the global economy are based mainly on projections by international </w:t>
      </w:r>
      <w:r w:rsidR="00C45D20" w:rsidRPr="00BD44A1">
        <w:rPr>
          <w:rFonts w:ascii="Calibri" w:hAnsi="Calibri" w:cs="Calibri"/>
        </w:rPr>
        <w:t xml:space="preserve">financial </w:t>
      </w:r>
      <w:r w:rsidRPr="00BD44A1">
        <w:rPr>
          <w:rFonts w:ascii="Calibri" w:hAnsi="Calibri" w:cs="Calibri"/>
        </w:rPr>
        <w:t>institutions and foreign investment houses.</w:t>
      </w:r>
      <w:r w:rsidR="00C55EB9" w:rsidRPr="00BD44A1">
        <w:rPr>
          <w:rFonts w:ascii="Calibri" w:hAnsi="Calibri" w:cs="Calibri"/>
        </w:rPr>
        <w:t xml:space="preserve"> </w:t>
      </w:r>
      <w:r w:rsidR="00EC4295" w:rsidRPr="00BD44A1">
        <w:rPr>
          <w:rFonts w:ascii="Calibri" w:hAnsi="Calibri" w:cs="Calibri"/>
        </w:rPr>
        <w:t xml:space="preserve"> In particular, we used analyses by these institutions in order to assess the global impact of import tariffs imposed by the United States, and in reaction by other countries as well.  Accordingly, we assume that inflation in the advanced economies will be 3.2 percent in 2025 and 3.1 percent in 2026 (compared with 2.3 percent in 2025 and 2.2 percent in 2026 in our January forecast), </w:t>
      </w:r>
      <w:r w:rsidR="002F53E5" w:rsidRPr="00BD44A1">
        <w:rPr>
          <w:rFonts w:ascii="Calibri" w:hAnsi="Calibri" w:cs="Calibri"/>
        </w:rPr>
        <w:t>GDP in the advanced economies will grow by 1.</w:t>
      </w:r>
      <w:r w:rsidR="00EC4295" w:rsidRPr="00BD44A1">
        <w:rPr>
          <w:rFonts w:ascii="Calibri" w:hAnsi="Calibri" w:cs="Calibri"/>
        </w:rPr>
        <w:t>0</w:t>
      </w:r>
      <w:r w:rsidR="002F53E5" w:rsidRPr="00BD44A1">
        <w:rPr>
          <w:rFonts w:ascii="Calibri" w:hAnsi="Calibri" w:cs="Calibri"/>
        </w:rPr>
        <w:t xml:space="preserve"> percent in 2025 and by 1.</w:t>
      </w:r>
      <w:r w:rsidR="00EC4295" w:rsidRPr="00BD44A1">
        <w:rPr>
          <w:rFonts w:ascii="Calibri" w:hAnsi="Calibri" w:cs="Calibri"/>
        </w:rPr>
        <w:t>2</w:t>
      </w:r>
      <w:r w:rsidR="002F53E5" w:rsidRPr="00BD44A1">
        <w:rPr>
          <w:rFonts w:ascii="Calibri" w:hAnsi="Calibri" w:cs="Calibri"/>
        </w:rPr>
        <w:t xml:space="preserve"> percent in 2026</w:t>
      </w:r>
      <w:r w:rsidR="00EC4295" w:rsidRPr="00BD44A1">
        <w:rPr>
          <w:rFonts w:ascii="Calibri" w:hAnsi="Calibri" w:cs="Calibri"/>
        </w:rPr>
        <w:t xml:space="preserve"> (compared with 1.5 percent and 1.6 percent, respectively in the January forecast), and the interest rate will be 3.3 percent in 2025 and 2.9 percent in 2026 (compared with 2.9 percent and 2.8 percent respectively in the January forecast)</w:t>
      </w:r>
      <w:r w:rsidR="002F53E5" w:rsidRPr="00BD44A1">
        <w:rPr>
          <w:rFonts w:ascii="Calibri" w:hAnsi="Calibri" w:cs="Calibri"/>
        </w:rPr>
        <w:t xml:space="preserve">.  </w:t>
      </w:r>
      <w:r w:rsidR="00EC4295" w:rsidRPr="00BD44A1">
        <w:rPr>
          <w:rFonts w:ascii="Calibri" w:hAnsi="Calibri" w:cs="Calibri"/>
        </w:rPr>
        <w:t xml:space="preserve">Our assumption </w:t>
      </w:r>
      <w:r w:rsidR="00AE6BBB" w:rsidRPr="00BD44A1">
        <w:rPr>
          <w:rFonts w:ascii="Calibri" w:hAnsi="Calibri" w:cs="Calibri"/>
        </w:rPr>
        <w:t>is that</w:t>
      </w:r>
      <w:r w:rsidR="00EC4295" w:rsidRPr="00BD44A1">
        <w:rPr>
          <w:rFonts w:ascii="Calibri" w:hAnsi="Calibri" w:cs="Calibri"/>
        </w:rPr>
        <w:t xml:space="preserve"> imports </w:t>
      </w:r>
      <w:r w:rsidR="00AE6BBB" w:rsidRPr="00BD44A1">
        <w:rPr>
          <w:rFonts w:ascii="Calibri" w:hAnsi="Calibri" w:cs="Calibri"/>
        </w:rPr>
        <w:t>to advanced economies will grow by just 0.3 percent in 2025, and that they will contract by 0.7 percent in 2026 (compared with growth of 2.4 percent and 2.6 percent respectively in the January forecast)—largely due to the imposition of tariffs.</w:t>
      </w:r>
    </w:p>
    <w:p w14:paraId="5C67345C" w14:textId="12230538" w:rsidR="00D52059" w:rsidRPr="00BD44A1" w:rsidRDefault="00060B61" w:rsidP="00871F11">
      <w:pPr>
        <w:bidi w:val="0"/>
        <w:jc w:val="both"/>
        <w:rPr>
          <w:rFonts w:ascii="Calibri" w:hAnsi="Calibri" w:cs="Calibri"/>
        </w:rPr>
      </w:pPr>
      <w:r w:rsidRPr="00BD44A1">
        <w:rPr>
          <w:rFonts w:ascii="Calibri" w:hAnsi="Calibri" w:cs="Calibri"/>
        </w:rPr>
        <w:t>T</w:t>
      </w:r>
      <w:r w:rsidR="008F34C7" w:rsidRPr="00BD44A1">
        <w:rPr>
          <w:rFonts w:ascii="Calibri" w:hAnsi="Calibri" w:cs="Calibri"/>
        </w:rPr>
        <w:t xml:space="preserve">he price of Brent crude oil </w:t>
      </w:r>
      <w:r w:rsidR="005537E5" w:rsidRPr="00BD44A1">
        <w:rPr>
          <w:rFonts w:ascii="Calibri" w:hAnsi="Calibri" w:cs="Calibri"/>
        </w:rPr>
        <w:t>declined</w:t>
      </w:r>
      <w:r w:rsidRPr="00BD44A1">
        <w:rPr>
          <w:rFonts w:ascii="Calibri" w:hAnsi="Calibri" w:cs="Calibri"/>
        </w:rPr>
        <w:t xml:space="preserve"> </w:t>
      </w:r>
      <w:r w:rsidR="00AE6BBB" w:rsidRPr="00BD44A1">
        <w:rPr>
          <w:rFonts w:ascii="Calibri" w:hAnsi="Calibri" w:cs="Calibri"/>
        </w:rPr>
        <w:t>from</w:t>
      </w:r>
      <w:r w:rsidRPr="00BD44A1">
        <w:rPr>
          <w:rFonts w:ascii="Calibri" w:hAnsi="Calibri" w:cs="Calibri"/>
        </w:rPr>
        <w:t xml:space="preserve"> </w:t>
      </w:r>
      <w:r w:rsidR="00D9026F" w:rsidRPr="00BD44A1">
        <w:rPr>
          <w:rFonts w:ascii="Calibri" w:hAnsi="Calibri" w:cs="Calibri"/>
        </w:rPr>
        <w:t xml:space="preserve">about </w:t>
      </w:r>
      <w:r w:rsidRPr="00BD44A1">
        <w:rPr>
          <w:rFonts w:ascii="Calibri" w:hAnsi="Calibri" w:cs="Calibri"/>
        </w:rPr>
        <w:t>$</w:t>
      </w:r>
      <w:r w:rsidR="00595042" w:rsidRPr="00BD44A1">
        <w:rPr>
          <w:rFonts w:ascii="Calibri" w:hAnsi="Calibri" w:cs="Calibri"/>
          <w:rtl/>
        </w:rPr>
        <w:t>7</w:t>
      </w:r>
      <w:r w:rsidR="00AE6BBB" w:rsidRPr="00BD44A1">
        <w:rPr>
          <w:rFonts w:ascii="Calibri" w:hAnsi="Calibri" w:cs="Calibri"/>
        </w:rPr>
        <w:t>7</w:t>
      </w:r>
      <w:r w:rsidR="00D9026F" w:rsidRPr="00BD44A1">
        <w:rPr>
          <w:rFonts w:ascii="Calibri" w:hAnsi="Calibri" w:cs="Calibri"/>
        </w:rPr>
        <w:t xml:space="preserve"> </w:t>
      </w:r>
      <w:r w:rsidRPr="00BD44A1">
        <w:rPr>
          <w:rFonts w:ascii="Calibri" w:hAnsi="Calibri" w:cs="Calibri"/>
        </w:rPr>
        <w:t>per barrel</w:t>
      </w:r>
      <w:r w:rsidR="00AE6BBB" w:rsidRPr="00BD44A1">
        <w:rPr>
          <w:rFonts w:ascii="Calibri" w:hAnsi="Calibri" w:cs="Calibri"/>
        </w:rPr>
        <w:t xml:space="preserve"> at the time of the January forecast to around</w:t>
      </w:r>
      <w:r w:rsidR="008F34C7" w:rsidRPr="00BD44A1">
        <w:rPr>
          <w:rFonts w:ascii="Calibri" w:hAnsi="Calibri" w:cs="Calibri"/>
        </w:rPr>
        <w:t xml:space="preserve"> $</w:t>
      </w:r>
      <w:r w:rsidR="00871F11" w:rsidRPr="00BD44A1">
        <w:rPr>
          <w:rFonts w:ascii="Calibri" w:hAnsi="Calibri" w:cs="Calibri"/>
        </w:rPr>
        <w:t>65</w:t>
      </w:r>
      <w:r w:rsidR="00AE6BBB" w:rsidRPr="00BD44A1">
        <w:rPr>
          <w:rFonts w:ascii="Calibri" w:hAnsi="Calibri" w:cs="Calibri"/>
        </w:rPr>
        <w:t xml:space="preserve"> currently</w:t>
      </w:r>
      <w:r w:rsidR="00323260" w:rsidRPr="00BD44A1">
        <w:rPr>
          <w:rFonts w:ascii="Calibri" w:hAnsi="Calibri" w:cs="Calibri"/>
        </w:rPr>
        <w:t>.</w:t>
      </w:r>
    </w:p>
    <w:p w14:paraId="1281EA28" w14:textId="61ADF1D5" w:rsidR="00AE6BBB" w:rsidRPr="00BD44A1" w:rsidRDefault="00AE6BBB" w:rsidP="00AE6BBB">
      <w:pPr>
        <w:bidi w:val="0"/>
        <w:jc w:val="both"/>
        <w:rPr>
          <w:rFonts w:ascii="Calibri" w:hAnsi="Calibri" w:cs="Calibri"/>
        </w:rPr>
      </w:pPr>
    </w:p>
    <w:tbl>
      <w:tblPr>
        <w:tblStyle w:val="a7"/>
        <w:tblpPr w:leftFromText="181" w:rightFromText="181" w:vertAnchor="text" w:horzAnchor="margin" w:tblpXSpec="center" w:tblpY="1"/>
        <w:tblOverlap w:val="never"/>
        <w:tblW w:w="11052" w:type="dxa"/>
        <w:tblLayout w:type="fixed"/>
        <w:tblLook w:val="04A0" w:firstRow="1" w:lastRow="0" w:firstColumn="1" w:lastColumn="0" w:noHBand="0" w:noVBand="1"/>
      </w:tblPr>
      <w:tblGrid>
        <w:gridCol w:w="5382"/>
        <w:gridCol w:w="992"/>
        <w:gridCol w:w="1134"/>
        <w:gridCol w:w="1276"/>
        <w:gridCol w:w="992"/>
        <w:gridCol w:w="1276"/>
      </w:tblGrid>
      <w:tr w:rsidR="00AE6BBB" w:rsidRPr="00BD44A1" w14:paraId="2A0C5C37" w14:textId="77777777" w:rsidTr="00737170">
        <w:trPr>
          <w:trHeight w:val="200"/>
        </w:trPr>
        <w:tc>
          <w:tcPr>
            <w:tcW w:w="11052" w:type="dxa"/>
            <w:gridSpan w:val="6"/>
            <w:tcBorders>
              <w:top w:val="single" w:sz="4" w:space="0" w:color="auto"/>
              <w:bottom w:val="single" w:sz="4" w:space="0" w:color="auto"/>
              <w:right w:val="single" w:sz="4" w:space="0" w:color="auto"/>
            </w:tcBorders>
          </w:tcPr>
          <w:p w14:paraId="5A29EA16" w14:textId="77777777" w:rsidR="00AE6BBB" w:rsidRPr="00BD44A1" w:rsidRDefault="00AE6BBB" w:rsidP="00737170">
            <w:pPr>
              <w:bidi w:val="0"/>
              <w:rPr>
                <w:rFonts w:ascii="Calibri" w:hAnsi="Calibri" w:cs="Calibri"/>
                <w:b/>
                <w:bCs/>
                <w:color w:val="0070C0"/>
              </w:rPr>
            </w:pPr>
            <w:r w:rsidRPr="00BD44A1">
              <w:rPr>
                <w:rFonts w:ascii="Calibri" w:hAnsi="Calibri" w:cs="Calibri"/>
                <w:b/>
                <w:bCs/>
                <w:color w:val="0070C0"/>
              </w:rPr>
              <w:t>Table 1</w:t>
            </w:r>
          </w:p>
          <w:p w14:paraId="15063579" w14:textId="1F510E39" w:rsidR="00AE6BBB" w:rsidRPr="00BD44A1" w:rsidRDefault="00AE6BBB" w:rsidP="00AE6BBB">
            <w:pPr>
              <w:bidi w:val="0"/>
              <w:rPr>
                <w:rFonts w:ascii="Calibri" w:hAnsi="Calibri" w:cs="Calibri"/>
                <w:b/>
                <w:bCs/>
                <w:color w:val="0070C0"/>
              </w:rPr>
            </w:pPr>
            <w:r w:rsidRPr="00BD44A1">
              <w:rPr>
                <w:rFonts w:ascii="Calibri" w:hAnsi="Calibri" w:cs="Calibri"/>
                <w:b/>
                <w:bCs/>
                <w:color w:val="0070C0"/>
              </w:rPr>
              <w:t>Research Department Staff Forecast for 2025–2026</w:t>
            </w:r>
          </w:p>
          <w:p w14:paraId="2A3E1084" w14:textId="77777777" w:rsidR="00AE6BBB" w:rsidRPr="00BD44A1" w:rsidRDefault="00AE6BBB" w:rsidP="00737170">
            <w:pPr>
              <w:bidi w:val="0"/>
              <w:rPr>
                <w:rFonts w:ascii="Calibri" w:hAnsi="Calibri" w:cs="Calibri"/>
                <w:b/>
                <w:bCs/>
                <w:color w:val="0070C0"/>
              </w:rPr>
            </w:pPr>
            <w:r w:rsidRPr="00BD44A1">
              <w:rPr>
                <w:rFonts w:ascii="Calibri" w:hAnsi="Calibri" w:cs="Calibri"/>
                <w:color w:val="0070C0"/>
                <w:sz w:val="22"/>
                <w:szCs w:val="22"/>
              </w:rPr>
              <w:t xml:space="preserve">(rates of change, </w:t>
            </w:r>
            <w:proofErr w:type="spellStart"/>
            <w:r w:rsidRPr="00BD44A1">
              <w:rPr>
                <w:rFonts w:ascii="Calibri" w:hAnsi="Calibri" w:cs="Calibri"/>
                <w:color w:val="0070C0"/>
                <w:sz w:val="22"/>
                <w:szCs w:val="22"/>
              </w:rPr>
              <w:t>percent</w:t>
            </w:r>
            <w:r w:rsidRPr="00BD44A1">
              <w:rPr>
                <w:rFonts w:ascii="Calibri" w:hAnsi="Calibri" w:cs="Calibri"/>
                <w:color w:val="0070C0"/>
                <w:sz w:val="22"/>
                <w:szCs w:val="22"/>
                <w:vertAlign w:val="superscript"/>
              </w:rPr>
              <w:t>a</w:t>
            </w:r>
            <w:proofErr w:type="spellEnd"/>
            <w:r w:rsidRPr="00BD44A1">
              <w:rPr>
                <w:rFonts w:ascii="Calibri" w:hAnsi="Calibri" w:cs="Calibri"/>
                <w:color w:val="0070C0"/>
                <w:sz w:val="22"/>
                <w:szCs w:val="22"/>
              </w:rPr>
              <w:t>, unless stated otherwise)</w:t>
            </w:r>
          </w:p>
        </w:tc>
      </w:tr>
      <w:tr w:rsidR="00AE6BBB" w:rsidRPr="00BD44A1" w14:paraId="38163B40" w14:textId="77777777" w:rsidTr="00AE6BBB">
        <w:tc>
          <w:tcPr>
            <w:tcW w:w="5382" w:type="dxa"/>
            <w:tcBorders>
              <w:bottom w:val="nil"/>
            </w:tcBorders>
            <w:vAlign w:val="bottom"/>
          </w:tcPr>
          <w:p w14:paraId="373A6FAA" w14:textId="77777777" w:rsidR="00AE6BBB" w:rsidRPr="00BD44A1" w:rsidRDefault="00AE6BBB" w:rsidP="00737170">
            <w:pPr>
              <w:bidi w:val="0"/>
              <w:rPr>
                <w:rFonts w:ascii="Calibri" w:hAnsi="Calibri" w:cs="Calibri"/>
                <w:sz w:val="20"/>
                <w:szCs w:val="20"/>
              </w:rPr>
            </w:pPr>
          </w:p>
        </w:tc>
        <w:tc>
          <w:tcPr>
            <w:tcW w:w="992" w:type="dxa"/>
            <w:tcBorders>
              <w:left w:val="single" w:sz="4" w:space="0" w:color="auto"/>
              <w:bottom w:val="nil"/>
              <w:right w:val="nil"/>
            </w:tcBorders>
            <w:shd w:val="clear" w:color="auto" w:fill="auto"/>
          </w:tcPr>
          <w:p w14:paraId="57DAA3C0" w14:textId="1D2D4E22" w:rsidR="00AE6BBB" w:rsidRPr="00BD44A1" w:rsidRDefault="00AE6BBB" w:rsidP="00AE6BBB">
            <w:pPr>
              <w:bidi w:val="0"/>
              <w:jc w:val="center"/>
              <w:rPr>
                <w:rFonts w:ascii="Calibri" w:hAnsi="Calibri" w:cs="Calibri"/>
                <w:sz w:val="20"/>
                <w:szCs w:val="20"/>
              </w:rPr>
            </w:pPr>
            <w:r w:rsidRPr="00BD44A1">
              <w:rPr>
                <w:rFonts w:ascii="Calibri" w:hAnsi="Calibri" w:cs="Calibri"/>
                <w:sz w:val="20"/>
                <w:szCs w:val="20"/>
              </w:rPr>
              <w:t>2024</w:t>
            </w:r>
          </w:p>
          <w:p w14:paraId="79C8D22A" w14:textId="77777777" w:rsidR="00AE6BBB" w:rsidRPr="00BD44A1" w:rsidRDefault="00AE6BBB" w:rsidP="00737170">
            <w:pPr>
              <w:bidi w:val="0"/>
              <w:jc w:val="center"/>
              <w:rPr>
                <w:rFonts w:ascii="Calibri" w:hAnsi="Calibri" w:cs="Calibri"/>
                <w:sz w:val="20"/>
                <w:szCs w:val="20"/>
              </w:rPr>
            </w:pPr>
            <w:r w:rsidRPr="00BD44A1">
              <w:rPr>
                <w:rFonts w:ascii="Calibri" w:hAnsi="Calibri" w:cs="Calibri"/>
                <w:sz w:val="20"/>
                <w:szCs w:val="20"/>
              </w:rPr>
              <w:t>Actual</w:t>
            </w:r>
          </w:p>
        </w:tc>
        <w:tc>
          <w:tcPr>
            <w:tcW w:w="1134" w:type="dxa"/>
            <w:tcBorders>
              <w:left w:val="single" w:sz="4" w:space="0" w:color="auto"/>
              <w:bottom w:val="nil"/>
              <w:right w:val="single" w:sz="4" w:space="0" w:color="auto"/>
            </w:tcBorders>
            <w:shd w:val="clear" w:color="auto" w:fill="auto"/>
          </w:tcPr>
          <w:p w14:paraId="28339829" w14:textId="280B4C16" w:rsidR="00AE6BBB" w:rsidRPr="00BD44A1" w:rsidRDefault="00AE6BBB" w:rsidP="00AE6BBB">
            <w:pPr>
              <w:bidi w:val="0"/>
              <w:jc w:val="center"/>
              <w:rPr>
                <w:rFonts w:ascii="Calibri" w:hAnsi="Calibri" w:cs="Calibri"/>
                <w:sz w:val="20"/>
                <w:szCs w:val="20"/>
              </w:rPr>
            </w:pPr>
            <w:r w:rsidRPr="00BD44A1">
              <w:rPr>
                <w:rFonts w:ascii="Calibri" w:hAnsi="Calibri" w:cs="Calibri"/>
                <w:sz w:val="20"/>
                <w:szCs w:val="20"/>
              </w:rPr>
              <w:t>Forecast for 2025</w:t>
            </w:r>
          </w:p>
        </w:tc>
        <w:tc>
          <w:tcPr>
            <w:tcW w:w="1276" w:type="dxa"/>
            <w:tcBorders>
              <w:left w:val="single" w:sz="4" w:space="0" w:color="auto"/>
              <w:bottom w:val="single" w:sz="4" w:space="0" w:color="auto"/>
              <w:right w:val="single" w:sz="4" w:space="0" w:color="auto"/>
            </w:tcBorders>
            <w:shd w:val="clear" w:color="auto" w:fill="C6D9F1" w:themeFill="text2" w:themeFillTint="33"/>
          </w:tcPr>
          <w:p w14:paraId="5E611CF5" w14:textId="06AFF67E" w:rsidR="00AE6BBB" w:rsidRPr="00BD44A1" w:rsidRDefault="00AE6BBB" w:rsidP="00AE6BBB">
            <w:pPr>
              <w:bidi w:val="0"/>
              <w:jc w:val="center"/>
              <w:rPr>
                <w:rFonts w:ascii="Calibri" w:hAnsi="Calibri" w:cs="Calibri"/>
                <w:sz w:val="20"/>
                <w:szCs w:val="20"/>
              </w:rPr>
            </w:pPr>
            <w:r w:rsidRPr="00BD44A1">
              <w:rPr>
                <w:rFonts w:ascii="Calibri" w:hAnsi="Calibri" w:cs="Calibri"/>
                <w:sz w:val="20"/>
                <w:szCs w:val="20"/>
              </w:rPr>
              <w:t>Change from the January forecast</w:t>
            </w:r>
          </w:p>
        </w:tc>
        <w:tc>
          <w:tcPr>
            <w:tcW w:w="992" w:type="dxa"/>
            <w:tcBorders>
              <w:left w:val="nil"/>
              <w:bottom w:val="single" w:sz="4" w:space="0" w:color="auto"/>
              <w:right w:val="single" w:sz="4" w:space="0" w:color="auto"/>
            </w:tcBorders>
            <w:shd w:val="clear" w:color="auto" w:fill="auto"/>
          </w:tcPr>
          <w:p w14:paraId="4EA0C875" w14:textId="6B1B12E6" w:rsidR="00AE6BBB" w:rsidRPr="00BD44A1" w:rsidRDefault="00AE6BBB" w:rsidP="00AE6BBB">
            <w:pPr>
              <w:bidi w:val="0"/>
              <w:jc w:val="center"/>
              <w:rPr>
                <w:rFonts w:ascii="Calibri" w:hAnsi="Calibri" w:cs="Calibri"/>
                <w:sz w:val="20"/>
                <w:szCs w:val="20"/>
              </w:rPr>
            </w:pPr>
            <w:r w:rsidRPr="00BD44A1">
              <w:rPr>
                <w:rFonts w:ascii="Calibri" w:hAnsi="Calibri" w:cs="Calibri"/>
                <w:sz w:val="20"/>
                <w:szCs w:val="20"/>
              </w:rPr>
              <w:t>Forecast for 2026</w:t>
            </w:r>
          </w:p>
        </w:tc>
        <w:tc>
          <w:tcPr>
            <w:tcW w:w="1276" w:type="dxa"/>
            <w:shd w:val="clear" w:color="auto" w:fill="B8CCE4" w:themeFill="accent1" w:themeFillTint="66"/>
          </w:tcPr>
          <w:p w14:paraId="1F3E6786" w14:textId="6CEB7659" w:rsidR="00AE6BBB" w:rsidRPr="00BD44A1" w:rsidRDefault="00AE6BBB" w:rsidP="00AE6BBB">
            <w:pPr>
              <w:bidi w:val="0"/>
              <w:jc w:val="center"/>
              <w:rPr>
                <w:rFonts w:ascii="Calibri" w:hAnsi="Calibri" w:cs="Calibri"/>
                <w:sz w:val="20"/>
                <w:szCs w:val="20"/>
              </w:rPr>
            </w:pPr>
            <w:r w:rsidRPr="00BD44A1">
              <w:rPr>
                <w:rFonts w:ascii="Calibri" w:hAnsi="Calibri" w:cs="Calibri"/>
                <w:sz w:val="20"/>
                <w:szCs w:val="20"/>
              </w:rPr>
              <w:t>Change from the January forecast</w:t>
            </w:r>
          </w:p>
        </w:tc>
      </w:tr>
      <w:tr w:rsidR="00AE6BBB" w:rsidRPr="00BD44A1" w14:paraId="5743A2BF" w14:textId="77777777" w:rsidTr="00F33F5A">
        <w:tc>
          <w:tcPr>
            <w:tcW w:w="5382" w:type="dxa"/>
            <w:tcBorders>
              <w:bottom w:val="single" w:sz="4" w:space="0" w:color="auto"/>
            </w:tcBorders>
            <w:vAlign w:val="bottom"/>
          </w:tcPr>
          <w:p w14:paraId="47EBC93C" w14:textId="77777777" w:rsidR="00AE6BBB" w:rsidRPr="00BD44A1" w:rsidRDefault="00AE6BBB" w:rsidP="00AE6BBB">
            <w:pPr>
              <w:bidi w:val="0"/>
              <w:rPr>
                <w:rFonts w:ascii="Calibri" w:hAnsi="Calibri" w:cs="Calibri"/>
                <w:b/>
                <w:bCs/>
                <w:sz w:val="20"/>
                <w:szCs w:val="20"/>
              </w:rPr>
            </w:pPr>
            <w:r w:rsidRPr="00BD44A1">
              <w:rPr>
                <w:rFonts w:ascii="Calibri" w:hAnsi="Calibri" w:cs="Calibri"/>
                <w:b/>
                <w:bCs/>
                <w:sz w:val="20"/>
                <w:szCs w:val="20"/>
              </w:rPr>
              <w:t>GDP</w:t>
            </w:r>
          </w:p>
        </w:tc>
        <w:tc>
          <w:tcPr>
            <w:tcW w:w="992" w:type="dxa"/>
            <w:tcBorders>
              <w:left w:val="single" w:sz="4" w:space="0" w:color="auto"/>
              <w:bottom w:val="single" w:sz="4" w:space="0" w:color="auto"/>
              <w:right w:val="nil"/>
            </w:tcBorders>
            <w:shd w:val="clear" w:color="auto" w:fill="auto"/>
          </w:tcPr>
          <w:p w14:paraId="3B93EB79" w14:textId="2B6B4533" w:rsidR="00AE6BBB" w:rsidRPr="00BD44A1" w:rsidRDefault="00AE6BBB" w:rsidP="00AE6BBB">
            <w:pPr>
              <w:bidi w:val="0"/>
              <w:jc w:val="center"/>
              <w:rPr>
                <w:rFonts w:ascii="Calibri" w:hAnsi="Calibri" w:cs="Calibri"/>
                <w:b/>
                <w:bCs/>
                <w:sz w:val="20"/>
                <w:szCs w:val="20"/>
              </w:rPr>
            </w:pPr>
            <w:r w:rsidRPr="00BD44A1">
              <w:rPr>
                <w:rFonts w:ascii="Calibri" w:hAnsi="Calibri" w:cs="Calibri"/>
                <w:b/>
                <w:bCs/>
                <w:sz w:val="20"/>
                <w:szCs w:val="20"/>
              </w:rPr>
              <w:t>0.9</w:t>
            </w:r>
          </w:p>
        </w:tc>
        <w:tc>
          <w:tcPr>
            <w:tcW w:w="1134" w:type="dxa"/>
            <w:tcBorders>
              <w:left w:val="single" w:sz="4" w:space="0" w:color="auto"/>
              <w:bottom w:val="single" w:sz="4" w:space="0" w:color="auto"/>
              <w:right w:val="single" w:sz="4" w:space="0" w:color="auto"/>
            </w:tcBorders>
            <w:shd w:val="clear" w:color="auto" w:fill="auto"/>
            <w:vAlign w:val="bottom"/>
          </w:tcPr>
          <w:p w14:paraId="34BD5148" w14:textId="5B29A485" w:rsidR="00AE6BBB" w:rsidRPr="00BD44A1" w:rsidRDefault="00AE6BBB" w:rsidP="00AE6BBB">
            <w:pPr>
              <w:bidi w:val="0"/>
              <w:jc w:val="center"/>
              <w:rPr>
                <w:rFonts w:ascii="Calibri" w:hAnsi="Calibri" w:cs="Calibri"/>
                <w:b/>
                <w:bCs/>
                <w:sz w:val="20"/>
                <w:szCs w:val="20"/>
              </w:rPr>
            </w:pPr>
            <w:r w:rsidRPr="00BD44A1">
              <w:rPr>
                <w:rFonts w:ascii="Calibri" w:hAnsi="Calibri" w:cs="Calibri"/>
                <w:b/>
                <w:bCs/>
                <w:sz w:val="20"/>
                <w:szCs w:val="20"/>
                <w:rtl/>
              </w:rPr>
              <w:t>3.5</w:t>
            </w:r>
          </w:p>
        </w:tc>
        <w:tc>
          <w:tcPr>
            <w:tcW w:w="1276" w:type="dxa"/>
            <w:tcBorders>
              <w:left w:val="single" w:sz="4" w:space="0" w:color="auto"/>
              <w:bottom w:val="single" w:sz="4" w:space="0" w:color="auto"/>
              <w:right w:val="single" w:sz="4" w:space="0" w:color="auto"/>
            </w:tcBorders>
            <w:shd w:val="clear" w:color="auto" w:fill="C6D9F1" w:themeFill="text2" w:themeFillTint="33"/>
            <w:vAlign w:val="bottom"/>
          </w:tcPr>
          <w:p w14:paraId="5DE40634" w14:textId="527DA155" w:rsidR="00AE6BBB" w:rsidRPr="00BD44A1" w:rsidRDefault="00AE6BBB" w:rsidP="00AE6BBB">
            <w:pPr>
              <w:bidi w:val="0"/>
              <w:jc w:val="center"/>
              <w:rPr>
                <w:rFonts w:ascii="Calibri" w:hAnsi="Calibri" w:cs="Calibri"/>
                <w:b/>
                <w:bCs/>
                <w:sz w:val="20"/>
                <w:szCs w:val="20"/>
              </w:rPr>
            </w:pPr>
            <w:r w:rsidRPr="00BD44A1">
              <w:rPr>
                <w:rFonts w:ascii="Calibri" w:hAnsi="Calibri" w:cs="Calibri"/>
                <w:b/>
                <w:bCs/>
                <w:sz w:val="20"/>
                <w:szCs w:val="20"/>
                <w:rtl/>
              </w:rPr>
              <w:t>0.5-</w:t>
            </w:r>
          </w:p>
        </w:tc>
        <w:tc>
          <w:tcPr>
            <w:tcW w:w="992" w:type="dxa"/>
            <w:tcBorders>
              <w:left w:val="nil"/>
              <w:bottom w:val="single" w:sz="4" w:space="0" w:color="auto"/>
              <w:right w:val="single" w:sz="4" w:space="0" w:color="auto"/>
            </w:tcBorders>
            <w:shd w:val="clear" w:color="auto" w:fill="auto"/>
            <w:vAlign w:val="bottom"/>
          </w:tcPr>
          <w:p w14:paraId="0FCEEAEF" w14:textId="6C6070E0" w:rsidR="00AE6BBB" w:rsidRPr="00BD44A1" w:rsidRDefault="00AE6BBB" w:rsidP="00AE6BBB">
            <w:pPr>
              <w:bidi w:val="0"/>
              <w:jc w:val="center"/>
              <w:rPr>
                <w:rFonts w:ascii="Calibri" w:hAnsi="Calibri" w:cs="Calibri"/>
                <w:b/>
                <w:bCs/>
                <w:sz w:val="20"/>
                <w:szCs w:val="20"/>
              </w:rPr>
            </w:pPr>
            <w:r w:rsidRPr="00BD44A1">
              <w:rPr>
                <w:rFonts w:ascii="Calibri" w:hAnsi="Calibri" w:cs="Calibri"/>
                <w:b/>
                <w:bCs/>
                <w:sz w:val="20"/>
                <w:szCs w:val="20"/>
              </w:rPr>
              <w:t>4.0</w:t>
            </w:r>
          </w:p>
        </w:tc>
        <w:tc>
          <w:tcPr>
            <w:tcW w:w="1276" w:type="dxa"/>
            <w:shd w:val="clear" w:color="auto" w:fill="B8CCE4" w:themeFill="accent1" w:themeFillTint="66"/>
            <w:vAlign w:val="bottom"/>
          </w:tcPr>
          <w:p w14:paraId="7428AB61" w14:textId="3FD090DD" w:rsidR="00AE6BBB" w:rsidRPr="00BD44A1" w:rsidRDefault="00AE6BBB" w:rsidP="00AE6BBB">
            <w:pPr>
              <w:bidi w:val="0"/>
              <w:jc w:val="center"/>
              <w:rPr>
                <w:rFonts w:ascii="Calibri" w:hAnsi="Calibri" w:cs="Calibri"/>
                <w:b/>
                <w:bCs/>
                <w:sz w:val="20"/>
                <w:szCs w:val="20"/>
              </w:rPr>
            </w:pPr>
            <w:r w:rsidRPr="00BD44A1">
              <w:rPr>
                <w:rFonts w:ascii="Calibri" w:hAnsi="Calibri" w:cs="Calibri"/>
                <w:b/>
                <w:bCs/>
                <w:sz w:val="20"/>
                <w:szCs w:val="20"/>
              </w:rPr>
              <w:t>-0.5</w:t>
            </w:r>
          </w:p>
        </w:tc>
      </w:tr>
      <w:tr w:rsidR="00AE6BBB" w:rsidRPr="00BD44A1" w14:paraId="3F21E389" w14:textId="77777777" w:rsidTr="00F33F5A">
        <w:tc>
          <w:tcPr>
            <w:tcW w:w="5382" w:type="dxa"/>
            <w:tcBorders>
              <w:bottom w:val="single" w:sz="4" w:space="0" w:color="auto"/>
            </w:tcBorders>
            <w:vAlign w:val="bottom"/>
          </w:tcPr>
          <w:p w14:paraId="58C752A0" w14:textId="77777777" w:rsidR="00AE6BBB" w:rsidRPr="00BD44A1" w:rsidRDefault="00AE6BBB" w:rsidP="00AE6BBB">
            <w:pPr>
              <w:bidi w:val="0"/>
              <w:rPr>
                <w:rFonts w:ascii="Calibri" w:hAnsi="Calibri" w:cs="Calibri"/>
                <w:sz w:val="20"/>
                <w:szCs w:val="20"/>
              </w:rPr>
            </w:pPr>
            <w:r w:rsidRPr="00BD44A1">
              <w:rPr>
                <w:rFonts w:ascii="Calibri" w:hAnsi="Calibri" w:cs="Calibri"/>
                <w:sz w:val="20"/>
                <w:szCs w:val="20"/>
              </w:rPr>
              <w:t>Private consumption</w:t>
            </w:r>
          </w:p>
        </w:tc>
        <w:tc>
          <w:tcPr>
            <w:tcW w:w="992" w:type="dxa"/>
            <w:tcBorders>
              <w:left w:val="single" w:sz="4" w:space="0" w:color="auto"/>
              <w:bottom w:val="single" w:sz="4" w:space="0" w:color="auto"/>
              <w:right w:val="nil"/>
            </w:tcBorders>
            <w:shd w:val="clear" w:color="auto" w:fill="auto"/>
          </w:tcPr>
          <w:p w14:paraId="71B9AAC6" w14:textId="7291468E" w:rsidR="00AE6BBB" w:rsidRPr="00BD44A1" w:rsidRDefault="00AE6BBB" w:rsidP="00AE6BBB">
            <w:pPr>
              <w:bidi w:val="0"/>
              <w:jc w:val="center"/>
              <w:rPr>
                <w:rFonts w:ascii="Calibri" w:hAnsi="Calibri" w:cs="Calibri"/>
                <w:sz w:val="20"/>
                <w:szCs w:val="20"/>
              </w:rPr>
            </w:pPr>
            <w:r w:rsidRPr="00BD44A1">
              <w:rPr>
                <w:rFonts w:ascii="Calibri" w:hAnsi="Calibri" w:cs="Calibri"/>
                <w:sz w:val="20"/>
                <w:szCs w:val="20"/>
              </w:rPr>
              <w:t>3.7</w:t>
            </w:r>
          </w:p>
        </w:tc>
        <w:tc>
          <w:tcPr>
            <w:tcW w:w="1134" w:type="dxa"/>
            <w:tcBorders>
              <w:left w:val="single" w:sz="4" w:space="0" w:color="auto"/>
              <w:bottom w:val="single" w:sz="4" w:space="0" w:color="auto"/>
              <w:right w:val="single" w:sz="4" w:space="0" w:color="auto"/>
            </w:tcBorders>
            <w:shd w:val="clear" w:color="auto" w:fill="auto"/>
            <w:vAlign w:val="bottom"/>
          </w:tcPr>
          <w:p w14:paraId="7AD96849" w14:textId="03AA629A" w:rsidR="00AE6BBB" w:rsidRPr="00BD44A1" w:rsidRDefault="00AE6BBB" w:rsidP="00AE6BBB">
            <w:pPr>
              <w:bidi w:val="0"/>
              <w:jc w:val="center"/>
              <w:rPr>
                <w:rFonts w:ascii="Calibri" w:hAnsi="Calibri" w:cs="Calibri"/>
                <w:sz w:val="20"/>
                <w:szCs w:val="20"/>
              </w:rPr>
            </w:pPr>
            <w:r w:rsidRPr="00BD44A1">
              <w:rPr>
                <w:rFonts w:ascii="Calibri" w:hAnsi="Calibri" w:cs="Calibri"/>
                <w:sz w:val="20"/>
                <w:szCs w:val="20"/>
              </w:rPr>
              <w:t>6.0</w:t>
            </w:r>
          </w:p>
        </w:tc>
        <w:tc>
          <w:tcPr>
            <w:tcW w:w="1276" w:type="dxa"/>
            <w:tcBorders>
              <w:left w:val="single" w:sz="4" w:space="0" w:color="auto"/>
              <w:bottom w:val="single" w:sz="4" w:space="0" w:color="auto"/>
              <w:right w:val="single" w:sz="4" w:space="0" w:color="auto"/>
            </w:tcBorders>
            <w:shd w:val="clear" w:color="auto" w:fill="C6D9F1" w:themeFill="text2" w:themeFillTint="33"/>
            <w:vAlign w:val="bottom"/>
          </w:tcPr>
          <w:p w14:paraId="0182AA31" w14:textId="64018276" w:rsidR="00AE6BBB" w:rsidRPr="00BD44A1" w:rsidRDefault="00AE6BBB" w:rsidP="00AE6BBB">
            <w:pPr>
              <w:bidi w:val="0"/>
              <w:jc w:val="center"/>
              <w:rPr>
                <w:rFonts w:ascii="Calibri" w:hAnsi="Calibri" w:cs="Calibri"/>
                <w:sz w:val="20"/>
                <w:szCs w:val="20"/>
              </w:rPr>
            </w:pPr>
            <w:r w:rsidRPr="00BD44A1">
              <w:rPr>
                <w:rFonts w:ascii="Calibri" w:hAnsi="Calibri" w:cs="Calibri"/>
                <w:sz w:val="20"/>
                <w:szCs w:val="20"/>
              </w:rPr>
              <w:t>-1.5</w:t>
            </w:r>
          </w:p>
        </w:tc>
        <w:tc>
          <w:tcPr>
            <w:tcW w:w="992" w:type="dxa"/>
            <w:tcBorders>
              <w:left w:val="nil"/>
              <w:bottom w:val="single" w:sz="4" w:space="0" w:color="auto"/>
              <w:right w:val="single" w:sz="4" w:space="0" w:color="auto"/>
            </w:tcBorders>
            <w:shd w:val="clear" w:color="auto" w:fill="auto"/>
            <w:vAlign w:val="bottom"/>
          </w:tcPr>
          <w:p w14:paraId="0CC7BC0C" w14:textId="3EEA5D4A" w:rsidR="00AE6BBB" w:rsidRPr="00BD44A1" w:rsidRDefault="00AE6BBB" w:rsidP="00AE6BBB">
            <w:pPr>
              <w:bidi w:val="0"/>
              <w:jc w:val="center"/>
              <w:rPr>
                <w:rFonts w:ascii="Calibri" w:hAnsi="Calibri" w:cs="Calibri"/>
                <w:sz w:val="20"/>
                <w:szCs w:val="20"/>
              </w:rPr>
            </w:pPr>
            <w:r w:rsidRPr="00BD44A1">
              <w:rPr>
                <w:rFonts w:ascii="Calibri" w:hAnsi="Calibri" w:cs="Calibri"/>
                <w:sz w:val="20"/>
                <w:szCs w:val="20"/>
              </w:rPr>
              <w:t>3.5</w:t>
            </w:r>
          </w:p>
        </w:tc>
        <w:tc>
          <w:tcPr>
            <w:tcW w:w="1276" w:type="dxa"/>
            <w:shd w:val="clear" w:color="auto" w:fill="B8CCE4" w:themeFill="accent1" w:themeFillTint="66"/>
            <w:vAlign w:val="bottom"/>
          </w:tcPr>
          <w:p w14:paraId="58F80D45" w14:textId="2111A4F7" w:rsidR="00AE6BBB" w:rsidRPr="00BD44A1" w:rsidRDefault="00AE6BBB" w:rsidP="00AE6BBB">
            <w:pPr>
              <w:bidi w:val="0"/>
              <w:jc w:val="center"/>
              <w:rPr>
                <w:rFonts w:ascii="Calibri" w:hAnsi="Calibri" w:cs="Calibri"/>
                <w:sz w:val="20"/>
                <w:szCs w:val="20"/>
              </w:rPr>
            </w:pPr>
            <w:r w:rsidRPr="00BD44A1">
              <w:rPr>
                <w:rFonts w:ascii="Calibri" w:hAnsi="Calibri" w:cs="Calibri"/>
                <w:sz w:val="20"/>
                <w:szCs w:val="20"/>
              </w:rPr>
              <w:t>-2.0</w:t>
            </w:r>
          </w:p>
        </w:tc>
      </w:tr>
      <w:tr w:rsidR="00AE6BBB" w:rsidRPr="00BD44A1" w14:paraId="128A5298" w14:textId="77777777" w:rsidTr="00F33F5A">
        <w:tc>
          <w:tcPr>
            <w:tcW w:w="5382" w:type="dxa"/>
            <w:tcBorders>
              <w:bottom w:val="single" w:sz="4" w:space="0" w:color="auto"/>
            </w:tcBorders>
            <w:vAlign w:val="bottom"/>
          </w:tcPr>
          <w:p w14:paraId="1222E5F3" w14:textId="77777777" w:rsidR="00AE6BBB" w:rsidRPr="00BD44A1" w:rsidRDefault="00AE6BBB" w:rsidP="00AE6BBB">
            <w:pPr>
              <w:bidi w:val="0"/>
              <w:rPr>
                <w:rFonts w:ascii="Calibri" w:hAnsi="Calibri" w:cs="Calibri"/>
                <w:sz w:val="20"/>
                <w:szCs w:val="20"/>
              </w:rPr>
            </w:pPr>
            <w:r w:rsidRPr="00BD44A1">
              <w:rPr>
                <w:rFonts w:ascii="Calibri" w:hAnsi="Calibri" w:cs="Calibri"/>
                <w:sz w:val="20"/>
                <w:szCs w:val="20"/>
              </w:rPr>
              <w:t>Fixed capital formation (excl. ships and aircraft)</w:t>
            </w:r>
          </w:p>
        </w:tc>
        <w:tc>
          <w:tcPr>
            <w:tcW w:w="992" w:type="dxa"/>
            <w:tcBorders>
              <w:left w:val="single" w:sz="4" w:space="0" w:color="auto"/>
              <w:bottom w:val="single" w:sz="4" w:space="0" w:color="auto"/>
              <w:right w:val="nil"/>
            </w:tcBorders>
            <w:shd w:val="clear" w:color="auto" w:fill="auto"/>
          </w:tcPr>
          <w:p w14:paraId="5FDC5352" w14:textId="37C026B6" w:rsidR="00AE6BBB" w:rsidRPr="00BD44A1" w:rsidRDefault="00AE6BBB" w:rsidP="00AE6BBB">
            <w:pPr>
              <w:bidi w:val="0"/>
              <w:jc w:val="center"/>
              <w:rPr>
                <w:rFonts w:ascii="Calibri" w:hAnsi="Calibri" w:cs="Calibri"/>
                <w:sz w:val="20"/>
                <w:szCs w:val="20"/>
              </w:rPr>
            </w:pPr>
            <w:r w:rsidRPr="00BD44A1">
              <w:rPr>
                <w:rFonts w:ascii="Calibri" w:hAnsi="Calibri" w:cs="Calibri"/>
                <w:sz w:val="20"/>
                <w:szCs w:val="20"/>
              </w:rPr>
              <w:t>-6.1</w:t>
            </w:r>
          </w:p>
        </w:tc>
        <w:tc>
          <w:tcPr>
            <w:tcW w:w="1134" w:type="dxa"/>
            <w:tcBorders>
              <w:left w:val="single" w:sz="4" w:space="0" w:color="auto"/>
              <w:bottom w:val="single" w:sz="4" w:space="0" w:color="auto"/>
              <w:right w:val="single" w:sz="4" w:space="0" w:color="auto"/>
            </w:tcBorders>
            <w:shd w:val="clear" w:color="auto" w:fill="auto"/>
            <w:vAlign w:val="bottom"/>
          </w:tcPr>
          <w:p w14:paraId="22756BE6" w14:textId="0E295088" w:rsidR="00AE6BBB" w:rsidRPr="00BD44A1" w:rsidRDefault="00AE6BBB" w:rsidP="00AE6BBB">
            <w:pPr>
              <w:bidi w:val="0"/>
              <w:jc w:val="center"/>
              <w:rPr>
                <w:rFonts w:ascii="Calibri" w:hAnsi="Calibri" w:cs="Calibri"/>
                <w:sz w:val="20"/>
                <w:szCs w:val="20"/>
              </w:rPr>
            </w:pPr>
            <w:r w:rsidRPr="00BD44A1">
              <w:rPr>
                <w:rFonts w:ascii="Calibri" w:hAnsi="Calibri" w:cs="Calibri"/>
                <w:sz w:val="20"/>
                <w:szCs w:val="20"/>
              </w:rPr>
              <w:t>10.0</w:t>
            </w:r>
          </w:p>
        </w:tc>
        <w:tc>
          <w:tcPr>
            <w:tcW w:w="1276" w:type="dxa"/>
            <w:tcBorders>
              <w:left w:val="single" w:sz="4" w:space="0" w:color="auto"/>
              <w:bottom w:val="single" w:sz="4" w:space="0" w:color="auto"/>
              <w:right w:val="single" w:sz="4" w:space="0" w:color="auto"/>
            </w:tcBorders>
            <w:shd w:val="clear" w:color="auto" w:fill="C6D9F1" w:themeFill="text2" w:themeFillTint="33"/>
            <w:vAlign w:val="bottom"/>
          </w:tcPr>
          <w:p w14:paraId="0DB91ABE" w14:textId="204A4C64" w:rsidR="00AE6BBB" w:rsidRPr="00BD44A1" w:rsidRDefault="00AE6BBB" w:rsidP="00AE6BBB">
            <w:pPr>
              <w:bidi w:val="0"/>
              <w:jc w:val="center"/>
              <w:rPr>
                <w:rFonts w:ascii="Calibri" w:hAnsi="Calibri" w:cs="Calibri"/>
                <w:sz w:val="20"/>
                <w:szCs w:val="20"/>
              </w:rPr>
            </w:pPr>
            <w:r w:rsidRPr="00BD44A1">
              <w:rPr>
                <w:rFonts w:ascii="Calibri" w:hAnsi="Calibri" w:cs="Calibri"/>
                <w:sz w:val="20"/>
                <w:szCs w:val="20"/>
              </w:rPr>
              <w:t>2.0</w:t>
            </w:r>
          </w:p>
        </w:tc>
        <w:tc>
          <w:tcPr>
            <w:tcW w:w="992" w:type="dxa"/>
            <w:tcBorders>
              <w:left w:val="nil"/>
              <w:bottom w:val="single" w:sz="4" w:space="0" w:color="auto"/>
              <w:right w:val="single" w:sz="4" w:space="0" w:color="auto"/>
            </w:tcBorders>
            <w:shd w:val="clear" w:color="auto" w:fill="auto"/>
            <w:vAlign w:val="bottom"/>
          </w:tcPr>
          <w:p w14:paraId="1143A9BE" w14:textId="4F15AC2A" w:rsidR="00AE6BBB" w:rsidRPr="00BD44A1" w:rsidRDefault="00AE6BBB" w:rsidP="00AE6BBB">
            <w:pPr>
              <w:bidi w:val="0"/>
              <w:jc w:val="center"/>
              <w:rPr>
                <w:rFonts w:ascii="Calibri" w:hAnsi="Calibri" w:cs="Calibri"/>
                <w:sz w:val="20"/>
                <w:szCs w:val="20"/>
              </w:rPr>
            </w:pPr>
            <w:r w:rsidRPr="00BD44A1">
              <w:rPr>
                <w:rFonts w:ascii="Calibri" w:hAnsi="Calibri" w:cs="Calibri"/>
                <w:sz w:val="20"/>
                <w:szCs w:val="20"/>
              </w:rPr>
              <w:t>12.0</w:t>
            </w:r>
          </w:p>
        </w:tc>
        <w:tc>
          <w:tcPr>
            <w:tcW w:w="1276" w:type="dxa"/>
            <w:shd w:val="clear" w:color="auto" w:fill="B8CCE4" w:themeFill="accent1" w:themeFillTint="66"/>
            <w:vAlign w:val="bottom"/>
          </w:tcPr>
          <w:p w14:paraId="2EB28AFA" w14:textId="3AD3AD08" w:rsidR="00AE6BBB" w:rsidRPr="00BD44A1" w:rsidRDefault="00AE6BBB" w:rsidP="00AE6BBB">
            <w:pPr>
              <w:bidi w:val="0"/>
              <w:jc w:val="center"/>
              <w:rPr>
                <w:rFonts w:ascii="Calibri" w:hAnsi="Calibri" w:cs="Calibri"/>
                <w:sz w:val="20"/>
                <w:szCs w:val="20"/>
              </w:rPr>
            </w:pPr>
            <w:r w:rsidRPr="00BD44A1">
              <w:rPr>
                <w:rFonts w:ascii="Calibri" w:hAnsi="Calibri" w:cs="Calibri"/>
                <w:sz w:val="20"/>
                <w:szCs w:val="20"/>
              </w:rPr>
              <w:t>-3.0</w:t>
            </w:r>
          </w:p>
        </w:tc>
      </w:tr>
      <w:tr w:rsidR="00AE6BBB" w:rsidRPr="00BD44A1" w14:paraId="004C52C8" w14:textId="77777777" w:rsidTr="00F33F5A">
        <w:tc>
          <w:tcPr>
            <w:tcW w:w="5382" w:type="dxa"/>
            <w:tcBorders>
              <w:bottom w:val="single" w:sz="4" w:space="0" w:color="auto"/>
            </w:tcBorders>
            <w:vAlign w:val="bottom"/>
          </w:tcPr>
          <w:p w14:paraId="5F8F466B" w14:textId="77777777" w:rsidR="00AE6BBB" w:rsidRPr="00BD44A1" w:rsidRDefault="00AE6BBB" w:rsidP="00AE6BBB">
            <w:pPr>
              <w:bidi w:val="0"/>
              <w:rPr>
                <w:rFonts w:ascii="Calibri" w:hAnsi="Calibri" w:cs="Calibri"/>
                <w:sz w:val="20"/>
                <w:szCs w:val="20"/>
              </w:rPr>
            </w:pPr>
            <w:r w:rsidRPr="00BD44A1">
              <w:rPr>
                <w:rFonts w:ascii="Calibri" w:hAnsi="Calibri" w:cs="Calibri"/>
                <w:sz w:val="20"/>
                <w:szCs w:val="20"/>
              </w:rPr>
              <w:t>Public consumption (excl. defense imports)</w:t>
            </w:r>
          </w:p>
        </w:tc>
        <w:tc>
          <w:tcPr>
            <w:tcW w:w="992" w:type="dxa"/>
            <w:tcBorders>
              <w:left w:val="single" w:sz="4" w:space="0" w:color="auto"/>
              <w:bottom w:val="single" w:sz="4" w:space="0" w:color="auto"/>
              <w:right w:val="nil"/>
            </w:tcBorders>
            <w:shd w:val="clear" w:color="auto" w:fill="auto"/>
          </w:tcPr>
          <w:p w14:paraId="168D4F5D" w14:textId="2A04A6D8" w:rsidR="00AE6BBB" w:rsidRPr="00BD44A1" w:rsidRDefault="00AE6BBB" w:rsidP="00AE6BBB">
            <w:pPr>
              <w:bidi w:val="0"/>
              <w:jc w:val="center"/>
              <w:rPr>
                <w:rFonts w:ascii="Calibri" w:hAnsi="Calibri" w:cs="Calibri"/>
                <w:sz w:val="20"/>
                <w:szCs w:val="20"/>
              </w:rPr>
            </w:pPr>
            <w:r w:rsidRPr="00BD44A1">
              <w:rPr>
                <w:rFonts w:ascii="Calibri" w:hAnsi="Calibri" w:cs="Calibri"/>
                <w:sz w:val="20"/>
                <w:szCs w:val="20"/>
              </w:rPr>
              <w:t>11.4</w:t>
            </w:r>
          </w:p>
        </w:tc>
        <w:tc>
          <w:tcPr>
            <w:tcW w:w="1134" w:type="dxa"/>
            <w:tcBorders>
              <w:left w:val="single" w:sz="4" w:space="0" w:color="auto"/>
              <w:bottom w:val="single" w:sz="4" w:space="0" w:color="auto"/>
              <w:right w:val="single" w:sz="4" w:space="0" w:color="auto"/>
            </w:tcBorders>
            <w:shd w:val="clear" w:color="auto" w:fill="auto"/>
            <w:vAlign w:val="bottom"/>
          </w:tcPr>
          <w:p w14:paraId="462A6A1E" w14:textId="304B6583" w:rsidR="00AE6BBB" w:rsidRPr="00BD44A1" w:rsidRDefault="00AE6BBB" w:rsidP="00AE6BBB">
            <w:pPr>
              <w:bidi w:val="0"/>
              <w:jc w:val="center"/>
              <w:rPr>
                <w:rFonts w:ascii="Calibri" w:hAnsi="Calibri" w:cs="Calibri"/>
                <w:sz w:val="20"/>
                <w:szCs w:val="20"/>
              </w:rPr>
            </w:pPr>
            <w:r w:rsidRPr="00BD44A1">
              <w:rPr>
                <w:rFonts w:ascii="Calibri" w:hAnsi="Calibri" w:cs="Calibri"/>
                <w:sz w:val="20"/>
                <w:szCs w:val="20"/>
              </w:rPr>
              <w:t>-0.5</w:t>
            </w:r>
          </w:p>
        </w:tc>
        <w:tc>
          <w:tcPr>
            <w:tcW w:w="1276" w:type="dxa"/>
            <w:tcBorders>
              <w:left w:val="single" w:sz="4" w:space="0" w:color="auto"/>
              <w:bottom w:val="single" w:sz="4" w:space="0" w:color="auto"/>
              <w:right w:val="single" w:sz="4" w:space="0" w:color="auto"/>
            </w:tcBorders>
            <w:shd w:val="clear" w:color="auto" w:fill="C6D9F1" w:themeFill="text2" w:themeFillTint="33"/>
            <w:vAlign w:val="bottom"/>
          </w:tcPr>
          <w:p w14:paraId="6435D7BD" w14:textId="79D6A1CC" w:rsidR="00AE6BBB" w:rsidRPr="00BD44A1" w:rsidRDefault="00AE6BBB" w:rsidP="00AE6BBB">
            <w:pPr>
              <w:bidi w:val="0"/>
              <w:jc w:val="center"/>
              <w:rPr>
                <w:rFonts w:ascii="Calibri" w:hAnsi="Calibri" w:cs="Calibri"/>
                <w:sz w:val="20"/>
                <w:szCs w:val="20"/>
              </w:rPr>
            </w:pPr>
            <w:r w:rsidRPr="00BD44A1">
              <w:rPr>
                <w:rFonts w:ascii="Calibri" w:hAnsi="Calibri" w:cs="Calibri"/>
                <w:sz w:val="20"/>
                <w:szCs w:val="20"/>
              </w:rPr>
              <w:t>1.0</w:t>
            </w:r>
          </w:p>
        </w:tc>
        <w:tc>
          <w:tcPr>
            <w:tcW w:w="992" w:type="dxa"/>
            <w:tcBorders>
              <w:left w:val="nil"/>
              <w:bottom w:val="single" w:sz="4" w:space="0" w:color="auto"/>
              <w:right w:val="single" w:sz="4" w:space="0" w:color="auto"/>
            </w:tcBorders>
            <w:shd w:val="clear" w:color="auto" w:fill="auto"/>
            <w:vAlign w:val="bottom"/>
          </w:tcPr>
          <w:p w14:paraId="00A25B82" w14:textId="359FA0F4" w:rsidR="00AE6BBB" w:rsidRPr="00BD44A1" w:rsidRDefault="00AE6BBB" w:rsidP="00AE6BBB">
            <w:pPr>
              <w:bidi w:val="0"/>
              <w:jc w:val="center"/>
              <w:rPr>
                <w:rFonts w:ascii="Calibri" w:hAnsi="Calibri" w:cs="Calibri"/>
                <w:sz w:val="20"/>
                <w:szCs w:val="20"/>
              </w:rPr>
            </w:pPr>
            <w:r w:rsidRPr="00BD44A1">
              <w:rPr>
                <w:rFonts w:ascii="Calibri" w:hAnsi="Calibri" w:cs="Calibri"/>
                <w:sz w:val="20"/>
                <w:szCs w:val="20"/>
              </w:rPr>
              <w:t>-2.5</w:t>
            </w:r>
          </w:p>
        </w:tc>
        <w:tc>
          <w:tcPr>
            <w:tcW w:w="1276" w:type="dxa"/>
            <w:shd w:val="clear" w:color="auto" w:fill="B8CCE4" w:themeFill="accent1" w:themeFillTint="66"/>
            <w:vAlign w:val="bottom"/>
          </w:tcPr>
          <w:p w14:paraId="7FF8A12E" w14:textId="0F453E92" w:rsidR="00AE6BBB" w:rsidRPr="00BD44A1" w:rsidRDefault="00AE6BBB" w:rsidP="00AE6BBB">
            <w:pPr>
              <w:bidi w:val="0"/>
              <w:jc w:val="center"/>
              <w:rPr>
                <w:rFonts w:ascii="Calibri" w:hAnsi="Calibri" w:cs="Calibri"/>
                <w:sz w:val="20"/>
                <w:szCs w:val="20"/>
              </w:rPr>
            </w:pPr>
            <w:r w:rsidRPr="00BD44A1">
              <w:rPr>
                <w:rFonts w:ascii="Calibri" w:hAnsi="Calibri" w:cs="Calibri"/>
                <w:sz w:val="20"/>
                <w:szCs w:val="20"/>
              </w:rPr>
              <w:t>-4.5</w:t>
            </w:r>
          </w:p>
        </w:tc>
      </w:tr>
      <w:tr w:rsidR="00AE6BBB" w:rsidRPr="00BD44A1" w14:paraId="07491309" w14:textId="77777777" w:rsidTr="00F33F5A">
        <w:tc>
          <w:tcPr>
            <w:tcW w:w="5382" w:type="dxa"/>
            <w:tcBorders>
              <w:bottom w:val="single" w:sz="4" w:space="0" w:color="auto"/>
            </w:tcBorders>
            <w:vAlign w:val="bottom"/>
          </w:tcPr>
          <w:p w14:paraId="0B1079E2" w14:textId="77777777" w:rsidR="00AE6BBB" w:rsidRPr="00BD44A1" w:rsidRDefault="00AE6BBB" w:rsidP="00AE6BBB">
            <w:pPr>
              <w:bidi w:val="0"/>
              <w:rPr>
                <w:rFonts w:ascii="Calibri" w:hAnsi="Calibri" w:cs="Calibri"/>
                <w:sz w:val="20"/>
                <w:szCs w:val="20"/>
              </w:rPr>
            </w:pPr>
            <w:r w:rsidRPr="00BD44A1">
              <w:rPr>
                <w:rFonts w:ascii="Calibri" w:hAnsi="Calibri" w:cs="Calibri"/>
                <w:sz w:val="20"/>
                <w:szCs w:val="20"/>
              </w:rPr>
              <w:t>Exports (excl. diamonds and startups)</w:t>
            </w:r>
          </w:p>
        </w:tc>
        <w:tc>
          <w:tcPr>
            <w:tcW w:w="992" w:type="dxa"/>
            <w:tcBorders>
              <w:left w:val="single" w:sz="4" w:space="0" w:color="auto"/>
              <w:bottom w:val="single" w:sz="4" w:space="0" w:color="auto"/>
              <w:right w:val="nil"/>
            </w:tcBorders>
            <w:shd w:val="clear" w:color="auto" w:fill="auto"/>
          </w:tcPr>
          <w:p w14:paraId="12208190" w14:textId="304C357C" w:rsidR="00AE6BBB" w:rsidRPr="00BD44A1" w:rsidRDefault="00AE6BBB" w:rsidP="00AE6BBB">
            <w:pPr>
              <w:bidi w:val="0"/>
              <w:jc w:val="center"/>
              <w:rPr>
                <w:rFonts w:ascii="Calibri" w:hAnsi="Calibri" w:cs="Calibri"/>
                <w:color w:val="FF0000"/>
                <w:sz w:val="20"/>
                <w:szCs w:val="20"/>
              </w:rPr>
            </w:pPr>
            <w:r w:rsidRPr="00BD44A1">
              <w:rPr>
                <w:rFonts w:ascii="Calibri" w:hAnsi="Calibri" w:cs="Calibri"/>
                <w:sz w:val="20"/>
                <w:szCs w:val="20"/>
              </w:rPr>
              <w:t>-4.6</w:t>
            </w:r>
          </w:p>
        </w:tc>
        <w:tc>
          <w:tcPr>
            <w:tcW w:w="1134" w:type="dxa"/>
            <w:tcBorders>
              <w:left w:val="single" w:sz="4" w:space="0" w:color="auto"/>
              <w:bottom w:val="single" w:sz="4" w:space="0" w:color="auto"/>
              <w:right w:val="single" w:sz="4" w:space="0" w:color="auto"/>
            </w:tcBorders>
            <w:shd w:val="clear" w:color="auto" w:fill="auto"/>
            <w:vAlign w:val="bottom"/>
          </w:tcPr>
          <w:p w14:paraId="0417247C" w14:textId="3714D376" w:rsidR="00AE6BBB" w:rsidRPr="00BD44A1" w:rsidRDefault="00AE6BBB" w:rsidP="00AE6BBB">
            <w:pPr>
              <w:bidi w:val="0"/>
              <w:jc w:val="center"/>
              <w:rPr>
                <w:rFonts w:ascii="Calibri" w:hAnsi="Calibri" w:cs="Calibri"/>
                <w:sz w:val="20"/>
                <w:szCs w:val="20"/>
              </w:rPr>
            </w:pPr>
            <w:r w:rsidRPr="00BD44A1">
              <w:rPr>
                <w:rFonts w:ascii="Calibri" w:hAnsi="Calibri" w:cs="Calibri"/>
                <w:sz w:val="20"/>
                <w:szCs w:val="20"/>
              </w:rPr>
              <w:t>2.5</w:t>
            </w:r>
          </w:p>
        </w:tc>
        <w:tc>
          <w:tcPr>
            <w:tcW w:w="1276" w:type="dxa"/>
            <w:tcBorders>
              <w:left w:val="single" w:sz="4" w:space="0" w:color="auto"/>
              <w:bottom w:val="single" w:sz="4" w:space="0" w:color="auto"/>
              <w:right w:val="single" w:sz="4" w:space="0" w:color="auto"/>
            </w:tcBorders>
            <w:shd w:val="clear" w:color="auto" w:fill="C6D9F1" w:themeFill="text2" w:themeFillTint="33"/>
            <w:vAlign w:val="bottom"/>
          </w:tcPr>
          <w:p w14:paraId="06DF4F9A" w14:textId="2CAFDC31" w:rsidR="00AE6BBB" w:rsidRPr="00BD44A1" w:rsidRDefault="00AE6BBB" w:rsidP="00AE6BBB">
            <w:pPr>
              <w:bidi w:val="0"/>
              <w:jc w:val="center"/>
              <w:rPr>
                <w:rFonts w:ascii="Calibri" w:hAnsi="Calibri" w:cs="Calibri"/>
                <w:sz w:val="20"/>
                <w:szCs w:val="20"/>
              </w:rPr>
            </w:pPr>
            <w:r w:rsidRPr="00BD44A1">
              <w:rPr>
                <w:rFonts w:ascii="Calibri" w:hAnsi="Calibri" w:cs="Calibri"/>
                <w:sz w:val="20"/>
                <w:szCs w:val="20"/>
              </w:rPr>
              <w:t>-2.0</w:t>
            </w:r>
          </w:p>
        </w:tc>
        <w:tc>
          <w:tcPr>
            <w:tcW w:w="992" w:type="dxa"/>
            <w:tcBorders>
              <w:left w:val="nil"/>
              <w:bottom w:val="single" w:sz="4" w:space="0" w:color="auto"/>
              <w:right w:val="single" w:sz="4" w:space="0" w:color="auto"/>
            </w:tcBorders>
            <w:shd w:val="clear" w:color="auto" w:fill="auto"/>
            <w:vAlign w:val="bottom"/>
          </w:tcPr>
          <w:p w14:paraId="3FFD78A9" w14:textId="218BED2A" w:rsidR="00AE6BBB" w:rsidRPr="00BD44A1" w:rsidRDefault="00AE6BBB" w:rsidP="00AE6BBB">
            <w:pPr>
              <w:bidi w:val="0"/>
              <w:jc w:val="center"/>
              <w:rPr>
                <w:rFonts w:ascii="Calibri" w:hAnsi="Calibri" w:cs="Calibri"/>
                <w:sz w:val="20"/>
                <w:szCs w:val="20"/>
              </w:rPr>
            </w:pPr>
            <w:r w:rsidRPr="00BD44A1">
              <w:rPr>
                <w:rFonts w:ascii="Calibri" w:hAnsi="Calibri" w:cs="Calibri"/>
                <w:sz w:val="20"/>
                <w:szCs w:val="20"/>
                <w:rtl/>
              </w:rPr>
              <w:t>2.5</w:t>
            </w:r>
          </w:p>
        </w:tc>
        <w:tc>
          <w:tcPr>
            <w:tcW w:w="1276" w:type="dxa"/>
            <w:shd w:val="clear" w:color="auto" w:fill="B8CCE4" w:themeFill="accent1" w:themeFillTint="66"/>
            <w:vAlign w:val="bottom"/>
          </w:tcPr>
          <w:p w14:paraId="0A58AF48" w14:textId="774D65CD" w:rsidR="00AE6BBB" w:rsidRPr="00BD44A1" w:rsidRDefault="00AE6BBB" w:rsidP="00AE6BBB">
            <w:pPr>
              <w:bidi w:val="0"/>
              <w:jc w:val="center"/>
              <w:rPr>
                <w:rFonts w:ascii="Calibri" w:hAnsi="Calibri" w:cs="Calibri"/>
                <w:sz w:val="20"/>
                <w:szCs w:val="20"/>
              </w:rPr>
            </w:pPr>
            <w:r w:rsidRPr="00BD44A1">
              <w:rPr>
                <w:rFonts w:ascii="Calibri" w:hAnsi="Calibri" w:cs="Calibri"/>
                <w:sz w:val="20"/>
                <w:szCs w:val="20"/>
                <w:rtl/>
              </w:rPr>
              <w:t>3.0-</w:t>
            </w:r>
          </w:p>
        </w:tc>
      </w:tr>
      <w:tr w:rsidR="00AE6BBB" w:rsidRPr="00BD44A1" w14:paraId="1AF5A3D7" w14:textId="77777777" w:rsidTr="00F33F5A">
        <w:tc>
          <w:tcPr>
            <w:tcW w:w="5382" w:type="dxa"/>
            <w:tcBorders>
              <w:bottom w:val="nil"/>
            </w:tcBorders>
            <w:vAlign w:val="bottom"/>
          </w:tcPr>
          <w:p w14:paraId="196BE463" w14:textId="77777777" w:rsidR="00AE6BBB" w:rsidRPr="00BD44A1" w:rsidRDefault="00AE6BBB" w:rsidP="00AE6BBB">
            <w:pPr>
              <w:bidi w:val="0"/>
              <w:rPr>
                <w:rFonts w:ascii="Calibri" w:hAnsi="Calibri" w:cs="Calibri"/>
                <w:sz w:val="20"/>
                <w:szCs w:val="20"/>
              </w:rPr>
            </w:pPr>
            <w:r w:rsidRPr="00BD44A1">
              <w:rPr>
                <w:rFonts w:ascii="Calibri" w:hAnsi="Calibri" w:cs="Calibri"/>
                <w:sz w:val="20"/>
                <w:szCs w:val="20"/>
              </w:rPr>
              <w:t>Civilian imports (excl. diamonds, ships, and aircraft)</w:t>
            </w:r>
          </w:p>
        </w:tc>
        <w:tc>
          <w:tcPr>
            <w:tcW w:w="992" w:type="dxa"/>
            <w:tcBorders>
              <w:left w:val="single" w:sz="4" w:space="0" w:color="auto"/>
              <w:bottom w:val="nil"/>
              <w:right w:val="nil"/>
            </w:tcBorders>
            <w:shd w:val="clear" w:color="auto" w:fill="auto"/>
          </w:tcPr>
          <w:p w14:paraId="5B257292" w14:textId="4E97338A" w:rsidR="00AE6BBB" w:rsidRPr="00BD44A1" w:rsidRDefault="00AE6BBB" w:rsidP="00AE6BBB">
            <w:pPr>
              <w:bidi w:val="0"/>
              <w:jc w:val="center"/>
              <w:rPr>
                <w:rFonts w:ascii="Calibri" w:hAnsi="Calibri" w:cs="Calibri"/>
                <w:sz w:val="20"/>
                <w:szCs w:val="20"/>
              </w:rPr>
            </w:pPr>
            <w:r w:rsidRPr="00BD44A1">
              <w:rPr>
                <w:rFonts w:ascii="Calibri" w:hAnsi="Calibri" w:cs="Calibri"/>
                <w:sz w:val="20"/>
                <w:szCs w:val="20"/>
              </w:rPr>
              <w:t>-1.9</w:t>
            </w:r>
          </w:p>
        </w:tc>
        <w:tc>
          <w:tcPr>
            <w:tcW w:w="1134" w:type="dxa"/>
            <w:tcBorders>
              <w:left w:val="single" w:sz="4" w:space="0" w:color="auto"/>
              <w:bottom w:val="nil"/>
              <w:right w:val="single" w:sz="4" w:space="0" w:color="auto"/>
            </w:tcBorders>
            <w:shd w:val="clear" w:color="auto" w:fill="auto"/>
            <w:vAlign w:val="bottom"/>
          </w:tcPr>
          <w:p w14:paraId="46A92541" w14:textId="0A703A58" w:rsidR="00AE6BBB" w:rsidRPr="00BD44A1" w:rsidRDefault="00AE6BBB" w:rsidP="00AE6BBB">
            <w:pPr>
              <w:bidi w:val="0"/>
              <w:jc w:val="center"/>
              <w:rPr>
                <w:rFonts w:ascii="Calibri" w:hAnsi="Calibri" w:cs="Calibri"/>
                <w:sz w:val="20"/>
                <w:szCs w:val="20"/>
              </w:rPr>
            </w:pPr>
            <w:r w:rsidRPr="00BD44A1">
              <w:rPr>
                <w:rFonts w:ascii="Calibri" w:hAnsi="Calibri" w:cs="Calibri"/>
                <w:sz w:val="20"/>
                <w:szCs w:val="20"/>
              </w:rPr>
              <w:t>12.5</w:t>
            </w:r>
          </w:p>
        </w:tc>
        <w:tc>
          <w:tcPr>
            <w:tcW w:w="1276" w:type="dxa"/>
            <w:tcBorders>
              <w:left w:val="single" w:sz="4" w:space="0" w:color="auto"/>
              <w:bottom w:val="single" w:sz="4" w:space="0" w:color="auto"/>
              <w:right w:val="single" w:sz="4" w:space="0" w:color="auto"/>
            </w:tcBorders>
            <w:shd w:val="clear" w:color="auto" w:fill="C6D9F1" w:themeFill="text2" w:themeFillTint="33"/>
            <w:vAlign w:val="bottom"/>
          </w:tcPr>
          <w:p w14:paraId="6206FCC3" w14:textId="00BC88B1" w:rsidR="00AE6BBB" w:rsidRPr="00BD44A1" w:rsidRDefault="00AE6BBB" w:rsidP="00AE6BBB">
            <w:pPr>
              <w:bidi w:val="0"/>
              <w:jc w:val="center"/>
              <w:rPr>
                <w:rFonts w:ascii="Calibri" w:hAnsi="Calibri" w:cs="Calibri"/>
                <w:sz w:val="20"/>
                <w:szCs w:val="20"/>
              </w:rPr>
            </w:pPr>
            <w:r w:rsidRPr="00BD44A1">
              <w:rPr>
                <w:rFonts w:ascii="Calibri" w:hAnsi="Calibri" w:cs="Calibri"/>
                <w:sz w:val="20"/>
                <w:szCs w:val="20"/>
              </w:rPr>
              <w:t>0.5</w:t>
            </w:r>
          </w:p>
        </w:tc>
        <w:tc>
          <w:tcPr>
            <w:tcW w:w="992" w:type="dxa"/>
            <w:tcBorders>
              <w:left w:val="nil"/>
              <w:bottom w:val="single" w:sz="4" w:space="0" w:color="auto"/>
              <w:right w:val="single" w:sz="4" w:space="0" w:color="auto"/>
            </w:tcBorders>
            <w:shd w:val="clear" w:color="auto" w:fill="auto"/>
            <w:vAlign w:val="bottom"/>
          </w:tcPr>
          <w:p w14:paraId="411BAFFD" w14:textId="3DBB54E3" w:rsidR="00AE6BBB" w:rsidRPr="00BD44A1" w:rsidRDefault="00AE6BBB" w:rsidP="00AE6BBB">
            <w:pPr>
              <w:bidi w:val="0"/>
              <w:jc w:val="center"/>
              <w:rPr>
                <w:rFonts w:ascii="Calibri" w:hAnsi="Calibri" w:cs="Calibri"/>
                <w:sz w:val="20"/>
                <w:szCs w:val="20"/>
              </w:rPr>
            </w:pPr>
            <w:r w:rsidRPr="00BD44A1">
              <w:rPr>
                <w:rFonts w:ascii="Calibri" w:hAnsi="Calibri" w:cs="Calibri"/>
                <w:sz w:val="20"/>
                <w:szCs w:val="20"/>
              </w:rPr>
              <w:t>7.5</w:t>
            </w:r>
          </w:p>
        </w:tc>
        <w:tc>
          <w:tcPr>
            <w:tcW w:w="1276" w:type="dxa"/>
            <w:shd w:val="clear" w:color="auto" w:fill="B8CCE4" w:themeFill="accent1" w:themeFillTint="66"/>
            <w:vAlign w:val="bottom"/>
          </w:tcPr>
          <w:p w14:paraId="2406263C" w14:textId="2293D940" w:rsidR="00AE6BBB" w:rsidRPr="00BD44A1" w:rsidRDefault="00AE6BBB" w:rsidP="00AE6BBB">
            <w:pPr>
              <w:bidi w:val="0"/>
              <w:jc w:val="center"/>
              <w:rPr>
                <w:rFonts w:ascii="Calibri" w:hAnsi="Calibri" w:cs="Calibri"/>
                <w:sz w:val="20"/>
                <w:szCs w:val="20"/>
              </w:rPr>
            </w:pPr>
            <w:r w:rsidRPr="00BD44A1">
              <w:rPr>
                <w:rFonts w:ascii="Calibri" w:hAnsi="Calibri" w:cs="Calibri"/>
                <w:sz w:val="20"/>
                <w:szCs w:val="20"/>
              </w:rPr>
              <w:t>-5.5</w:t>
            </w:r>
          </w:p>
        </w:tc>
      </w:tr>
      <w:tr w:rsidR="00AE6BBB" w:rsidRPr="00BD44A1" w14:paraId="303EECCA" w14:textId="77777777" w:rsidTr="006500FF">
        <w:tc>
          <w:tcPr>
            <w:tcW w:w="5382" w:type="dxa"/>
            <w:tcBorders>
              <w:top w:val="single" w:sz="4" w:space="0" w:color="auto"/>
              <w:bottom w:val="single" w:sz="4" w:space="0" w:color="auto"/>
            </w:tcBorders>
            <w:vAlign w:val="bottom"/>
          </w:tcPr>
          <w:p w14:paraId="5C9B32FD" w14:textId="77777777" w:rsidR="00AE6BBB" w:rsidRPr="00BD44A1" w:rsidRDefault="00AE6BBB" w:rsidP="00AE6BBB">
            <w:pPr>
              <w:bidi w:val="0"/>
              <w:rPr>
                <w:rFonts w:ascii="Calibri" w:hAnsi="Calibri" w:cs="Calibri"/>
                <w:sz w:val="20"/>
                <w:szCs w:val="20"/>
                <w:vertAlign w:val="superscript"/>
              </w:rPr>
            </w:pPr>
            <w:r w:rsidRPr="00BD44A1">
              <w:rPr>
                <w:rFonts w:ascii="Calibri" w:hAnsi="Calibri" w:cs="Calibri"/>
                <w:sz w:val="20"/>
                <w:szCs w:val="20"/>
              </w:rPr>
              <w:t>Broad unemployment rate (average for the year, ages 25–64)</w:t>
            </w:r>
            <w:r w:rsidRPr="00BD44A1">
              <w:rPr>
                <w:rFonts w:ascii="Calibri" w:hAnsi="Calibri" w:cs="Calibri"/>
                <w:sz w:val="20"/>
                <w:szCs w:val="20"/>
                <w:vertAlign w:val="superscript"/>
              </w:rPr>
              <w:t>b</w:t>
            </w:r>
          </w:p>
        </w:tc>
        <w:tc>
          <w:tcPr>
            <w:tcW w:w="992" w:type="dxa"/>
            <w:tcBorders>
              <w:top w:val="single" w:sz="4" w:space="0" w:color="auto"/>
              <w:left w:val="single" w:sz="4" w:space="0" w:color="auto"/>
              <w:bottom w:val="single" w:sz="4" w:space="0" w:color="auto"/>
              <w:right w:val="nil"/>
            </w:tcBorders>
            <w:shd w:val="clear" w:color="auto" w:fill="auto"/>
          </w:tcPr>
          <w:p w14:paraId="4900037A" w14:textId="2907F0D4" w:rsidR="00AE6BBB" w:rsidRPr="00BD44A1" w:rsidRDefault="00AE6BBB" w:rsidP="00AE6BBB">
            <w:pPr>
              <w:bidi w:val="0"/>
              <w:jc w:val="center"/>
              <w:rPr>
                <w:rFonts w:ascii="Calibri" w:hAnsi="Calibri" w:cs="Calibri"/>
                <w:sz w:val="20"/>
                <w:szCs w:val="20"/>
              </w:rPr>
            </w:pPr>
            <w:r w:rsidRPr="00BD44A1">
              <w:rPr>
                <w:rFonts w:ascii="Calibri" w:hAnsi="Calibri" w:cs="Calibri"/>
                <w:sz w:val="20"/>
                <w:szCs w:val="20"/>
              </w:rPr>
              <w:t>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24AEB" w14:textId="1BE801F4" w:rsidR="00AE6BBB" w:rsidRPr="00BD44A1" w:rsidRDefault="00AE6BBB" w:rsidP="00AE6BBB">
            <w:pPr>
              <w:bidi w:val="0"/>
              <w:jc w:val="center"/>
              <w:rPr>
                <w:rFonts w:ascii="Calibri" w:hAnsi="Calibri" w:cs="Calibri"/>
                <w:sz w:val="20"/>
                <w:szCs w:val="20"/>
              </w:rPr>
            </w:pPr>
            <w:r w:rsidRPr="00BD44A1">
              <w:rPr>
                <w:rFonts w:ascii="Calibri" w:hAnsi="Calibri" w:cs="Calibri"/>
                <w:sz w:val="20"/>
                <w:szCs w:val="20"/>
              </w:rPr>
              <w:t>2.9</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750ECEB" w14:textId="09714866" w:rsidR="00AE6BBB" w:rsidRPr="00BD44A1" w:rsidRDefault="00AE6BBB" w:rsidP="00AE6BBB">
            <w:pPr>
              <w:bidi w:val="0"/>
              <w:jc w:val="center"/>
              <w:rPr>
                <w:rFonts w:ascii="Calibri" w:hAnsi="Calibri" w:cs="Calibri"/>
                <w:sz w:val="20"/>
                <w:szCs w:val="20"/>
              </w:rPr>
            </w:pPr>
            <w:r w:rsidRPr="00BD44A1">
              <w:rPr>
                <w:rFonts w:ascii="Calibri" w:hAnsi="Calibri" w:cs="Calibri"/>
                <w:sz w:val="20"/>
                <w:szCs w:val="20"/>
              </w:rPr>
              <w:t>-0.2</w:t>
            </w:r>
          </w:p>
        </w:tc>
        <w:tc>
          <w:tcPr>
            <w:tcW w:w="992" w:type="dxa"/>
            <w:tcBorders>
              <w:top w:val="single" w:sz="4" w:space="0" w:color="auto"/>
              <w:left w:val="nil"/>
              <w:bottom w:val="single" w:sz="4" w:space="0" w:color="auto"/>
              <w:right w:val="single" w:sz="4" w:space="0" w:color="auto"/>
            </w:tcBorders>
            <w:shd w:val="clear" w:color="auto" w:fill="auto"/>
            <w:vAlign w:val="center"/>
          </w:tcPr>
          <w:p w14:paraId="669DBB26" w14:textId="6145FAD8" w:rsidR="00AE6BBB" w:rsidRPr="00BD44A1" w:rsidRDefault="00AE6BBB" w:rsidP="00AE6BBB">
            <w:pPr>
              <w:bidi w:val="0"/>
              <w:jc w:val="center"/>
              <w:rPr>
                <w:rFonts w:ascii="Calibri" w:hAnsi="Calibri" w:cs="Calibri"/>
                <w:sz w:val="20"/>
                <w:szCs w:val="20"/>
              </w:rPr>
            </w:pPr>
            <w:r w:rsidRPr="00BD44A1">
              <w:rPr>
                <w:rFonts w:ascii="Calibri" w:hAnsi="Calibri" w:cs="Calibri"/>
                <w:sz w:val="20"/>
                <w:szCs w:val="20"/>
              </w:rPr>
              <w:t>3.2</w:t>
            </w:r>
          </w:p>
        </w:tc>
        <w:tc>
          <w:tcPr>
            <w:tcW w:w="1276" w:type="dxa"/>
            <w:shd w:val="clear" w:color="auto" w:fill="B8CCE4" w:themeFill="accent1" w:themeFillTint="66"/>
            <w:vAlign w:val="center"/>
          </w:tcPr>
          <w:p w14:paraId="413BDA9F" w14:textId="78DACDF5" w:rsidR="00AE6BBB" w:rsidRPr="00BD44A1" w:rsidRDefault="00AE6BBB" w:rsidP="00AE6BBB">
            <w:pPr>
              <w:bidi w:val="0"/>
              <w:jc w:val="center"/>
              <w:rPr>
                <w:rFonts w:ascii="Calibri" w:hAnsi="Calibri" w:cs="Calibri"/>
                <w:sz w:val="20"/>
                <w:szCs w:val="20"/>
              </w:rPr>
            </w:pPr>
            <w:r w:rsidRPr="00BD44A1">
              <w:rPr>
                <w:rFonts w:ascii="Calibri" w:hAnsi="Calibri" w:cs="Calibri"/>
                <w:sz w:val="20"/>
                <w:szCs w:val="20"/>
              </w:rPr>
              <w:t>0.1</w:t>
            </w:r>
          </w:p>
        </w:tc>
      </w:tr>
      <w:tr w:rsidR="00AE6BBB" w:rsidRPr="00BD44A1" w14:paraId="3D13536B" w14:textId="77777777" w:rsidTr="006500FF">
        <w:tc>
          <w:tcPr>
            <w:tcW w:w="5382" w:type="dxa"/>
            <w:tcBorders>
              <w:top w:val="single" w:sz="4" w:space="0" w:color="auto"/>
              <w:bottom w:val="single" w:sz="4" w:space="0" w:color="auto"/>
            </w:tcBorders>
            <w:vAlign w:val="bottom"/>
          </w:tcPr>
          <w:p w14:paraId="790ED1DA" w14:textId="77777777" w:rsidR="00AE6BBB" w:rsidRPr="00BD44A1" w:rsidRDefault="00AE6BBB" w:rsidP="00AE6BBB">
            <w:pPr>
              <w:bidi w:val="0"/>
              <w:rPr>
                <w:rFonts w:ascii="Calibri" w:hAnsi="Calibri" w:cs="Calibri"/>
                <w:sz w:val="20"/>
                <w:szCs w:val="20"/>
              </w:rPr>
            </w:pPr>
            <w:r w:rsidRPr="00BD44A1">
              <w:rPr>
                <w:rFonts w:ascii="Calibri" w:hAnsi="Calibri" w:cs="Calibri"/>
                <w:sz w:val="20"/>
                <w:szCs w:val="20"/>
              </w:rPr>
              <w:t>Adjusted employment rate (average for the year, ages 25–64)</w:t>
            </w:r>
            <w:r w:rsidRPr="00BD44A1">
              <w:rPr>
                <w:rFonts w:ascii="Calibri" w:hAnsi="Calibri" w:cs="Calibri"/>
                <w:sz w:val="20"/>
                <w:szCs w:val="20"/>
                <w:vertAlign w:val="superscript"/>
              </w:rPr>
              <w:t>b</w:t>
            </w:r>
          </w:p>
        </w:tc>
        <w:tc>
          <w:tcPr>
            <w:tcW w:w="992" w:type="dxa"/>
            <w:tcBorders>
              <w:top w:val="single" w:sz="4" w:space="0" w:color="auto"/>
              <w:left w:val="single" w:sz="4" w:space="0" w:color="auto"/>
              <w:bottom w:val="single" w:sz="4" w:space="0" w:color="auto"/>
              <w:right w:val="nil"/>
            </w:tcBorders>
            <w:shd w:val="clear" w:color="auto" w:fill="auto"/>
          </w:tcPr>
          <w:p w14:paraId="48959B8B" w14:textId="77777777" w:rsidR="00AE6BBB" w:rsidRPr="00BD44A1" w:rsidRDefault="00AE6BBB" w:rsidP="00AE6BBB">
            <w:pPr>
              <w:bidi w:val="0"/>
              <w:jc w:val="center"/>
              <w:rPr>
                <w:rFonts w:ascii="Calibri" w:hAnsi="Calibri" w:cs="Calibri"/>
                <w:sz w:val="20"/>
                <w:szCs w:val="20"/>
              </w:rPr>
            </w:pPr>
            <w:r w:rsidRPr="00BD44A1">
              <w:rPr>
                <w:rFonts w:ascii="Calibri" w:hAnsi="Calibri" w:cs="Calibri"/>
                <w:sz w:val="20"/>
                <w:szCs w:val="20"/>
              </w:rPr>
              <w:t>77.8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E7D0D5F" w14:textId="3FAC6E46" w:rsidR="00AE6BBB" w:rsidRPr="00BD44A1" w:rsidRDefault="00AE6BBB" w:rsidP="00AE6BBB">
            <w:pPr>
              <w:bidi w:val="0"/>
              <w:jc w:val="center"/>
              <w:rPr>
                <w:rFonts w:ascii="Calibri" w:hAnsi="Calibri" w:cs="Calibri"/>
                <w:sz w:val="20"/>
                <w:szCs w:val="20"/>
              </w:rPr>
            </w:pPr>
            <w:r w:rsidRPr="00BD44A1">
              <w:rPr>
                <w:rFonts w:ascii="Calibri" w:hAnsi="Calibri" w:cs="Calibri"/>
                <w:sz w:val="20"/>
                <w:szCs w:val="20"/>
              </w:rPr>
              <w:t>78.6</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76C23E" w14:textId="5F182F39" w:rsidR="00AE6BBB" w:rsidRPr="00BD44A1" w:rsidRDefault="00AE6BBB" w:rsidP="00AE6BBB">
            <w:pPr>
              <w:bidi w:val="0"/>
              <w:jc w:val="center"/>
              <w:rPr>
                <w:rFonts w:ascii="Calibri" w:hAnsi="Calibri" w:cs="Calibri"/>
                <w:sz w:val="20"/>
                <w:szCs w:val="20"/>
              </w:rPr>
            </w:pPr>
            <w:r w:rsidRPr="00BD44A1">
              <w:rPr>
                <w:rFonts w:ascii="Calibri" w:hAnsi="Calibri" w:cs="Calibri"/>
                <w:sz w:val="20"/>
                <w:szCs w:val="20"/>
              </w:rPr>
              <w:t>0.2</w:t>
            </w:r>
          </w:p>
        </w:tc>
        <w:tc>
          <w:tcPr>
            <w:tcW w:w="992" w:type="dxa"/>
            <w:tcBorders>
              <w:top w:val="single" w:sz="4" w:space="0" w:color="auto"/>
              <w:left w:val="nil"/>
              <w:bottom w:val="single" w:sz="4" w:space="0" w:color="auto"/>
              <w:right w:val="single" w:sz="4" w:space="0" w:color="auto"/>
            </w:tcBorders>
            <w:shd w:val="clear" w:color="auto" w:fill="auto"/>
            <w:vAlign w:val="bottom"/>
          </w:tcPr>
          <w:p w14:paraId="7D0677FF" w14:textId="4078E8F3" w:rsidR="00AE6BBB" w:rsidRPr="00BD44A1" w:rsidRDefault="00AE6BBB" w:rsidP="00AE6BBB">
            <w:pPr>
              <w:bidi w:val="0"/>
              <w:jc w:val="center"/>
              <w:rPr>
                <w:rFonts w:ascii="Calibri" w:hAnsi="Calibri" w:cs="Calibri"/>
                <w:sz w:val="20"/>
                <w:szCs w:val="20"/>
              </w:rPr>
            </w:pPr>
            <w:r w:rsidRPr="00BD44A1">
              <w:rPr>
                <w:rFonts w:ascii="Calibri" w:hAnsi="Calibri" w:cs="Calibri"/>
                <w:sz w:val="20"/>
                <w:szCs w:val="20"/>
              </w:rPr>
              <w:t>78.4</w:t>
            </w:r>
          </w:p>
        </w:tc>
        <w:tc>
          <w:tcPr>
            <w:tcW w:w="1276" w:type="dxa"/>
            <w:shd w:val="clear" w:color="auto" w:fill="B8CCE4" w:themeFill="accent1" w:themeFillTint="66"/>
            <w:vAlign w:val="bottom"/>
          </w:tcPr>
          <w:p w14:paraId="4E80C506" w14:textId="3E8BE654" w:rsidR="00AE6BBB" w:rsidRPr="00BD44A1" w:rsidRDefault="00AE6BBB" w:rsidP="00AE6BBB">
            <w:pPr>
              <w:bidi w:val="0"/>
              <w:jc w:val="center"/>
              <w:rPr>
                <w:rFonts w:ascii="Calibri" w:hAnsi="Calibri" w:cs="Calibri"/>
                <w:sz w:val="20"/>
                <w:szCs w:val="20"/>
              </w:rPr>
            </w:pPr>
            <w:r w:rsidRPr="00BD44A1">
              <w:rPr>
                <w:rFonts w:ascii="Calibri" w:hAnsi="Calibri" w:cs="Calibri"/>
                <w:sz w:val="20"/>
                <w:szCs w:val="20"/>
              </w:rPr>
              <w:t>-0.3</w:t>
            </w:r>
          </w:p>
        </w:tc>
      </w:tr>
      <w:tr w:rsidR="00AE6BBB" w:rsidRPr="00BD44A1" w14:paraId="74E989F8" w14:textId="77777777" w:rsidTr="00F33F5A">
        <w:tc>
          <w:tcPr>
            <w:tcW w:w="5382" w:type="dxa"/>
            <w:tcBorders>
              <w:top w:val="single" w:sz="4" w:space="0" w:color="auto"/>
              <w:bottom w:val="single" w:sz="4" w:space="0" w:color="auto"/>
            </w:tcBorders>
            <w:vAlign w:val="bottom"/>
          </w:tcPr>
          <w:p w14:paraId="2973FA5A" w14:textId="77777777" w:rsidR="00AE6BBB" w:rsidRPr="00BD44A1" w:rsidRDefault="00AE6BBB" w:rsidP="00AE6BBB">
            <w:pPr>
              <w:bidi w:val="0"/>
              <w:rPr>
                <w:rFonts w:ascii="Calibri" w:hAnsi="Calibri" w:cs="Calibri"/>
                <w:sz w:val="20"/>
                <w:szCs w:val="20"/>
              </w:rPr>
            </w:pPr>
            <w:r w:rsidRPr="00BD44A1">
              <w:rPr>
                <w:rFonts w:ascii="Calibri" w:hAnsi="Calibri" w:cs="Calibri"/>
                <w:sz w:val="20"/>
                <w:szCs w:val="20"/>
              </w:rPr>
              <w:t>Government deficit (percent of GDP)</w:t>
            </w:r>
          </w:p>
        </w:tc>
        <w:tc>
          <w:tcPr>
            <w:tcW w:w="992" w:type="dxa"/>
            <w:tcBorders>
              <w:top w:val="single" w:sz="4" w:space="0" w:color="auto"/>
              <w:left w:val="single" w:sz="4" w:space="0" w:color="auto"/>
              <w:bottom w:val="single" w:sz="4" w:space="0" w:color="auto"/>
              <w:right w:val="nil"/>
            </w:tcBorders>
            <w:shd w:val="clear" w:color="auto" w:fill="auto"/>
          </w:tcPr>
          <w:p w14:paraId="6158174D" w14:textId="232F428E" w:rsidR="00AE6BBB" w:rsidRPr="00BD44A1" w:rsidRDefault="00AE6BBB" w:rsidP="00AE6BBB">
            <w:pPr>
              <w:bidi w:val="0"/>
              <w:jc w:val="center"/>
              <w:rPr>
                <w:rFonts w:ascii="Calibri" w:hAnsi="Calibri" w:cs="Calibri"/>
                <w:sz w:val="20"/>
                <w:szCs w:val="20"/>
                <w:rtl/>
              </w:rPr>
            </w:pPr>
            <w:r w:rsidRPr="00BD44A1">
              <w:rPr>
                <w:rFonts w:ascii="Calibri" w:hAnsi="Calibri" w:cs="Calibri"/>
                <w:sz w:val="20"/>
                <w:szCs w:val="20"/>
              </w:rPr>
              <w:t>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B82BF31" w14:textId="4708A241" w:rsidR="00AE6BBB" w:rsidRPr="00BD44A1" w:rsidRDefault="00AE6BBB" w:rsidP="00AE6BBB">
            <w:pPr>
              <w:bidi w:val="0"/>
              <w:jc w:val="center"/>
              <w:rPr>
                <w:rFonts w:ascii="Calibri" w:hAnsi="Calibri" w:cs="Calibri"/>
                <w:sz w:val="20"/>
                <w:szCs w:val="20"/>
              </w:rPr>
            </w:pPr>
            <w:r w:rsidRPr="00BD44A1">
              <w:rPr>
                <w:rFonts w:ascii="Calibri" w:hAnsi="Calibri" w:cs="Calibri"/>
                <w:sz w:val="20"/>
                <w:szCs w:val="20"/>
              </w:rPr>
              <w:t>4.2</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1ED6297" w14:textId="38C7757C" w:rsidR="00AE6BBB" w:rsidRPr="00BD44A1" w:rsidRDefault="00AE6BBB" w:rsidP="00AE6BBB">
            <w:pPr>
              <w:bidi w:val="0"/>
              <w:jc w:val="center"/>
              <w:rPr>
                <w:rFonts w:ascii="Calibri" w:hAnsi="Calibri" w:cs="Calibri"/>
                <w:sz w:val="20"/>
                <w:szCs w:val="20"/>
              </w:rPr>
            </w:pPr>
            <w:r w:rsidRPr="00BD44A1">
              <w:rPr>
                <w:rFonts w:ascii="Calibri" w:hAnsi="Calibri" w:cs="Calibri"/>
                <w:sz w:val="20"/>
                <w:szCs w:val="20"/>
              </w:rPr>
              <w:t>-0.5</w:t>
            </w:r>
          </w:p>
        </w:tc>
        <w:tc>
          <w:tcPr>
            <w:tcW w:w="992" w:type="dxa"/>
            <w:tcBorders>
              <w:top w:val="single" w:sz="4" w:space="0" w:color="auto"/>
              <w:left w:val="nil"/>
              <w:bottom w:val="single" w:sz="4" w:space="0" w:color="auto"/>
              <w:right w:val="single" w:sz="4" w:space="0" w:color="auto"/>
            </w:tcBorders>
            <w:shd w:val="clear" w:color="auto" w:fill="auto"/>
            <w:vAlign w:val="bottom"/>
          </w:tcPr>
          <w:p w14:paraId="7AEBFFA3" w14:textId="45289960" w:rsidR="00AE6BBB" w:rsidRPr="00BD44A1" w:rsidRDefault="00AE6BBB" w:rsidP="00AE6BBB">
            <w:pPr>
              <w:bidi w:val="0"/>
              <w:jc w:val="center"/>
              <w:rPr>
                <w:rFonts w:ascii="Calibri" w:hAnsi="Calibri" w:cs="Calibri"/>
                <w:sz w:val="20"/>
                <w:szCs w:val="20"/>
              </w:rPr>
            </w:pPr>
            <w:r w:rsidRPr="00BD44A1">
              <w:rPr>
                <w:rFonts w:ascii="Calibri" w:hAnsi="Calibri" w:cs="Calibri"/>
                <w:sz w:val="20"/>
                <w:szCs w:val="20"/>
              </w:rPr>
              <w:t>2.9</w:t>
            </w:r>
          </w:p>
        </w:tc>
        <w:tc>
          <w:tcPr>
            <w:tcW w:w="1276" w:type="dxa"/>
            <w:shd w:val="clear" w:color="auto" w:fill="B8CCE4" w:themeFill="accent1" w:themeFillTint="66"/>
            <w:vAlign w:val="bottom"/>
          </w:tcPr>
          <w:p w14:paraId="03FBFB6F" w14:textId="36929245" w:rsidR="00AE6BBB" w:rsidRPr="00BD44A1" w:rsidRDefault="00AE6BBB" w:rsidP="00AE6BBB">
            <w:pPr>
              <w:bidi w:val="0"/>
              <w:jc w:val="center"/>
              <w:rPr>
                <w:rFonts w:ascii="Calibri" w:hAnsi="Calibri" w:cs="Calibri"/>
                <w:sz w:val="20"/>
                <w:szCs w:val="20"/>
              </w:rPr>
            </w:pPr>
            <w:r w:rsidRPr="00BD44A1">
              <w:rPr>
                <w:rFonts w:ascii="Calibri" w:hAnsi="Calibri" w:cs="Calibri"/>
                <w:sz w:val="20"/>
                <w:szCs w:val="20"/>
              </w:rPr>
              <w:t>-0.3</w:t>
            </w:r>
          </w:p>
        </w:tc>
      </w:tr>
      <w:tr w:rsidR="00AE6BBB" w:rsidRPr="00BD44A1" w14:paraId="341237C0" w14:textId="77777777" w:rsidTr="00F33F5A">
        <w:tc>
          <w:tcPr>
            <w:tcW w:w="5382" w:type="dxa"/>
            <w:tcBorders>
              <w:top w:val="single" w:sz="4" w:space="0" w:color="auto"/>
              <w:bottom w:val="single" w:sz="4" w:space="0" w:color="auto"/>
            </w:tcBorders>
            <w:vAlign w:val="bottom"/>
          </w:tcPr>
          <w:p w14:paraId="3E5ED539" w14:textId="77777777" w:rsidR="00AE6BBB" w:rsidRPr="00BD44A1" w:rsidRDefault="00AE6BBB" w:rsidP="00AE6BBB">
            <w:pPr>
              <w:bidi w:val="0"/>
              <w:rPr>
                <w:rFonts w:ascii="Calibri" w:hAnsi="Calibri" w:cs="Calibri"/>
                <w:sz w:val="20"/>
                <w:szCs w:val="20"/>
              </w:rPr>
            </w:pPr>
            <w:r w:rsidRPr="00BD44A1">
              <w:rPr>
                <w:rFonts w:ascii="Calibri" w:hAnsi="Calibri" w:cs="Calibri"/>
                <w:sz w:val="20"/>
                <w:szCs w:val="20"/>
              </w:rPr>
              <w:t>Debt to GDP ratio (percent)</w:t>
            </w:r>
          </w:p>
        </w:tc>
        <w:tc>
          <w:tcPr>
            <w:tcW w:w="992" w:type="dxa"/>
            <w:tcBorders>
              <w:top w:val="single" w:sz="4" w:space="0" w:color="auto"/>
              <w:left w:val="single" w:sz="4" w:space="0" w:color="auto"/>
              <w:bottom w:val="single" w:sz="4" w:space="0" w:color="auto"/>
              <w:right w:val="nil"/>
            </w:tcBorders>
            <w:shd w:val="clear" w:color="auto" w:fill="auto"/>
          </w:tcPr>
          <w:p w14:paraId="5726B55C" w14:textId="6FE61D46" w:rsidR="00AE6BBB" w:rsidRPr="00BD44A1" w:rsidRDefault="00AE6BBB" w:rsidP="00AE6BBB">
            <w:pPr>
              <w:bidi w:val="0"/>
              <w:jc w:val="center"/>
              <w:rPr>
                <w:rFonts w:ascii="Calibri" w:hAnsi="Calibri" w:cs="Calibri"/>
                <w:sz w:val="20"/>
                <w:szCs w:val="20"/>
              </w:rPr>
            </w:pPr>
            <w:r w:rsidRPr="00BD44A1">
              <w:rPr>
                <w:rFonts w:ascii="Calibri" w:hAnsi="Calibri" w:cs="Calibri"/>
                <w:sz w:val="20"/>
                <w:szCs w:val="20"/>
              </w:rPr>
              <w:t>67.8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3087978" w14:textId="52856523" w:rsidR="00AE6BBB" w:rsidRPr="00BD44A1" w:rsidRDefault="00AE6BBB" w:rsidP="00AE6BBB">
            <w:pPr>
              <w:bidi w:val="0"/>
              <w:jc w:val="center"/>
              <w:rPr>
                <w:rFonts w:ascii="Calibri" w:hAnsi="Calibri" w:cs="Calibri"/>
                <w:sz w:val="20"/>
                <w:szCs w:val="20"/>
              </w:rPr>
            </w:pPr>
            <w:r w:rsidRPr="00BD44A1">
              <w:rPr>
                <w:rFonts w:ascii="Calibri" w:hAnsi="Calibri" w:cs="Calibri"/>
                <w:sz w:val="20"/>
                <w:szCs w:val="20"/>
              </w:rPr>
              <w:t>69</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728AB69" w14:textId="3D8E2FCE" w:rsidR="00AE6BBB" w:rsidRPr="00BD44A1" w:rsidRDefault="00AE6BBB" w:rsidP="00AE6BBB">
            <w:pPr>
              <w:bidi w:val="0"/>
              <w:jc w:val="center"/>
              <w:rPr>
                <w:rFonts w:ascii="Calibri" w:hAnsi="Calibri" w:cs="Calibri"/>
                <w:sz w:val="20"/>
                <w:szCs w:val="20"/>
              </w:rPr>
            </w:pPr>
            <w:r w:rsidRPr="00BD44A1">
              <w:rPr>
                <w:rFonts w:ascii="Calibri" w:hAnsi="Calibri" w:cs="Calibri"/>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bottom"/>
          </w:tcPr>
          <w:p w14:paraId="6E44CB89" w14:textId="69A243FB" w:rsidR="00AE6BBB" w:rsidRPr="00BD44A1" w:rsidRDefault="00AE6BBB" w:rsidP="00AE6BBB">
            <w:pPr>
              <w:bidi w:val="0"/>
              <w:jc w:val="center"/>
              <w:rPr>
                <w:rFonts w:ascii="Calibri" w:hAnsi="Calibri" w:cs="Calibri"/>
                <w:sz w:val="20"/>
                <w:szCs w:val="20"/>
              </w:rPr>
            </w:pPr>
            <w:r w:rsidRPr="00BD44A1">
              <w:rPr>
                <w:rFonts w:ascii="Calibri" w:hAnsi="Calibri" w:cs="Calibri"/>
                <w:sz w:val="20"/>
                <w:szCs w:val="20"/>
              </w:rPr>
              <w:t>68</w:t>
            </w:r>
          </w:p>
        </w:tc>
        <w:tc>
          <w:tcPr>
            <w:tcW w:w="1276" w:type="dxa"/>
            <w:shd w:val="clear" w:color="auto" w:fill="B8CCE4" w:themeFill="accent1" w:themeFillTint="66"/>
            <w:vAlign w:val="bottom"/>
          </w:tcPr>
          <w:p w14:paraId="43A88C11" w14:textId="5DF44679" w:rsidR="00AE6BBB" w:rsidRPr="00BD44A1" w:rsidRDefault="00AE6BBB" w:rsidP="00AE6BBB">
            <w:pPr>
              <w:bidi w:val="0"/>
              <w:jc w:val="center"/>
              <w:rPr>
                <w:rFonts w:ascii="Calibri" w:hAnsi="Calibri" w:cs="Calibri"/>
                <w:sz w:val="20"/>
                <w:szCs w:val="20"/>
                <w:rtl/>
              </w:rPr>
            </w:pPr>
            <w:r w:rsidRPr="00BD44A1">
              <w:rPr>
                <w:rFonts w:ascii="Calibri" w:hAnsi="Calibri" w:cs="Calibri"/>
                <w:sz w:val="20"/>
                <w:szCs w:val="20"/>
              </w:rPr>
              <w:t>1.0</w:t>
            </w:r>
          </w:p>
        </w:tc>
      </w:tr>
      <w:tr w:rsidR="00AE6BBB" w:rsidRPr="00BD44A1" w14:paraId="017F4F0C" w14:textId="77777777" w:rsidTr="00F33F5A">
        <w:tc>
          <w:tcPr>
            <w:tcW w:w="5382" w:type="dxa"/>
            <w:tcBorders>
              <w:top w:val="single" w:sz="4" w:space="0" w:color="auto"/>
              <w:bottom w:val="single" w:sz="4" w:space="0" w:color="auto"/>
            </w:tcBorders>
            <w:vAlign w:val="bottom"/>
          </w:tcPr>
          <w:p w14:paraId="39F196D8" w14:textId="77777777" w:rsidR="00AE6BBB" w:rsidRPr="00BD44A1" w:rsidRDefault="00AE6BBB" w:rsidP="00AE6BBB">
            <w:pPr>
              <w:bidi w:val="0"/>
              <w:rPr>
                <w:rFonts w:ascii="Calibri" w:hAnsi="Calibri" w:cs="Calibri"/>
                <w:sz w:val="20"/>
                <w:szCs w:val="20"/>
                <w:vertAlign w:val="superscript"/>
              </w:rPr>
            </w:pPr>
            <w:r w:rsidRPr="00BD44A1">
              <w:rPr>
                <w:rFonts w:ascii="Calibri" w:hAnsi="Calibri" w:cs="Calibri"/>
                <w:sz w:val="20"/>
                <w:szCs w:val="20"/>
              </w:rPr>
              <w:t>Inflation (percent)</w:t>
            </w:r>
            <w:r w:rsidRPr="00BD44A1">
              <w:rPr>
                <w:rFonts w:ascii="Calibri" w:hAnsi="Calibri" w:cs="Calibri"/>
                <w:sz w:val="20"/>
                <w:szCs w:val="20"/>
                <w:vertAlign w:val="superscript"/>
              </w:rPr>
              <w:t>c</w:t>
            </w:r>
          </w:p>
        </w:tc>
        <w:tc>
          <w:tcPr>
            <w:tcW w:w="992" w:type="dxa"/>
            <w:tcBorders>
              <w:top w:val="single" w:sz="4" w:space="0" w:color="auto"/>
              <w:left w:val="single" w:sz="4" w:space="0" w:color="auto"/>
              <w:bottom w:val="single" w:sz="4" w:space="0" w:color="auto"/>
              <w:right w:val="nil"/>
            </w:tcBorders>
            <w:shd w:val="clear" w:color="auto" w:fill="auto"/>
          </w:tcPr>
          <w:p w14:paraId="0434AAFF" w14:textId="0198E1E4" w:rsidR="00AE6BBB" w:rsidRPr="00BD44A1" w:rsidRDefault="00AE6BBB" w:rsidP="00AE6BBB">
            <w:pPr>
              <w:bidi w:val="0"/>
              <w:jc w:val="center"/>
              <w:rPr>
                <w:rFonts w:ascii="Calibri" w:hAnsi="Calibri" w:cs="Calibri"/>
                <w:b/>
                <w:bCs/>
                <w:sz w:val="20"/>
                <w:szCs w:val="20"/>
              </w:rPr>
            </w:pPr>
            <w:r w:rsidRPr="00BD44A1">
              <w:rPr>
                <w:rFonts w:ascii="Calibri" w:hAnsi="Calibri" w:cs="Calibri"/>
                <w:b/>
                <w:bCs/>
                <w:sz w:val="20"/>
                <w:szCs w:val="20"/>
              </w:rPr>
              <w:t>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390B9E5" w14:textId="41921E42" w:rsidR="00AE6BBB" w:rsidRPr="00BD44A1" w:rsidRDefault="00AE6BBB" w:rsidP="00AE6BBB">
            <w:pPr>
              <w:bidi w:val="0"/>
              <w:jc w:val="center"/>
              <w:rPr>
                <w:rFonts w:ascii="Calibri" w:hAnsi="Calibri" w:cs="Calibri"/>
                <w:b/>
                <w:bCs/>
                <w:sz w:val="20"/>
                <w:szCs w:val="20"/>
              </w:rPr>
            </w:pPr>
            <w:r w:rsidRPr="00BD44A1">
              <w:rPr>
                <w:rFonts w:ascii="Calibri" w:hAnsi="Calibri" w:cs="Calibri"/>
                <w:b/>
                <w:bCs/>
                <w:sz w:val="20"/>
                <w:szCs w:val="20"/>
              </w:rPr>
              <w:t>2.6</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2388E6A" w14:textId="564C9668" w:rsidR="00AE6BBB" w:rsidRPr="00BD44A1" w:rsidRDefault="00AE6BBB" w:rsidP="00AE6BBB">
            <w:pPr>
              <w:bidi w:val="0"/>
              <w:jc w:val="center"/>
              <w:rPr>
                <w:rFonts w:ascii="Calibri" w:hAnsi="Calibri" w:cs="Calibri"/>
                <w:b/>
                <w:bCs/>
                <w:sz w:val="20"/>
                <w:szCs w:val="20"/>
              </w:rPr>
            </w:pPr>
            <w:r w:rsidRPr="00BD44A1">
              <w:rPr>
                <w:rFonts w:ascii="Calibri" w:hAnsi="Calibri" w:cs="Calibri"/>
                <w:b/>
                <w:bCs/>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bottom"/>
          </w:tcPr>
          <w:p w14:paraId="1EBC34AD" w14:textId="3671253E" w:rsidR="00AE6BBB" w:rsidRPr="00BD44A1" w:rsidRDefault="00AE6BBB" w:rsidP="00AE6BBB">
            <w:pPr>
              <w:bidi w:val="0"/>
              <w:jc w:val="center"/>
              <w:rPr>
                <w:rFonts w:ascii="Calibri" w:hAnsi="Calibri" w:cs="Calibri"/>
                <w:b/>
                <w:bCs/>
                <w:sz w:val="20"/>
                <w:szCs w:val="20"/>
              </w:rPr>
            </w:pPr>
            <w:r w:rsidRPr="00BD44A1">
              <w:rPr>
                <w:rFonts w:ascii="Calibri" w:hAnsi="Calibri" w:cs="Calibri"/>
                <w:b/>
                <w:bCs/>
                <w:sz w:val="20"/>
                <w:szCs w:val="20"/>
              </w:rPr>
              <w:t>2.2</w:t>
            </w:r>
          </w:p>
        </w:tc>
        <w:tc>
          <w:tcPr>
            <w:tcW w:w="1276" w:type="dxa"/>
            <w:shd w:val="clear" w:color="auto" w:fill="B8CCE4" w:themeFill="accent1" w:themeFillTint="66"/>
            <w:vAlign w:val="bottom"/>
          </w:tcPr>
          <w:p w14:paraId="18F81D0E" w14:textId="671BB247" w:rsidR="00AE6BBB" w:rsidRPr="00BD44A1" w:rsidRDefault="00AE6BBB" w:rsidP="00AE6BBB">
            <w:pPr>
              <w:bidi w:val="0"/>
              <w:jc w:val="center"/>
              <w:rPr>
                <w:rFonts w:ascii="Calibri" w:hAnsi="Calibri" w:cs="Calibri"/>
                <w:b/>
                <w:bCs/>
                <w:sz w:val="20"/>
                <w:szCs w:val="20"/>
              </w:rPr>
            </w:pPr>
            <w:r w:rsidRPr="00BD44A1">
              <w:rPr>
                <w:rFonts w:ascii="Calibri" w:hAnsi="Calibri" w:cs="Calibri"/>
                <w:b/>
                <w:bCs/>
                <w:sz w:val="20"/>
                <w:szCs w:val="20"/>
              </w:rPr>
              <w:t>-0.1</w:t>
            </w:r>
          </w:p>
        </w:tc>
      </w:tr>
      <w:tr w:rsidR="00AE6BBB" w:rsidRPr="00BD44A1" w14:paraId="4FC6244E" w14:textId="77777777" w:rsidTr="00737170">
        <w:tc>
          <w:tcPr>
            <w:tcW w:w="11052" w:type="dxa"/>
            <w:gridSpan w:val="6"/>
            <w:tcBorders>
              <w:top w:val="single" w:sz="4" w:space="0" w:color="auto"/>
              <w:bottom w:val="single" w:sz="4" w:space="0" w:color="auto"/>
              <w:right w:val="single" w:sz="4" w:space="0" w:color="auto"/>
            </w:tcBorders>
            <w:vAlign w:val="bottom"/>
          </w:tcPr>
          <w:p w14:paraId="0C08323D" w14:textId="56D31FFA" w:rsidR="00AE6BBB" w:rsidRPr="00BD44A1" w:rsidRDefault="00AE6BBB" w:rsidP="00A13295">
            <w:pPr>
              <w:bidi w:val="0"/>
              <w:rPr>
                <w:rFonts w:ascii="Calibri" w:hAnsi="Calibri" w:cs="Calibri"/>
                <w:sz w:val="18"/>
                <w:szCs w:val="18"/>
              </w:rPr>
            </w:pPr>
            <w:proofErr w:type="spellStart"/>
            <w:proofErr w:type="gramStart"/>
            <w:r w:rsidRPr="00BD44A1">
              <w:rPr>
                <w:rFonts w:ascii="Calibri" w:hAnsi="Calibri" w:cs="Calibri"/>
                <w:sz w:val="18"/>
                <w:szCs w:val="18"/>
                <w:vertAlign w:val="superscript"/>
              </w:rPr>
              <w:t>a</w:t>
            </w:r>
            <w:proofErr w:type="spellEnd"/>
            <w:proofErr w:type="gramEnd"/>
            <w:r w:rsidRPr="00BD44A1">
              <w:rPr>
                <w:rFonts w:ascii="Calibri" w:hAnsi="Calibri" w:cs="Calibri"/>
                <w:sz w:val="18"/>
                <w:szCs w:val="18"/>
                <w:vertAlign w:val="superscript"/>
              </w:rPr>
              <w:t xml:space="preserve"> </w:t>
            </w:r>
            <w:r w:rsidRPr="00BD44A1">
              <w:rPr>
                <w:rFonts w:ascii="Calibri" w:hAnsi="Calibri" w:cs="Calibri"/>
                <w:sz w:val="18"/>
                <w:szCs w:val="18"/>
              </w:rPr>
              <w:t>The forecasts of the National Accounts components are rounded to the nearest half percentage point</w:t>
            </w:r>
            <w:r w:rsidR="00A13295" w:rsidRPr="00BD44A1">
              <w:rPr>
                <w:rFonts w:ascii="Calibri" w:hAnsi="Calibri" w:cs="Calibri"/>
                <w:sz w:val="18"/>
                <w:szCs w:val="18"/>
              </w:rPr>
              <w:t xml:space="preserve"> and the forecasts of public debt are rounded to the nearest percentage point</w:t>
            </w:r>
            <w:r w:rsidRPr="00BD44A1">
              <w:rPr>
                <w:rFonts w:ascii="Calibri" w:hAnsi="Calibri" w:cs="Calibri"/>
                <w:sz w:val="18"/>
                <w:szCs w:val="18"/>
              </w:rPr>
              <w:t>.</w:t>
            </w:r>
          </w:p>
          <w:p w14:paraId="317C0E73" w14:textId="77777777" w:rsidR="00AE6BBB" w:rsidRPr="00BD44A1" w:rsidRDefault="00AE6BBB" w:rsidP="00737170">
            <w:pPr>
              <w:bidi w:val="0"/>
              <w:rPr>
                <w:rFonts w:ascii="Calibri" w:hAnsi="Calibri" w:cs="Calibri"/>
                <w:sz w:val="18"/>
                <w:szCs w:val="18"/>
              </w:rPr>
            </w:pPr>
            <w:proofErr w:type="gramStart"/>
            <w:r w:rsidRPr="00BD44A1">
              <w:rPr>
                <w:rFonts w:ascii="Calibri" w:hAnsi="Calibri" w:cs="Calibri"/>
                <w:sz w:val="18"/>
                <w:szCs w:val="18"/>
                <w:vertAlign w:val="superscript"/>
              </w:rPr>
              <w:t>b</w:t>
            </w:r>
            <w:proofErr w:type="gramEnd"/>
            <w:r w:rsidRPr="00BD44A1">
              <w:rPr>
                <w:rFonts w:ascii="Calibri" w:hAnsi="Calibri" w:cs="Calibri"/>
                <w:sz w:val="18"/>
                <w:szCs w:val="18"/>
              </w:rPr>
              <w:t xml:space="preserve"> Annual average. According to the Central Bureau of Statistics definition, the broad unemployment rate includes the unemployed under the normal definition (someone who has not worked, wanted to work, was available to work, and searched for work), as well as employees who were temporarily absent from their jobs for economic reasons (including furloughed workers).  Accordingly, the adjusted employment rate does not include those temporarily absent from their jobs for economic reasons.</w:t>
            </w:r>
          </w:p>
          <w:p w14:paraId="7F433145" w14:textId="77777777" w:rsidR="00AE6BBB" w:rsidRPr="00BD44A1" w:rsidRDefault="00AE6BBB" w:rsidP="00737170">
            <w:pPr>
              <w:bidi w:val="0"/>
              <w:rPr>
                <w:rFonts w:ascii="Calibri" w:hAnsi="Calibri" w:cs="Calibri"/>
                <w:sz w:val="18"/>
                <w:szCs w:val="18"/>
                <w:vertAlign w:val="superscript"/>
              </w:rPr>
            </w:pPr>
            <w:proofErr w:type="gramStart"/>
            <w:r w:rsidRPr="00BD44A1">
              <w:rPr>
                <w:rFonts w:ascii="Calibri" w:hAnsi="Calibri" w:cs="Calibri"/>
                <w:sz w:val="18"/>
                <w:szCs w:val="18"/>
                <w:vertAlign w:val="superscript"/>
              </w:rPr>
              <w:t>c</w:t>
            </w:r>
            <w:proofErr w:type="gramEnd"/>
            <w:r w:rsidRPr="00BD44A1">
              <w:rPr>
                <w:rFonts w:ascii="Calibri" w:hAnsi="Calibri" w:cs="Calibri"/>
                <w:sz w:val="18"/>
                <w:szCs w:val="18"/>
              </w:rPr>
              <w:t xml:space="preserve"> The average of the Consumer Price Index in the last quarter of the year compared with the average in the last quarter of the previous year.</w:t>
            </w:r>
          </w:p>
        </w:tc>
      </w:tr>
    </w:tbl>
    <w:p w14:paraId="692359A2" w14:textId="77777777" w:rsidR="00AE6BBB" w:rsidRPr="00BD44A1" w:rsidRDefault="00AE6BBB" w:rsidP="00AE6BBB">
      <w:pPr>
        <w:bidi w:val="0"/>
        <w:jc w:val="both"/>
        <w:rPr>
          <w:rFonts w:ascii="Calibri" w:hAnsi="Calibri" w:cs="Calibri"/>
        </w:rPr>
      </w:pPr>
    </w:p>
    <w:p w14:paraId="7E508D40" w14:textId="77777777" w:rsidR="00D52059" w:rsidRPr="00BD44A1" w:rsidRDefault="00D52059" w:rsidP="00D52059">
      <w:pPr>
        <w:bidi w:val="0"/>
        <w:jc w:val="both"/>
        <w:rPr>
          <w:rFonts w:ascii="Calibri" w:hAnsi="Calibri" w:cs="Calibri"/>
        </w:rPr>
      </w:pPr>
    </w:p>
    <w:p w14:paraId="26E94EE2" w14:textId="77777777" w:rsidR="00A21D01" w:rsidRPr="00BD44A1" w:rsidRDefault="00A21D01" w:rsidP="0087184F">
      <w:pPr>
        <w:numPr>
          <w:ilvl w:val="0"/>
          <w:numId w:val="9"/>
        </w:numPr>
        <w:bidi w:val="0"/>
        <w:spacing w:line="360" w:lineRule="auto"/>
        <w:ind w:left="357" w:hanging="357"/>
        <w:jc w:val="both"/>
        <w:rPr>
          <w:rFonts w:ascii="Calibri" w:hAnsi="Calibri" w:cs="Calibri"/>
          <w:b/>
          <w:bCs/>
        </w:rPr>
      </w:pPr>
      <w:r w:rsidRPr="00BD44A1">
        <w:rPr>
          <w:rFonts w:ascii="Calibri" w:hAnsi="Calibri" w:cs="Calibri"/>
          <w:b/>
          <w:bCs/>
        </w:rPr>
        <w:t>Real activity in Israel</w:t>
      </w:r>
    </w:p>
    <w:p w14:paraId="31475583" w14:textId="323ECBDA" w:rsidR="00955DCC" w:rsidRPr="00BD44A1" w:rsidRDefault="00323260" w:rsidP="00F647DE">
      <w:pPr>
        <w:bidi w:val="0"/>
        <w:jc w:val="both"/>
        <w:rPr>
          <w:rFonts w:ascii="Calibri" w:hAnsi="Calibri" w:cs="Calibri"/>
        </w:rPr>
      </w:pPr>
      <w:r w:rsidRPr="00BD44A1">
        <w:rPr>
          <w:rFonts w:ascii="Calibri" w:hAnsi="Calibri" w:cs="Calibri"/>
          <w:b/>
          <w:bCs/>
        </w:rPr>
        <w:t xml:space="preserve">GDP </w:t>
      </w:r>
      <w:r w:rsidR="00AE6BBB" w:rsidRPr="00BD44A1">
        <w:rPr>
          <w:rFonts w:ascii="Calibri" w:hAnsi="Calibri" w:cs="Calibri"/>
          <w:b/>
          <w:bCs/>
        </w:rPr>
        <w:t>is expected to g</w:t>
      </w:r>
      <w:r w:rsidRPr="00BD44A1">
        <w:rPr>
          <w:rFonts w:ascii="Calibri" w:hAnsi="Calibri" w:cs="Calibri"/>
          <w:b/>
          <w:bCs/>
        </w:rPr>
        <w:t>r</w:t>
      </w:r>
      <w:r w:rsidR="00AE6BBB" w:rsidRPr="00BD44A1">
        <w:rPr>
          <w:rFonts w:ascii="Calibri" w:hAnsi="Calibri" w:cs="Calibri"/>
          <w:b/>
          <w:bCs/>
        </w:rPr>
        <w:t>o</w:t>
      </w:r>
      <w:r w:rsidRPr="00BD44A1">
        <w:rPr>
          <w:rFonts w:ascii="Calibri" w:hAnsi="Calibri" w:cs="Calibri"/>
          <w:b/>
          <w:bCs/>
        </w:rPr>
        <w:t xml:space="preserve">w by </w:t>
      </w:r>
      <w:r w:rsidR="00AE6BBB" w:rsidRPr="00BD44A1">
        <w:rPr>
          <w:rFonts w:ascii="Calibri" w:hAnsi="Calibri" w:cs="Calibri"/>
          <w:b/>
          <w:bCs/>
        </w:rPr>
        <w:t>3.5 in</w:t>
      </w:r>
      <w:r w:rsidR="000003FE" w:rsidRPr="00BD44A1">
        <w:rPr>
          <w:rFonts w:ascii="Calibri" w:hAnsi="Calibri" w:cs="Calibri"/>
          <w:b/>
          <w:bCs/>
        </w:rPr>
        <w:t xml:space="preserve"> 2025</w:t>
      </w:r>
      <w:r w:rsidR="00AE6BBB" w:rsidRPr="00BD44A1">
        <w:rPr>
          <w:rFonts w:ascii="Calibri" w:hAnsi="Calibri" w:cs="Calibri"/>
          <w:b/>
          <w:bCs/>
        </w:rPr>
        <w:t xml:space="preserve"> and by 4.0 percent in 2026 </w:t>
      </w:r>
      <w:r w:rsidR="00AE6BBB" w:rsidRPr="00BD44A1">
        <w:rPr>
          <w:rFonts w:ascii="Calibri" w:hAnsi="Calibri" w:cs="Calibri"/>
        </w:rPr>
        <w:t>(Table 1)</w:t>
      </w:r>
      <w:r w:rsidR="00226664" w:rsidRPr="00BD44A1">
        <w:rPr>
          <w:rFonts w:ascii="Calibri" w:hAnsi="Calibri" w:cs="Calibri"/>
        </w:rPr>
        <w:t>.</w:t>
      </w:r>
      <w:r w:rsidR="00991A64" w:rsidRPr="00BD44A1">
        <w:rPr>
          <w:rFonts w:ascii="Calibri" w:hAnsi="Calibri" w:cs="Calibri"/>
        </w:rPr>
        <w:t xml:space="preserve"> </w:t>
      </w:r>
      <w:r w:rsidR="00F1274A" w:rsidRPr="00BD44A1">
        <w:rPr>
          <w:rFonts w:ascii="Calibri" w:hAnsi="Calibri" w:cs="Calibri"/>
        </w:rPr>
        <w:t>The forecast is based on the assumption that</w:t>
      </w:r>
      <w:r w:rsidR="00226664" w:rsidRPr="00BD44A1">
        <w:rPr>
          <w:rFonts w:ascii="Calibri" w:hAnsi="Calibri" w:cs="Calibri"/>
        </w:rPr>
        <w:t xml:space="preserve"> for most of the forecast period, the war</w:t>
      </w:r>
      <w:r w:rsidR="00F1274A" w:rsidRPr="00BD44A1">
        <w:rPr>
          <w:rFonts w:ascii="Calibri" w:hAnsi="Calibri" w:cs="Calibri"/>
        </w:rPr>
        <w:t xml:space="preserve"> </w:t>
      </w:r>
      <w:r w:rsidR="00226664" w:rsidRPr="00BD44A1">
        <w:rPr>
          <w:rFonts w:ascii="Calibri" w:hAnsi="Calibri" w:cs="Calibri"/>
        </w:rPr>
        <w:t>will not have a significant macroeconomic</w:t>
      </w:r>
      <w:r w:rsidR="00F1274A" w:rsidRPr="00BD44A1">
        <w:rPr>
          <w:rFonts w:ascii="Calibri" w:hAnsi="Calibri" w:cs="Calibri"/>
        </w:rPr>
        <w:t xml:space="preserve"> impact on the economy</w:t>
      </w:r>
      <w:r w:rsidR="00226664" w:rsidRPr="00BD44A1">
        <w:rPr>
          <w:rFonts w:ascii="Calibri" w:hAnsi="Calibri" w:cs="Calibri"/>
        </w:rPr>
        <w:t xml:space="preserve">, and particularly that the fighting that was recently resumed </w:t>
      </w:r>
      <w:r w:rsidR="00A13295" w:rsidRPr="00BD44A1">
        <w:rPr>
          <w:rFonts w:ascii="Calibri" w:hAnsi="Calibri" w:cs="Calibri"/>
        </w:rPr>
        <w:t>on</w:t>
      </w:r>
      <w:r w:rsidR="00226664" w:rsidRPr="00BD44A1">
        <w:rPr>
          <w:rFonts w:ascii="Calibri" w:hAnsi="Calibri" w:cs="Calibri"/>
        </w:rPr>
        <w:t xml:space="preserve"> the Gaza </w:t>
      </w:r>
      <w:r w:rsidR="00A13295" w:rsidRPr="00BD44A1">
        <w:rPr>
          <w:rFonts w:ascii="Calibri" w:hAnsi="Calibri" w:cs="Calibri"/>
        </w:rPr>
        <w:t>front</w:t>
      </w:r>
      <w:r w:rsidR="00226664" w:rsidRPr="00BD44A1">
        <w:rPr>
          <w:rFonts w:ascii="Calibri" w:hAnsi="Calibri" w:cs="Calibri"/>
        </w:rPr>
        <w:t xml:space="preserve"> will not extend beyond the second quarter and will not </w:t>
      </w:r>
      <w:r w:rsidR="00226664" w:rsidRPr="00BD44A1">
        <w:rPr>
          <w:rFonts w:ascii="Calibri" w:hAnsi="Calibri" w:cs="Calibri"/>
        </w:rPr>
        <w:lastRenderedPageBreak/>
        <w:t xml:space="preserve">expand to other fronts. The forecast includes our assessment regarding the expected impact of the tariffs announced by the American government on April 2, 2025, and the increased tariffs in other countries that are expected in response.  Our assessment is that the impact of these measures on the Israeli economy will </w:t>
      </w:r>
      <w:r w:rsidR="00F647DE" w:rsidRPr="00BD44A1">
        <w:rPr>
          <w:rFonts w:ascii="Calibri" w:hAnsi="Calibri" w:cs="Calibri"/>
        </w:rPr>
        <w:t>moderate</w:t>
      </w:r>
      <w:r w:rsidR="00226664" w:rsidRPr="00BD44A1">
        <w:rPr>
          <w:rFonts w:ascii="Calibri" w:hAnsi="Calibri" w:cs="Calibri"/>
        </w:rPr>
        <w:t xml:space="preserve"> GDP growth</w:t>
      </w:r>
      <w:r w:rsidR="00F647DE" w:rsidRPr="00BD44A1">
        <w:rPr>
          <w:rFonts w:ascii="Calibri" w:hAnsi="Calibri" w:cs="Calibri"/>
        </w:rPr>
        <w:t xml:space="preserve"> by about 0.5 percentage points</w:t>
      </w:r>
      <w:r w:rsidR="00226664" w:rsidRPr="00BD44A1">
        <w:rPr>
          <w:rFonts w:ascii="Calibri" w:hAnsi="Calibri" w:cs="Calibri"/>
        </w:rPr>
        <w:t xml:space="preserve"> in each of the years 2025 and 2026.</w:t>
      </w:r>
    </w:p>
    <w:p w14:paraId="730050CD" w14:textId="1DF95059" w:rsidR="00226664" w:rsidRPr="00BD44A1" w:rsidRDefault="00226664" w:rsidP="00226664">
      <w:pPr>
        <w:bidi w:val="0"/>
        <w:jc w:val="both"/>
        <w:rPr>
          <w:rFonts w:ascii="Calibri" w:hAnsi="Calibri" w:cs="Calibri"/>
        </w:rPr>
      </w:pPr>
    </w:p>
    <w:p w14:paraId="008C39E2" w14:textId="2596E926" w:rsidR="00226664" w:rsidRPr="00BD44A1" w:rsidRDefault="00226664" w:rsidP="00226664">
      <w:pPr>
        <w:bidi w:val="0"/>
        <w:jc w:val="both"/>
        <w:rPr>
          <w:rFonts w:ascii="Calibri" w:hAnsi="Calibri" w:cs="Calibri"/>
        </w:rPr>
      </w:pPr>
      <w:r w:rsidRPr="00BD44A1">
        <w:rPr>
          <w:rFonts w:ascii="Calibri" w:hAnsi="Calibri" w:cs="Calibri"/>
        </w:rPr>
        <w:t>One of the factors limiting GDP growth since the beginning of the war is the shortage of workers due to both the decline in the number of non-Israeli workers relative to before the war and the mobilization of reserve soldiers.  Throughout 2024, the number of non-Israelis employed in the economy grew moderately, and our assessment is that this trend will continue during the forecast period.  In addition, our assumption regarding the intensity of the war within the forecast period is consistent with a lower mobilization of reserve soldiers than in 2024, which will enable an increase in the supply of civilian labor.  Our assessment is that the increase in the supply of labor will contribute to an expansion of potential growth in the economy relative to 2024.</w:t>
      </w:r>
    </w:p>
    <w:p w14:paraId="297B27F4" w14:textId="41A4D4CB" w:rsidR="00226664" w:rsidRPr="00BD44A1" w:rsidRDefault="00226664" w:rsidP="00226664">
      <w:pPr>
        <w:bidi w:val="0"/>
        <w:jc w:val="both"/>
        <w:rPr>
          <w:rFonts w:ascii="Calibri" w:hAnsi="Calibri" w:cs="Calibri"/>
        </w:rPr>
      </w:pPr>
    </w:p>
    <w:p w14:paraId="6B8439A0" w14:textId="79A12876" w:rsidR="00226664" w:rsidRPr="00BD44A1" w:rsidRDefault="00226664" w:rsidP="00F647DE">
      <w:pPr>
        <w:bidi w:val="0"/>
        <w:jc w:val="both"/>
        <w:rPr>
          <w:rFonts w:ascii="Calibri" w:hAnsi="Calibri" w:cs="Calibri"/>
        </w:rPr>
      </w:pPr>
      <w:r w:rsidRPr="00BD44A1">
        <w:rPr>
          <w:rFonts w:ascii="Calibri" w:hAnsi="Calibri" w:cs="Calibri"/>
        </w:rPr>
        <w:t xml:space="preserve">On the demand side, our assessment is that the global import tariffs will moderate global demand for Israeli </w:t>
      </w:r>
      <w:r w:rsidR="00F647DE" w:rsidRPr="00BD44A1">
        <w:rPr>
          <w:rFonts w:ascii="Calibri" w:hAnsi="Calibri" w:cs="Calibri"/>
        </w:rPr>
        <w:t>exports</w:t>
      </w:r>
      <w:r w:rsidRPr="00BD44A1">
        <w:rPr>
          <w:rFonts w:ascii="Calibri" w:hAnsi="Calibri" w:cs="Calibri"/>
        </w:rPr>
        <w:t>, such that GDP will grow at a lower-than-potential pace, and that it will remain below the trend that it showed in the past.</w:t>
      </w:r>
    </w:p>
    <w:p w14:paraId="5A416C9E" w14:textId="695D3228" w:rsidR="002F4ECB" w:rsidRPr="00BD44A1" w:rsidRDefault="002F4ECB" w:rsidP="00A13295">
      <w:pPr>
        <w:bidi w:val="0"/>
        <w:spacing w:before="100" w:beforeAutospacing="1" w:after="100" w:afterAutospacing="1"/>
        <w:jc w:val="both"/>
        <w:rPr>
          <w:rFonts w:ascii="Calibri" w:hAnsi="Calibri" w:cs="Calibri"/>
        </w:rPr>
      </w:pPr>
      <w:r w:rsidRPr="00BD44A1">
        <w:rPr>
          <w:rFonts w:ascii="Calibri" w:hAnsi="Calibri" w:cs="Calibri"/>
        </w:rPr>
        <w:t xml:space="preserve">At the beginning of the conflict, the shortage of non-Israeli workers was felt primarily in the construction </w:t>
      </w:r>
      <w:r w:rsidR="00FD35C7" w:rsidRPr="00BD44A1">
        <w:rPr>
          <w:rFonts w:ascii="Calibri" w:hAnsi="Calibri" w:cs="Calibri"/>
        </w:rPr>
        <w:t>industry</w:t>
      </w:r>
      <w:r w:rsidRPr="00BD44A1">
        <w:rPr>
          <w:rFonts w:ascii="Calibri" w:hAnsi="Calibri" w:cs="Calibri"/>
        </w:rPr>
        <w:t xml:space="preserve">, leading to a slowdown in investments in the industry. However, throughout 2024, the number of non-Israeli workers increased slightly, and additionally, Israeli workers integrated into the </w:t>
      </w:r>
      <w:r w:rsidR="00FD35C7" w:rsidRPr="00BD44A1">
        <w:rPr>
          <w:rFonts w:ascii="Calibri" w:hAnsi="Calibri" w:cs="Calibri"/>
        </w:rPr>
        <w:t>industry</w:t>
      </w:r>
      <w:r w:rsidRPr="00BD44A1">
        <w:rPr>
          <w:rFonts w:ascii="Calibri" w:hAnsi="Calibri" w:cs="Calibri"/>
        </w:rPr>
        <w:t xml:space="preserve">, largely compensating for the shortage of non-Israeli workers </w:t>
      </w:r>
      <w:r w:rsidR="00FD35C7" w:rsidRPr="00BD44A1">
        <w:rPr>
          <w:rFonts w:ascii="Calibri" w:hAnsi="Calibri" w:cs="Calibri"/>
        </w:rPr>
        <w:t>relative</w:t>
      </w:r>
      <w:r w:rsidRPr="00BD44A1">
        <w:rPr>
          <w:rFonts w:ascii="Calibri" w:hAnsi="Calibri" w:cs="Calibri"/>
        </w:rPr>
        <w:t xml:space="preserve"> to their numbers before the war. We estimate that the easing of supply constraints in the construction </w:t>
      </w:r>
      <w:r w:rsidR="00FD35C7" w:rsidRPr="00BD44A1">
        <w:rPr>
          <w:rFonts w:ascii="Calibri" w:hAnsi="Calibri" w:cs="Calibri"/>
        </w:rPr>
        <w:t>industry</w:t>
      </w:r>
      <w:r w:rsidRPr="00BD44A1">
        <w:rPr>
          <w:rFonts w:ascii="Calibri" w:hAnsi="Calibri" w:cs="Calibri"/>
        </w:rPr>
        <w:t xml:space="preserve"> will enable</w:t>
      </w:r>
      <w:r w:rsidR="00FD35C7" w:rsidRPr="00BD44A1">
        <w:rPr>
          <w:rFonts w:ascii="Calibri" w:hAnsi="Calibri" w:cs="Calibri"/>
        </w:rPr>
        <w:t xml:space="preserve"> a</w:t>
      </w:r>
      <w:r w:rsidRPr="00BD44A1">
        <w:rPr>
          <w:rFonts w:ascii="Calibri" w:hAnsi="Calibri" w:cs="Calibri"/>
        </w:rPr>
        <w:t xml:space="preserve"> better response to the high demand within the forecast period, particularly </w:t>
      </w:r>
      <w:r w:rsidR="00FD35C7" w:rsidRPr="00BD44A1">
        <w:rPr>
          <w:rFonts w:ascii="Calibri" w:hAnsi="Calibri" w:cs="Calibri"/>
        </w:rPr>
        <w:t xml:space="preserve">following </w:t>
      </w:r>
      <w:r w:rsidR="00A13295" w:rsidRPr="00BD44A1">
        <w:rPr>
          <w:rFonts w:ascii="Calibri" w:hAnsi="Calibri" w:cs="Calibri"/>
        </w:rPr>
        <w:t>a period of labor shortage</w:t>
      </w:r>
      <w:r w:rsidR="00FD35C7" w:rsidRPr="00BD44A1">
        <w:rPr>
          <w:rFonts w:ascii="Calibri" w:hAnsi="Calibri" w:cs="Calibri"/>
        </w:rPr>
        <w:t xml:space="preserve"> and the need for rehabilitating</w:t>
      </w:r>
      <w:r w:rsidRPr="00BD44A1">
        <w:rPr>
          <w:rFonts w:ascii="Calibri" w:hAnsi="Calibri" w:cs="Calibri"/>
        </w:rPr>
        <w:t xml:space="preserve"> structures and infrastructure in conflict areas. Consequently, we anticipate that investment, particularly in construction, will grow at a relatively high rate in 2025.</w:t>
      </w:r>
    </w:p>
    <w:p w14:paraId="1AF0CF14" w14:textId="0EF483FC" w:rsidR="002F4ECB" w:rsidRPr="00BD44A1" w:rsidRDefault="002F4ECB" w:rsidP="00A13295">
      <w:pPr>
        <w:bidi w:val="0"/>
        <w:spacing w:before="100" w:beforeAutospacing="1" w:after="100" w:afterAutospacing="1"/>
        <w:jc w:val="both"/>
        <w:rPr>
          <w:rFonts w:ascii="Calibri" w:hAnsi="Calibri" w:cs="Calibri"/>
        </w:rPr>
      </w:pPr>
      <w:r w:rsidRPr="00BD44A1">
        <w:rPr>
          <w:rFonts w:ascii="Calibri" w:hAnsi="Calibri" w:cs="Calibri"/>
        </w:rPr>
        <w:t>Private consumption grew rapidly during 2024 (an average growth rate of 4.3</w:t>
      </w:r>
      <w:r w:rsidR="00FD35C7" w:rsidRPr="00BD44A1">
        <w:rPr>
          <w:rFonts w:ascii="Calibri" w:hAnsi="Calibri" w:cs="Calibri"/>
        </w:rPr>
        <w:t xml:space="preserve"> percent</w:t>
      </w:r>
      <w:r w:rsidRPr="00BD44A1">
        <w:rPr>
          <w:rFonts w:ascii="Calibri" w:hAnsi="Calibri" w:cs="Calibri"/>
        </w:rPr>
        <w:t xml:space="preserve"> from the third quarter of 2023 to the fourth quarter of 2024</w:t>
      </w:r>
      <w:r w:rsidR="00A13295" w:rsidRPr="00BD44A1">
        <w:rPr>
          <w:rFonts w:ascii="Calibri" w:hAnsi="Calibri" w:cs="Calibri"/>
        </w:rPr>
        <w:t xml:space="preserve"> in annual terms</w:t>
      </w:r>
      <w:r w:rsidRPr="00BD44A1">
        <w:rPr>
          <w:rFonts w:ascii="Calibri" w:hAnsi="Calibri" w:cs="Calibri"/>
        </w:rPr>
        <w:t>), and we estimate that it will grow at a more moderate pace within the forecast period (approximately 3.5</w:t>
      </w:r>
      <w:r w:rsidR="00FD35C7" w:rsidRPr="00BD44A1">
        <w:rPr>
          <w:rFonts w:ascii="Calibri" w:hAnsi="Calibri" w:cs="Calibri"/>
        </w:rPr>
        <w:t xml:space="preserve"> percent</w:t>
      </w:r>
      <w:r w:rsidRPr="00BD44A1">
        <w:rPr>
          <w:rFonts w:ascii="Calibri" w:hAnsi="Calibri" w:cs="Calibri"/>
        </w:rPr>
        <w:t xml:space="preserve"> growth from the fourth quarter of 2024 to the fourth quarter of 2025, and about 4</w:t>
      </w:r>
      <w:r w:rsidR="00FD35C7" w:rsidRPr="00BD44A1">
        <w:rPr>
          <w:rFonts w:ascii="Calibri" w:hAnsi="Calibri" w:cs="Calibri"/>
        </w:rPr>
        <w:t xml:space="preserve"> percent</w:t>
      </w:r>
      <w:r w:rsidRPr="00BD44A1">
        <w:rPr>
          <w:rFonts w:ascii="Calibri" w:hAnsi="Calibri" w:cs="Calibri"/>
        </w:rPr>
        <w:t xml:space="preserve"> growth from the fourth quarter of 2025 to the fourth quarter of 2026). The demand for private consumption is expected to moderate due to the tax increases approved by the government and the Knesset. Additionally, it is expected to moderate in light of the decline in </w:t>
      </w:r>
      <w:r w:rsidR="00FD35C7" w:rsidRPr="00BD44A1">
        <w:rPr>
          <w:rFonts w:ascii="Calibri" w:hAnsi="Calibri" w:cs="Calibri"/>
        </w:rPr>
        <w:t xml:space="preserve">the value of </w:t>
      </w:r>
      <w:r w:rsidRPr="00BD44A1">
        <w:rPr>
          <w:rFonts w:ascii="Calibri" w:hAnsi="Calibri" w:cs="Calibri"/>
        </w:rPr>
        <w:t>the public</w:t>
      </w:r>
      <w:r w:rsidR="0086132E" w:rsidRPr="00BD44A1">
        <w:rPr>
          <w:rFonts w:ascii="Calibri" w:hAnsi="Calibri" w:cs="Calibri"/>
        </w:rPr>
        <w:t>’</w:t>
      </w:r>
      <w:r w:rsidRPr="00BD44A1">
        <w:rPr>
          <w:rFonts w:ascii="Calibri" w:hAnsi="Calibri" w:cs="Calibri"/>
        </w:rPr>
        <w:t>s asset portfolio</w:t>
      </w:r>
      <w:r w:rsidR="00FD35C7" w:rsidRPr="00BD44A1">
        <w:rPr>
          <w:rFonts w:ascii="Calibri" w:hAnsi="Calibri" w:cs="Calibri"/>
        </w:rPr>
        <w:t xml:space="preserve"> </w:t>
      </w:r>
      <w:r w:rsidRPr="00BD44A1">
        <w:rPr>
          <w:rFonts w:ascii="Calibri" w:hAnsi="Calibri" w:cs="Calibri"/>
        </w:rPr>
        <w:t>following the intensification of the trade war, although this decline came after a significant increase in the portfolio</w:t>
      </w:r>
      <w:r w:rsidR="0086132E" w:rsidRPr="00BD44A1">
        <w:rPr>
          <w:rFonts w:ascii="Calibri" w:hAnsi="Calibri" w:cs="Calibri"/>
        </w:rPr>
        <w:t>’</w:t>
      </w:r>
      <w:r w:rsidR="00FD35C7" w:rsidRPr="00BD44A1">
        <w:rPr>
          <w:rFonts w:ascii="Calibri" w:hAnsi="Calibri" w:cs="Calibri"/>
        </w:rPr>
        <w:t>s</w:t>
      </w:r>
      <w:r w:rsidRPr="00BD44A1">
        <w:rPr>
          <w:rFonts w:ascii="Calibri" w:hAnsi="Calibri" w:cs="Calibri"/>
        </w:rPr>
        <w:t xml:space="preserve"> value, including housing prices.</w:t>
      </w:r>
    </w:p>
    <w:p w14:paraId="2344F867" w14:textId="306A6B3C" w:rsidR="002F4ECB" w:rsidRPr="00BD44A1" w:rsidRDefault="002F4ECB" w:rsidP="0086132E">
      <w:pPr>
        <w:bidi w:val="0"/>
        <w:spacing w:before="100" w:beforeAutospacing="1" w:after="100" w:afterAutospacing="1"/>
        <w:jc w:val="both"/>
        <w:rPr>
          <w:rFonts w:ascii="Calibri" w:hAnsi="Calibri" w:cs="Calibri"/>
        </w:rPr>
      </w:pPr>
      <w:r w:rsidRPr="00BD44A1">
        <w:rPr>
          <w:rFonts w:ascii="Calibri" w:hAnsi="Calibri" w:cs="Calibri"/>
        </w:rPr>
        <w:t>Regarding exports, we estimate that goods exports to the United States, which constitute about 13</w:t>
      </w:r>
      <w:r w:rsidR="00FD35C7" w:rsidRPr="00BD44A1">
        <w:rPr>
          <w:rFonts w:ascii="Calibri" w:hAnsi="Calibri" w:cs="Calibri"/>
        </w:rPr>
        <w:t xml:space="preserve"> percent</w:t>
      </w:r>
      <w:r w:rsidRPr="00BD44A1">
        <w:rPr>
          <w:rFonts w:ascii="Calibri" w:hAnsi="Calibri" w:cs="Calibri"/>
        </w:rPr>
        <w:t xml:space="preserve"> of total goods and services exports, will be significantly affected by the tariffs imposed by the US administration. Additionally, other export components will be adversely affected by the impact on global trade. These negative effects are expected to be somewhat offset by a gradual improvement we anticipate in the tourism </w:t>
      </w:r>
      <w:r w:rsidR="00FD35C7" w:rsidRPr="00BD44A1">
        <w:rPr>
          <w:rFonts w:ascii="Calibri" w:hAnsi="Calibri" w:cs="Calibri"/>
        </w:rPr>
        <w:t>industry</w:t>
      </w:r>
      <w:r w:rsidRPr="00BD44A1">
        <w:rPr>
          <w:rFonts w:ascii="Calibri" w:hAnsi="Calibri" w:cs="Calibri"/>
        </w:rPr>
        <w:t xml:space="preserve"> and an increase in demand for defense exports.</w:t>
      </w:r>
    </w:p>
    <w:p w14:paraId="27FA3B7F" w14:textId="4F145580" w:rsidR="002F4ECB" w:rsidRPr="00BD44A1" w:rsidRDefault="002F4ECB" w:rsidP="0086132E">
      <w:pPr>
        <w:bidi w:val="0"/>
        <w:spacing w:before="100" w:beforeAutospacing="1" w:after="100" w:afterAutospacing="1"/>
        <w:jc w:val="both"/>
        <w:rPr>
          <w:rFonts w:ascii="Calibri" w:hAnsi="Calibri" w:cs="Calibri"/>
        </w:rPr>
      </w:pPr>
      <w:r w:rsidRPr="00BD44A1">
        <w:rPr>
          <w:rFonts w:ascii="Calibri" w:hAnsi="Calibri" w:cs="Calibri"/>
        </w:rPr>
        <w:lastRenderedPageBreak/>
        <w:t>Public consumption is expected to converge from above to its long-term trend, given the expected dec</w:t>
      </w:r>
      <w:r w:rsidR="00FD35C7" w:rsidRPr="00BD44A1">
        <w:rPr>
          <w:rFonts w:ascii="Calibri" w:hAnsi="Calibri" w:cs="Calibri"/>
        </w:rPr>
        <w:t>lin</w:t>
      </w:r>
      <w:r w:rsidRPr="00BD44A1">
        <w:rPr>
          <w:rFonts w:ascii="Calibri" w:hAnsi="Calibri" w:cs="Calibri"/>
        </w:rPr>
        <w:t>e in war-related expenditures. The unemployment rate is expected to rise slightly from its current level due to the anticipated recovery in the labor supply and the moderation in demand for private consumption and exports.</w:t>
      </w:r>
    </w:p>
    <w:p w14:paraId="18D0C4BB" w14:textId="21247C81" w:rsidR="00FD35C7" w:rsidRPr="00BD44A1" w:rsidRDefault="00FD35C7" w:rsidP="0086132E">
      <w:pPr>
        <w:pStyle w:val="NormalWeb"/>
        <w:jc w:val="both"/>
        <w:rPr>
          <w:rFonts w:ascii="Calibri" w:hAnsi="Calibri" w:cs="Calibri"/>
        </w:rPr>
      </w:pPr>
      <w:r w:rsidRPr="00BD44A1">
        <w:rPr>
          <w:rFonts w:ascii="Calibri" w:hAnsi="Calibri" w:cs="Calibri"/>
          <w:b/>
          <w:bCs/>
        </w:rPr>
        <w:t>The state budget deficit is expected to be 4.2 percent of GDP in 2025 and 2.9 percent of GDP in 2026. Public debt is projected to be 69 percent of GDP in 2025 and 68 percent of GDP in 2026.</w:t>
      </w:r>
      <w:r w:rsidRPr="00BD44A1">
        <w:rPr>
          <w:rFonts w:ascii="Calibri" w:hAnsi="Calibri" w:cs="Calibri"/>
        </w:rPr>
        <w:t xml:space="preserve"> This forecast includes the convergence measures approved by the Knesset as part of the 2025 budget and the Economic Arrangements Law, and it also takes into account the additional defense budget allocations recommended by the Nagel Committee for examination of the defense budget and force building.</w:t>
      </w:r>
    </w:p>
    <w:p w14:paraId="1C17F308" w14:textId="7CA5EB33" w:rsidR="00FD35C7" w:rsidRPr="00BD44A1" w:rsidRDefault="00FD35C7" w:rsidP="0086132E">
      <w:pPr>
        <w:pStyle w:val="NormalWeb"/>
        <w:jc w:val="both"/>
        <w:rPr>
          <w:rFonts w:ascii="Calibri" w:hAnsi="Calibri" w:cs="Calibri"/>
        </w:rPr>
      </w:pPr>
      <w:r w:rsidRPr="00BD44A1">
        <w:rPr>
          <w:rFonts w:ascii="Calibri" w:hAnsi="Calibri" w:cs="Calibri"/>
        </w:rPr>
        <w:t>Similar to the January forecast, the current forecast reflects a decrease in defense spending with the conclusion of the temporary war expenditures required in 2025 to replenish stocks and restore military readiness, alongside an increase in the baseline defense budget for the new force building plan. Concurrently, we estimate that the burden of interest payments will continue to rise and that civilian expenditure in GDP</w:t>
      </w:r>
      <w:r w:rsidR="000A661B" w:rsidRPr="00BD44A1">
        <w:rPr>
          <w:rFonts w:ascii="Calibri" w:hAnsi="Calibri" w:cs="Calibri"/>
        </w:rPr>
        <w:t xml:space="preserve"> terms</w:t>
      </w:r>
      <w:r w:rsidRPr="00BD44A1">
        <w:rPr>
          <w:rFonts w:ascii="Calibri" w:hAnsi="Calibri" w:cs="Calibri"/>
        </w:rPr>
        <w:t xml:space="preserve"> will remain stable within the forecast period.</w:t>
      </w:r>
    </w:p>
    <w:p w14:paraId="5DD33D1E" w14:textId="77E093AC" w:rsidR="00FD35C7" w:rsidRPr="00BD44A1" w:rsidRDefault="00FD35C7" w:rsidP="00A13295">
      <w:pPr>
        <w:pStyle w:val="NormalWeb"/>
        <w:jc w:val="both"/>
        <w:rPr>
          <w:rFonts w:ascii="Calibri" w:hAnsi="Calibri" w:cs="Calibri"/>
        </w:rPr>
      </w:pPr>
      <w:r w:rsidRPr="00BD44A1">
        <w:rPr>
          <w:rFonts w:ascii="Calibri" w:hAnsi="Calibri" w:cs="Calibri"/>
        </w:rPr>
        <w:t>The forecast reflects higher revenues following the implementation of the accrued profits tax at the beginning of 2025, exceeding what was incorporated in the previous forecast. Additionally, the 2026 forecast includes one-</w:t>
      </w:r>
      <w:r w:rsidR="000A661B" w:rsidRPr="00BD44A1">
        <w:rPr>
          <w:rFonts w:ascii="Calibri" w:hAnsi="Calibri" w:cs="Calibri"/>
        </w:rPr>
        <w:t>off</w:t>
      </w:r>
      <w:r w:rsidRPr="00BD44A1">
        <w:rPr>
          <w:rFonts w:ascii="Calibri" w:hAnsi="Calibri" w:cs="Calibri"/>
        </w:rPr>
        <w:t xml:space="preserve"> revenues expected from the sale of Wiz.</w:t>
      </w:r>
    </w:p>
    <w:p w14:paraId="0062872D" w14:textId="77777777" w:rsidR="002F4ECB" w:rsidRPr="00BD44A1" w:rsidRDefault="002F4ECB" w:rsidP="0086132E">
      <w:pPr>
        <w:bidi w:val="0"/>
        <w:jc w:val="both"/>
        <w:rPr>
          <w:rFonts w:ascii="Calibri" w:hAnsi="Calibri" w:cs="Calibri"/>
          <w:highlight w:val="yellow"/>
        </w:rPr>
      </w:pPr>
    </w:p>
    <w:p w14:paraId="2A7CBC84" w14:textId="77777777" w:rsidR="00A21D01" w:rsidRPr="00BD44A1" w:rsidRDefault="00A21D01" w:rsidP="0086132E">
      <w:pPr>
        <w:numPr>
          <w:ilvl w:val="0"/>
          <w:numId w:val="9"/>
        </w:numPr>
        <w:bidi w:val="0"/>
        <w:spacing w:line="360" w:lineRule="auto"/>
        <w:ind w:left="357" w:hanging="357"/>
        <w:jc w:val="both"/>
        <w:rPr>
          <w:rFonts w:ascii="Calibri" w:hAnsi="Calibri" w:cs="Calibri"/>
          <w:b/>
          <w:bCs/>
        </w:rPr>
      </w:pPr>
      <w:r w:rsidRPr="00BD44A1">
        <w:rPr>
          <w:rFonts w:ascii="Calibri" w:hAnsi="Calibri" w:cs="Calibri"/>
          <w:b/>
          <w:bCs/>
        </w:rPr>
        <w:t xml:space="preserve">Inflation and interest rates </w:t>
      </w:r>
    </w:p>
    <w:p w14:paraId="1E251AFB" w14:textId="27EE4F9D" w:rsidR="000A661B" w:rsidRPr="00BD44A1" w:rsidRDefault="000A661B" w:rsidP="00A13295">
      <w:pPr>
        <w:pStyle w:val="NormalWeb"/>
        <w:jc w:val="both"/>
        <w:rPr>
          <w:rFonts w:ascii="Calibri" w:hAnsi="Calibri" w:cs="Calibri"/>
        </w:rPr>
      </w:pPr>
      <w:r w:rsidRPr="00BD44A1">
        <w:rPr>
          <w:rFonts w:ascii="Calibri" w:hAnsi="Calibri" w:cs="Calibri"/>
          <w:b/>
          <w:bCs/>
        </w:rPr>
        <w:t xml:space="preserve">The inflation rate over the four quarters ending in the first quarter of 2026 is expected to be 2.5 percent (Table 2). For the year 2025, it is projected to be 2.6 percent, and for 2026, it is expected to be 2.2 percent </w:t>
      </w:r>
      <w:r w:rsidRPr="00BD44A1">
        <w:rPr>
          <w:rFonts w:ascii="Calibri" w:hAnsi="Calibri" w:cs="Calibri"/>
        </w:rPr>
        <w:t xml:space="preserve">(Table 1). During the forecast period, we anticipate an easing of supply-side constraints in the domestic economy alongside a moderation in demand for private </w:t>
      </w:r>
      <w:r w:rsidR="00F647DE" w:rsidRPr="00BD44A1">
        <w:rPr>
          <w:rFonts w:ascii="Calibri" w:hAnsi="Calibri" w:cs="Calibri"/>
        </w:rPr>
        <w:t xml:space="preserve">and public </w:t>
      </w:r>
      <w:r w:rsidRPr="00BD44A1">
        <w:rPr>
          <w:rFonts w:ascii="Calibri" w:hAnsi="Calibri" w:cs="Calibri"/>
        </w:rPr>
        <w:t>consumption, which will lead to a continued moderation of inflation. The forecast has been influenced by price indices received since the previous forecast was published in January, which were cumulatively lower than our estimates. The decline in oil prices also contributed to a downward revision of the forecast, although this effect was offset by the rise in inflation forecasts in advanced economies. Since the previous forecast was published, the exchange rate has been volatile, with the shekel appreciating at the beginning of the period and subsequently depreciating</w:t>
      </w:r>
      <w:r w:rsidR="00040BB4" w:rsidRPr="00BD44A1">
        <w:rPr>
          <w:rFonts w:ascii="Calibri" w:hAnsi="Calibri" w:cs="Calibri"/>
        </w:rPr>
        <w:t>.</w:t>
      </w:r>
      <w:r w:rsidRPr="00BD44A1">
        <w:rPr>
          <w:rFonts w:ascii="Calibri" w:hAnsi="Calibri" w:cs="Calibri"/>
        </w:rPr>
        <w:t xml:space="preserve"> </w:t>
      </w:r>
      <w:r w:rsidR="00A13295" w:rsidRPr="00BD44A1">
        <w:rPr>
          <w:rFonts w:ascii="Calibri" w:hAnsi="Calibri" w:cs="Calibri"/>
        </w:rPr>
        <w:t>This contributed to</w:t>
      </w:r>
      <w:r w:rsidRPr="00BD44A1">
        <w:rPr>
          <w:rFonts w:ascii="Calibri" w:hAnsi="Calibri" w:cs="Calibri"/>
        </w:rPr>
        <w:t xml:space="preserve"> a slight upward revision of the forecast overall.</w:t>
      </w:r>
    </w:p>
    <w:p w14:paraId="1088C79C" w14:textId="59DF50FA" w:rsidR="000A661B" w:rsidRPr="00BD44A1" w:rsidRDefault="000A661B" w:rsidP="0086132E">
      <w:pPr>
        <w:pStyle w:val="NormalWeb"/>
        <w:jc w:val="both"/>
        <w:rPr>
          <w:rFonts w:ascii="Calibri" w:hAnsi="Calibri" w:cs="Calibri"/>
        </w:rPr>
      </w:pPr>
      <w:r w:rsidRPr="00BD44A1">
        <w:rPr>
          <w:rFonts w:ascii="Calibri" w:hAnsi="Calibri" w:cs="Calibri"/>
          <w:b/>
          <w:bCs/>
        </w:rPr>
        <w:t>The interest rate is expected to average 4.0 percent in the first quarter of 2026</w:t>
      </w:r>
      <w:r w:rsidRPr="00BD44A1">
        <w:rPr>
          <w:rFonts w:ascii="Calibri" w:hAnsi="Calibri" w:cs="Calibri"/>
        </w:rPr>
        <w:t xml:space="preserve"> (Table 2). This forecast reflects a gradual reduction in the interest rate from its current level to support the convergence of inflation to the target, while adjusting aggregate demand to supply, which is expected to recover gradually.</w:t>
      </w:r>
    </w:p>
    <w:p w14:paraId="6A5E5687" w14:textId="5939E8A1" w:rsidR="000A661B" w:rsidRPr="00BD44A1" w:rsidRDefault="000A661B" w:rsidP="0086132E">
      <w:pPr>
        <w:pStyle w:val="NormalWeb"/>
        <w:jc w:val="both"/>
        <w:rPr>
          <w:rFonts w:ascii="Calibri" w:hAnsi="Calibri" w:cs="Calibri"/>
        </w:rPr>
      </w:pPr>
      <w:r w:rsidRPr="00BD44A1">
        <w:rPr>
          <w:rFonts w:ascii="Calibri" w:hAnsi="Calibri" w:cs="Calibri"/>
        </w:rPr>
        <w:t xml:space="preserve">Table 2 </w:t>
      </w:r>
      <w:r w:rsidR="00F93D9D" w:rsidRPr="00BD44A1">
        <w:rPr>
          <w:rFonts w:ascii="Calibri" w:hAnsi="Calibri" w:cs="Calibri"/>
        </w:rPr>
        <w:t>shows</w:t>
      </w:r>
      <w:r w:rsidRPr="00BD44A1">
        <w:rPr>
          <w:rFonts w:ascii="Calibri" w:hAnsi="Calibri" w:cs="Calibri"/>
        </w:rPr>
        <w:t xml:space="preserve"> that the Research Department</w:t>
      </w:r>
      <w:r w:rsidR="0086132E" w:rsidRPr="00BD44A1">
        <w:rPr>
          <w:rFonts w:ascii="Calibri" w:hAnsi="Calibri" w:cs="Calibri"/>
        </w:rPr>
        <w:t>’</w:t>
      </w:r>
      <w:r w:rsidRPr="00BD44A1">
        <w:rPr>
          <w:rFonts w:ascii="Calibri" w:hAnsi="Calibri" w:cs="Calibri"/>
        </w:rPr>
        <w:t>s inflation forecast for the next four quarters is similar to the private forecasters</w:t>
      </w:r>
      <w:r w:rsidR="0086132E" w:rsidRPr="00BD44A1">
        <w:rPr>
          <w:rFonts w:ascii="Calibri" w:hAnsi="Calibri" w:cs="Calibri"/>
        </w:rPr>
        <w:t>’</w:t>
      </w:r>
      <w:r w:rsidRPr="00BD44A1">
        <w:rPr>
          <w:rFonts w:ascii="Calibri" w:hAnsi="Calibri" w:cs="Calibri"/>
        </w:rPr>
        <w:t xml:space="preserve"> average projections and higher than the forecast derived from the capital market. The Department</w:t>
      </w:r>
      <w:r w:rsidR="0086132E" w:rsidRPr="00BD44A1">
        <w:rPr>
          <w:rFonts w:ascii="Calibri" w:hAnsi="Calibri" w:cs="Calibri"/>
        </w:rPr>
        <w:t>’</w:t>
      </w:r>
      <w:r w:rsidRPr="00BD44A1">
        <w:rPr>
          <w:rFonts w:ascii="Calibri" w:hAnsi="Calibri" w:cs="Calibri"/>
        </w:rPr>
        <w:t xml:space="preserve">s interest rate forecast for four quarters ahead is </w:t>
      </w:r>
      <w:r w:rsidRPr="00BD44A1">
        <w:rPr>
          <w:rFonts w:ascii="Calibri" w:hAnsi="Calibri" w:cs="Calibri"/>
        </w:rPr>
        <w:lastRenderedPageBreak/>
        <w:t>similar to the expectations derived from the capital market and slightly higher than the private forecasters</w:t>
      </w:r>
      <w:r w:rsidR="0086132E" w:rsidRPr="00BD44A1">
        <w:rPr>
          <w:rFonts w:ascii="Calibri" w:hAnsi="Calibri" w:cs="Calibri"/>
        </w:rPr>
        <w:t>’</w:t>
      </w:r>
      <w:r w:rsidRPr="00BD44A1">
        <w:rPr>
          <w:rFonts w:ascii="Calibri" w:hAnsi="Calibri" w:cs="Calibri"/>
        </w:rPr>
        <w:t xml:space="preserve"> average projections.</w:t>
      </w:r>
    </w:p>
    <w:p w14:paraId="727FCDD7" w14:textId="77777777" w:rsidR="000A661B" w:rsidRPr="00BD44A1" w:rsidRDefault="000A661B" w:rsidP="000A661B">
      <w:pPr>
        <w:bidi w:val="0"/>
        <w:jc w:val="both"/>
        <w:rPr>
          <w:rFonts w:ascii="Calibri" w:hAnsi="Calibri" w:cs="Calibri"/>
          <w:b/>
          <w:bCs/>
        </w:rPr>
      </w:pPr>
    </w:p>
    <w:p w14:paraId="367091CB" w14:textId="77777777" w:rsidR="000A661B" w:rsidRPr="00BD44A1" w:rsidRDefault="000A661B" w:rsidP="000A661B">
      <w:pPr>
        <w:bidi w:val="0"/>
        <w:jc w:val="both"/>
        <w:rPr>
          <w:rFonts w:ascii="Calibri" w:hAnsi="Calibri" w:cs="Calibri"/>
          <w:b/>
          <w:bCs/>
        </w:rPr>
      </w:pPr>
    </w:p>
    <w:tbl>
      <w:tblPr>
        <w:tblW w:w="8233" w:type="dxa"/>
        <w:tblInd w:w="93" w:type="dxa"/>
        <w:tblLook w:val="04A0" w:firstRow="1" w:lastRow="0" w:firstColumn="1" w:lastColumn="0" w:noHBand="0" w:noVBand="1"/>
      </w:tblPr>
      <w:tblGrid>
        <w:gridCol w:w="2480"/>
        <w:gridCol w:w="2094"/>
        <w:gridCol w:w="1540"/>
        <w:gridCol w:w="2119"/>
      </w:tblGrid>
      <w:tr w:rsidR="00A21D01" w:rsidRPr="00BD44A1" w14:paraId="27357736" w14:textId="77777777" w:rsidTr="00211EF7">
        <w:trPr>
          <w:trHeight w:val="316"/>
          <w:tblHeader/>
        </w:trPr>
        <w:tc>
          <w:tcPr>
            <w:tcW w:w="8233" w:type="dxa"/>
            <w:gridSpan w:val="4"/>
            <w:tcBorders>
              <w:top w:val="nil"/>
              <w:left w:val="nil"/>
              <w:bottom w:val="nil"/>
              <w:right w:val="nil"/>
            </w:tcBorders>
            <w:shd w:val="clear" w:color="000000" w:fill="FFFFFF"/>
            <w:noWrap/>
            <w:vAlign w:val="center"/>
            <w:hideMark/>
          </w:tcPr>
          <w:p w14:paraId="32C0BD93" w14:textId="77777777" w:rsidR="00A21D01" w:rsidRPr="00BD44A1" w:rsidRDefault="002945D2" w:rsidP="00014365">
            <w:pPr>
              <w:bidi w:val="0"/>
              <w:rPr>
                <w:rFonts w:ascii="Calibri" w:hAnsi="Calibri" w:cs="Calibri"/>
                <w:b/>
                <w:bCs/>
                <w:color w:val="0070C0"/>
              </w:rPr>
            </w:pPr>
            <w:r w:rsidRPr="00BD44A1">
              <w:rPr>
                <w:rFonts w:ascii="Calibri" w:hAnsi="Calibri" w:cs="Calibri"/>
                <w:color w:val="0070C0"/>
              </w:rPr>
              <w:br w:type="page"/>
            </w:r>
            <w:r w:rsidR="00A21D01" w:rsidRPr="00BD44A1">
              <w:rPr>
                <w:rFonts w:ascii="Calibri" w:hAnsi="Calibri" w:cs="Calibri"/>
                <w:b/>
                <w:bCs/>
                <w:color w:val="0070C0"/>
              </w:rPr>
              <w:t xml:space="preserve">Table </w:t>
            </w:r>
            <w:r w:rsidR="00E718CD" w:rsidRPr="00BD44A1">
              <w:rPr>
                <w:rFonts w:ascii="Calibri" w:hAnsi="Calibri" w:cs="Calibri"/>
                <w:b/>
                <w:bCs/>
                <w:color w:val="0070C0"/>
              </w:rPr>
              <w:t>2</w:t>
            </w:r>
          </w:p>
        </w:tc>
      </w:tr>
      <w:tr w:rsidR="00A21D01" w:rsidRPr="00BD44A1" w14:paraId="1652CD54" w14:textId="77777777" w:rsidTr="00211EF7">
        <w:trPr>
          <w:trHeight w:val="316"/>
          <w:tblHeader/>
        </w:trPr>
        <w:tc>
          <w:tcPr>
            <w:tcW w:w="8233" w:type="dxa"/>
            <w:gridSpan w:val="4"/>
            <w:tcBorders>
              <w:top w:val="nil"/>
              <w:left w:val="nil"/>
              <w:bottom w:val="nil"/>
              <w:right w:val="nil"/>
            </w:tcBorders>
            <w:shd w:val="clear" w:color="000000" w:fill="FFFFFF"/>
            <w:noWrap/>
            <w:vAlign w:val="center"/>
            <w:hideMark/>
          </w:tcPr>
          <w:p w14:paraId="492B1F0B" w14:textId="77777777" w:rsidR="00A21D01" w:rsidRPr="00BD44A1" w:rsidRDefault="00453D2B" w:rsidP="00D62B59">
            <w:pPr>
              <w:bidi w:val="0"/>
              <w:rPr>
                <w:rFonts w:ascii="Calibri" w:hAnsi="Calibri" w:cs="Calibri"/>
                <w:b/>
                <w:bCs/>
                <w:color w:val="0070C0"/>
              </w:rPr>
            </w:pPr>
            <w:r w:rsidRPr="00BD44A1">
              <w:rPr>
                <w:rFonts w:ascii="Calibri" w:hAnsi="Calibri" w:cs="Calibri"/>
                <w:b/>
                <w:bCs/>
                <w:color w:val="0070C0"/>
              </w:rPr>
              <w:t>I</w:t>
            </w:r>
            <w:r w:rsidR="00A21D01" w:rsidRPr="00BD44A1">
              <w:rPr>
                <w:rFonts w:ascii="Calibri" w:hAnsi="Calibri" w:cs="Calibri"/>
                <w:b/>
                <w:bCs/>
                <w:color w:val="0070C0"/>
              </w:rPr>
              <w:t xml:space="preserve">nflation </w:t>
            </w:r>
            <w:r w:rsidRPr="00BD44A1">
              <w:rPr>
                <w:rFonts w:ascii="Calibri" w:hAnsi="Calibri" w:cs="Calibri"/>
                <w:b/>
                <w:bCs/>
                <w:color w:val="0070C0"/>
              </w:rPr>
              <w:t xml:space="preserve">forecast </w:t>
            </w:r>
            <w:r w:rsidR="00A21D01" w:rsidRPr="00BD44A1">
              <w:rPr>
                <w:rFonts w:ascii="Calibri" w:hAnsi="Calibri" w:cs="Calibri"/>
                <w:b/>
                <w:bCs/>
                <w:color w:val="0070C0"/>
              </w:rPr>
              <w:t>for the coming year</w:t>
            </w:r>
            <w:r w:rsidR="00D62B59" w:rsidRPr="00BD44A1">
              <w:rPr>
                <w:rFonts w:ascii="Calibri" w:hAnsi="Calibri" w:cs="Calibri"/>
                <w:b/>
                <w:bCs/>
                <w:color w:val="0070C0"/>
              </w:rPr>
              <w:t xml:space="preserve"> and interest rate forecast for one year from now</w:t>
            </w:r>
          </w:p>
        </w:tc>
      </w:tr>
      <w:tr w:rsidR="00A21D01" w:rsidRPr="00BD44A1" w14:paraId="50D36D97" w14:textId="77777777" w:rsidTr="00211EF7">
        <w:trPr>
          <w:trHeight w:val="316"/>
          <w:tblHeader/>
        </w:trPr>
        <w:tc>
          <w:tcPr>
            <w:tcW w:w="8233" w:type="dxa"/>
            <w:gridSpan w:val="4"/>
            <w:tcBorders>
              <w:top w:val="nil"/>
              <w:left w:val="nil"/>
              <w:bottom w:val="single" w:sz="4" w:space="0" w:color="auto"/>
              <w:right w:val="nil"/>
            </w:tcBorders>
            <w:shd w:val="clear" w:color="000000" w:fill="FFFFFF"/>
            <w:noWrap/>
            <w:vAlign w:val="center"/>
            <w:hideMark/>
          </w:tcPr>
          <w:p w14:paraId="019BCB50" w14:textId="77777777" w:rsidR="00A21D01" w:rsidRPr="00BD44A1" w:rsidRDefault="00A21D01" w:rsidP="00211EF7">
            <w:pPr>
              <w:bidi w:val="0"/>
              <w:jc w:val="right"/>
              <w:rPr>
                <w:rFonts w:ascii="Calibri" w:hAnsi="Calibri" w:cs="Calibri"/>
                <w:color w:val="0070C0"/>
                <w:sz w:val="22"/>
                <w:szCs w:val="22"/>
              </w:rPr>
            </w:pPr>
            <w:r w:rsidRPr="00BD44A1">
              <w:rPr>
                <w:rFonts w:ascii="Calibri" w:hAnsi="Calibri" w:cs="Calibri"/>
                <w:color w:val="0070C0"/>
                <w:sz w:val="22"/>
                <w:szCs w:val="22"/>
              </w:rPr>
              <w:t>(percent)</w:t>
            </w:r>
          </w:p>
        </w:tc>
      </w:tr>
      <w:tr w:rsidR="00A21D01" w:rsidRPr="00BD44A1" w14:paraId="6F08B337" w14:textId="77777777" w:rsidTr="0044397B">
        <w:trPr>
          <w:trHeight w:val="683"/>
          <w:tblHeader/>
        </w:trPr>
        <w:tc>
          <w:tcPr>
            <w:tcW w:w="2480" w:type="dxa"/>
            <w:tcBorders>
              <w:top w:val="nil"/>
              <w:left w:val="nil"/>
              <w:bottom w:val="nil"/>
              <w:right w:val="nil"/>
            </w:tcBorders>
            <w:shd w:val="clear" w:color="000000" w:fill="FFFFFF"/>
            <w:vAlign w:val="center"/>
            <w:hideMark/>
          </w:tcPr>
          <w:p w14:paraId="5A20162B" w14:textId="77777777" w:rsidR="00A21D01" w:rsidRPr="00BD44A1" w:rsidRDefault="00A21D01" w:rsidP="0044397B">
            <w:pPr>
              <w:bidi w:val="0"/>
              <w:jc w:val="center"/>
              <w:rPr>
                <w:rFonts w:ascii="Calibri" w:hAnsi="Calibri" w:cs="Calibri"/>
              </w:rPr>
            </w:pPr>
          </w:p>
        </w:tc>
        <w:tc>
          <w:tcPr>
            <w:tcW w:w="2094" w:type="dxa"/>
            <w:tcBorders>
              <w:top w:val="nil"/>
              <w:left w:val="nil"/>
              <w:bottom w:val="nil"/>
              <w:right w:val="nil"/>
            </w:tcBorders>
            <w:shd w:val="clear" w:color="000000" w:fill="FFFFFF"/>
            <w:vAlign w:val="center"/>
            <w:hideMark/>
          </w:tcPr>
          <w:p w14:paraId="1BFF4C89" w14:textId="32F70915" w:rsidR="00A21D01" w:rsidRPr="00BD44A1" w:rsidRDefault="00A21D01" w:rsidP="0044397B">
            <w:pPr>
              <w:bidi w:val="0"/>
              <w:jc w:val="center"/>
              <w:rPr>
                <w:rFonts w:ascii="Calibri" w:hAnsi="Calibri" w:cs="Calibri"/>
                <w:vertAlign w:val="superscript"/>
              </w:rPr>
            </w:pPr>
            <w:r w:rsidRPr="00BD44A1">
              <w:rPr>
                <w:rFonts w:ascii="Calibri" w:hAnsi="Calibri" w:cs="Calibri"/>
              </w:rPr>
              <w:t xml:space="preserve">Bank of Israel Research </w:t>
            </w:r>
            <w:proofErr w:type="spellStart"/>
            <w:r w:rsidRPr="00BD44A1">
              <w:rPr>
                <w:rFonts w:ascii="Calibri" w:hAnsi="Calibri" w:cs="Calibri"/>
              </w:rPr>
              <w:t>Department</w:t>
            </w:r>
            <w:r w:rsidR="00F93D9D" w:rsidRPr="00BD44A1">
              <w:rPr>
                <w:rFonts w:ascii="Calibri" w:hAnsi="Calibri" w:cs="Calibri"/>
                <w:vertAlign w:val="superscript"/>
              </w:rPr>
              <w:t>a</w:t>
            </w:r>
            <w:proofErr w:type="spellEnd"/>
          </w:p>
        </w:tc>
        <w:tc>
          <w:tcPr>
            <w:tcW w:w="1540" w:type="dxa"/>
            <w:tcBorders>
              <w:top w:val="nil"/>
              <w:left w:val="nil"/>
              <w:bottom w:val="nil"/>
              <w:right w:val="nil"/>
            </w:tcBorders>
            <w:shd w:val="clear" w:color="000000" w:fill="FFFFFF"/>
            <w:vAlign w:val="center"/>
            <w:hideMark/>
          </w:tcPr>
          <w:p w14:paraId="2C27E03D" w14:textId="20F09656" w:rsidR="00A21D01" w:rsidRPr="00BD44A1" w:rsidRDefault="00A21D01" w:rsidP="0044397B">
            <w:pPr>
              <w:bidi w:val="0"/>
              <w:jc w:val="center"/>
              <w:rPr>
                <w:rFonts w:ascii="Calibri" w:hAnsi="Calibri" w:cs="Calibri"/>
              </w:rPr>
            </w:pPr>
            <w:r w:rsidRPr="00BD44A1">
              <w:rPr>
                <w:rFonts w:ascii="Calibri" w:hAnsi="Calibri" w:cs="Calibri"/>
              </w:rPr>
              <w:t xml:space="preserve">Capital </w:t>
            </w:r>
            <w:proofErr w:type="spellStart"/>
            <w:r w:rsidRPr="00BD44A1">
              <w:rPr>
                <w:rFonts w:ascii="Calibri" w:hAnsi="Calibri" w:cs="Calibri"/>
              </w:rPr>
              <w:t>markets</w:t>
            </w:r>
            <w:r w:rsidR="00F93D9D" w:rsidRPr="00BD44A1">
              <w:rPr>
                <w:rFonts w:ascii="Calibri" w:hAnsi="Calibri" w:cs="Calibri"/>
                <w:vertAlign w:val="superscript"/>
              </w:rPr>
              <w:t>b</w:t>
            </w:r>
            <w:proofErr w:type="spellEnd"/>
          </w:p>
        </w:tc>
        <w:tc>
          <w:tcPr>
            <w:tcW w:w="2119" w:type="dxa"/>
            <w:tcBorders>
              <w:top w:val="nil"/>
              <w:left w:val="nil"/>
              <w:bottom w:val="nil"/>
              <w:right w:val="nil"/>
            </w:tcBorders>
            <w:shd w:val="clear" w:color="000000" w:fill="FFFFFF"/>
            <w:vAlign w:val="center"/>
            <w:hideMark/>
          </w:tcPr>
          <w:p w14:paraId="10D24E0B" w14:textId="02D9E8C6" w:rsidR="00A21D01" w:rsidRPr="00BD44A1" w:rsidRDefault="00A21D01" w:rsidP="0044397B">
            <w:pPr>
              <w:bidi w:val="0"/>
              <w:jc w:val="center"/>
              <w:rPr>
                <w:rFonts w:ascii="Calibri" w:hAnsi="Calibri" w:cs="Calibri"/>
              </w:rPr>
            </w:pPr>
            <w:r w:rsidRPr="00BD44A1">
              <w:rPr>
                <w:rFonts w:ascii="Calibri" w:hAnsi="Calibri" w:cs="Calibri"/>
              </w:rPr>
              <w:t xml:space="preserve">Private </w:t>
            </w:r>
            <w:proofErr w:type="spellStart"/>
            <w:r w:rsidRPr="00BD44A1">
              <w:rPr>
                <w:rFonts w:ascii="Calibri" w:hAnsi="Calibri" w:cs="Calibri"/>
              </w:rPr>
              <w:t>forecasters</w:t>
            </w:r>
            <w:r w:rsidR="00F93D9D" w:rsidRPr="00BD44A1">
              <w:rPr>
                <w:rFonts w:ascii="Calibri" w:hAnsi="Calibri" w:cs="Calibri"/>
                <w:vertAlign w:val="superscript"/>
              </w:rPr>
              <w:t>c</w:t>
            </w:r>
            <w:proofErr w:type="spellEnd"/>
            <w:r w:rsidR="00F93D9D" w:rsidRPr="00BD44A1">
              <w:rPr>
                <w:rFonts w:ascii="Calibri" w:hAnsi="Calibri" w:cs="Calibri"/>
              </w:rPr>
              <w:t xml:space="preserve"> (range of forecasts)</w:t>
            </w:r>
          </w:p>
        </w:tc>
      </w:tr>
      <w:tr w:rsidR="00F53855" w:rsidRPr="00BD44A1" w14:paraId="2A7A5559" w14:textId="77777777" w:rsidTr="00BE556B">
        <w:trPr>
          <w:trHeight w:val="280"/>
          <w:tblHeader/>
        </w:trPr>
        <w:tc>
          <w:tcPr>
            <w:tcW w:w="2480" w:type="dxa"/>
            <w:tcBorders>
              <w:top w:val="single" w:sz="4" w:space="0" w:color="auto"/>
              <w:left w:val="nil"/>
              <w:bottom w:val="nil"/>
              <w:right w:val="nil"/>
            </w:tcBorders>
            <w:shd w:val="clear" w:color="auto" w:fill="auto"/>
            <w:vAlign w:val="center"/>
            <w:hideMark/>
          </w:tcPr>
          <w:p w14:paraId="3BD0402A" w14:textId="54408167" w:rsidR="00F53855" w:rsidRPr="00BD44A1" w:rsidRDefault="00F53855" w:rsidP="00F93D9D">
            <w:pPr>
              <w:bidi w:val="0"/>
              <w:jc w:val="center"/>
              <w:rPr>
                <w:rFonts w:ascii="Calibri" w:hAnsi="Calibri" w:cs="Calibri"/>
              </w:rPr>
            </w:pPr>
            <w:r w:rsidRPr="00BD44A1">
              <w:rPr>
                <w:rFonts w:ascii="Calibri" w:hAnsi="Calibri" w:cs="Calibri"/>
              </w:rPr>
              <w:t>Inflation rate</w:t>
            </w:r>
          </w:p>
        </w:tc>
        <w:tc>
          <w:tcPr>
            <w:tcW w:w="2094" w:type="dxa"/>
            <w:tcBorders>
              <w:top w:val="single" w:sz="4" w:space="0" w:color="auto"/>
              <w:left w:val="nil"/>
              <w:bottom w:val="nil"/>
              <w:right w:val="nil"/>
            </w:tcBorders>
            <w:shd w:val="clear" w:color="auto" w:fill="auto"/>
            <w:vAlign w:val="center"/>
          </w:tcPr>
          <w:p w14:paraId="3F3A5669" w14:textId="3D3A9E9A" w:rsidR="00A2696D" w:rsidRPr="00BD44A1" w:rsidRDefault="00EC32FA" w:rsidP="00F93D9D">
            <w:pPr>
              <w:bidi w:val="0"/>
              <w:jc w:val="center"/>
              <w:rPr>
                <w:rFonts w:ascii="Calibri" w:hAnsi="Calibri" w:cs="Calibri"/>
              </w:rPr>
            </w:pPr>
            <w:r w:rsidRPr="00BD44A1">
              <w:rPr>
                <w:rFonts w:ascii="Calibri" w:hAnsi="Calibri" w:cs="Calibri"/>
              </w:rPr>
              <w:t>2.</w:t>
            </w:r>
            <w:r w:rsidR="00F93D9D" w:rsidRPr="00BD44A1">
              <w:rPr>
                <w:rFonts w:ascii="Calibri" w:hAnsi="Calibri" w:cs="Calibri"/>
              </w:rPr>
              <w:t>5</w:t>
            </w:r>
          </w:p>
        </w:tc>
        <w:tc>
          <w:tcPr>
            <w:tcW w:w="1540" w:type="dxa"/>
            <w:tcBorders>
              <w:top w:val="single" w:sz="4" w:space="0" w:color="auto"/>
              <w:left w:val="nil"/>
              <w:bottom w:val="nil"/>
              <w:right w:val="nil"/>
            </w:tcBorders>
            <w:shd w:val="clear" w:color="auto" w:fill="auto"/>
            <w:vAlign w:val="center"/>
          </w:tcPr>
          <w:p w14:paraId="3C11DB1A" w14:textId="09518D00" w:rsidR="00F53855" w:rsidRPr="00BD44A1" w:rsidRDefault="00F93D9D" w:rsidP="00871F11">
            <w:pPr>
              <w:bidi w:val="0"/>
              <w:jc w:val="center"/>
              <w:rPr>
                <w:rFonts w:ascii="Calibri" w:hAnsi="Calibri" w:cs="Calibri"/>
              </w:rPr>
            </w:pPr>
            <w:r w:rsidRPr="00BD44A1">
              <w:rPr>
                <w:rFonts w:ascii="Calibri" w:hAnsi="Calibri" w:cs="Calibri"/>
              </w:rPr>
              <w:t>1.</w:t>
            </w:r>
            <w:r w:rsidR="00871F11" w:rsidRPr="00BD44A1">
              <w:rPr>
                <w:rFonts w:ascii="Calibri" w:hAnsi="Calibri" w:cs="Calibri"/>
              </w:rPr>
              <w:t>7</w:t>
            </w:r>
          </w:p>
        </w:tc>
        <w:tc>
          <w:tcPr>
            <w:tcW w:w="2119" w:type="dxa"/>
            <w:tcBorders>
              <w:top w:val="single" w:sz="4" w:space="0" w:color="auto"/>
              <w:left w:val="nil"/>
              <w:bottom w:val="nil"/>
              <w:right w:val="nil"/>
            </w:tcBorders>
            <w:shd w:val="clear" w:color="auto" w:fill="auto"/>
            <w:vAlign w:val="center"/>
          </w:tcPr>
          <w:p w14:paraId="140F4FF0" w14:textId="1D3FC17A" w:rsidR="00F53855" w:rsidRPr="00BD44A1" w:rsidRDefault="00EC32FA" w:rsidP="00871F11">
            <w:pPr>
              <w:bidi w:val="0"/>
              <w:jc w:val="center"/>
              <w:rPr>
                <w:rFonts w:ascii="Calibri" w:hAnsi="Calibri" w:cs="Calibri"/>
              </w:rPr>
            </w:pPr>
            <w:r w:rsidRPr="00BD44A1">
              <w:rPr>
                <w:rFonts w:ascii="Calibri" w:hAnsi="Calibri" w:cs="Calibri"/>
              </w:rPr>
              <w:t>2.</w:t>
            </w:r>
            <w:r w:rsidR="00871F11" w:rsidRPr="00BD44A1">
              <w:rPr>
                <w:rFonts w:ascii="Calibri" w:hAnsi="Calibri" w:cs="Calibri"/>
              </w:rPr>
              <w:t>4</w:t>
            </w:r>
          </w:p>
        </w:tc>
      </w:tr>
      <w:tr w:rsidR="00F53855" w:rsidRPr="00BD44A1" w14:paraId="7CA280C5" w14:textId="77777777" w:rsidTr="00BE556B">
        <w:trPr>
          <w:trHeight w:val="281"/>
          <w:tblHeader/>
        </w:trPr>
        <w:tc>
          <w:tcPr>
            <w:tcW w:w="2480" w:type="dxa"/>
            <w:tcBorders>
              <w:top w:val="nil"/>
              <w:left w:val="nil"/>
              <w:bottom w:val="single" w:sz="4" w:space="0" w:color="auto"/>
              <w:right w:val="nil"/>
            </w:tcBorders>
            <w:shd w:val="clear" w:color="auto" w:fill="auto"/>
            <w:vAlign w:val="center"/>
            <w:hideMark/>
          </w:tcPr>
          <w:p w14:paraId="322902C9" w14:textId="77777777" w:rsidR="00F53855" w:rsidRPr="00BD44A1" w:rsidRDefault="00F53855" w:rsidP="0044397B">
            <w:pPr>
              <w:bidi w:val="0"/>
              <w:jc w:val="center"/>
              <w:rPr>
                <w:rFonts w:ascii="Calibri" w:hAnsi="Calibri" w:cs="Calibri"/>
              </w:rPr>
            </w:pPr>
            <w:r w:rsidRPr="00BD44A1">
              <w:rPr>
                <w:rFonts w:ascii="Calibri" w:hAnsi="Calibri" w:cs="Calibri"/>
              </w:rPr>
              <w:t>(range of forecasts)</w:t>
            </w:r>
          </w:p>
        </w:tc>
        <w:tc>
          <w:tcPr>
            <w:tcW w:w="2094" w:type="dxa"/>
            <w:tcBorders>
              <w:top w:val="nil"/>
              <w:left w:val="nil"/>
              <w:bottom w:val="single" w:sz="4" w:space="0" w:color="auto"/>
              <w:right w:val="nil"/>
            </w:tcBorders>
            <w:shd w:val="clear" w:color="auto" w:fill="auto"/>
            <w:vAlign w:val="center"/>
          </w:tcPr>
          <w:p w14:paraId="6A5CAF7C" w14:textId="77777777" w:rsidR="00F53855" w:rsidRPr="00BD44A1" w:rsidRDefault="00F53855" w:rsidP="0044397B">
            <w:pPr>
              <w:bidi w:val="0"/>
              <w:jc w:val="center"/>
              <w:rPr>
                <w:rFonts w:ascii="Calibri" w:hAnsi="Calibri" w:cs="Calibri"/>
              </w:rPr>
            </w:pPr>
          </w:p>
        </w:tc>
        <w:tc>
          <w:tcPr>
            <w:tcW w:w="1540" w:type="dxa"/>
            <w:tcBorders>
              <w:top w:val="nil"/>
              <w:left w:val="nil"/>
              <w:bottom w:val="single" w:sz="4" w:space="0" w:color="auto"/>
              <w:right w:val="nil"/>
            </w:tcBorders>
            <w:shd w:val="clear" w:color="auto" w:fill="auto"/>
            <w:vAlign w:val="center"/>
          </w:tcPr>
          <w:p w14:paraId="00C5196B" w14:textId="77777777" w:rsidR="00F53855" w:rsidRPr="00BD44A1" w:rsidRDefault="00F53855" w:rsidP="0044397B">
            <w:pPr>
              <w:bidi w:val="0"/>
              <w:jc w:val="center"/>
              <w:rPr>
                <w:rFonts w:ascii="Calibri" w:hAnsi="Calibri" w:cs="Calibri"/>
              </w:rPr>
            </w:pPr>
          </w:p>
        </w:tc>
        <w:tc>
          <w:tcPr>
            <w:tcW w:w="2119" w:type="dxa"/>
            <w:tcBorders>
              <w:top w:val="nil"/>
              <w:left w:val="nil"/>
              <w:bottom w:val="nil"/>
              <w:right w:val="nil"/>
            </w:tcBorders>
            <w:shd w:val="clear" w:color="auto" w:fill="auto"/>
            <w:noWrap/>
            <w:vAlign w:val="center"/>
          </w:tcPr>
          <w:p w14:paraId="246CCA88" w14:textId="13BF4566" w:rsidR="00F53855" w:rsidRPr="00BD44A1" w:rsidRDefault="000D5119" w:rsidP="00871F11">
            <w:pPr>
              <w:bidi w:val="0"/>
              <w:jc w:val="center"/>
              <w:rPr>
                <w:rFonts w:ascii="Calibri" w:hAnsi="Calibri" w:cs="Calibri"/>
              </w:rPr>
            </w:pPr>
            <w:r w:rsidRPr="00BD44A1">
              <w:rPr>
                <w:rFonts w:ascii="Calibri" w:hAnsi="Calibri" w:cs="Calibri"/>
              </w:rPr>
              <w:t>(</w:t>
            </w:r>
            <w:r w:rsidR="00871F11" w:rsidRPr="00BD44A1">
              <w:rPr>
                <w:rFonts w:ascii="Calibri" w:hAnsi="Calibri" w:cs="Calibri"/>
              </w:rPr>
              <w:t>2.0</w:t>
            </w:r>
            <w:r w:rsidRPr="00BD44A1">
              <w:rPr>
                <w:rFonts w:ascii="Calibri" w:hAnsi="Calibri" w:cs="Calibri"/>
              </w:rPr>
              <w:t>–3.</w:t>
            </w:r>
            <w:r w:rsidR="00871F11" w:rsidRPr="00BD44A1">
              <w:rPr>
                <w:rFonts w:ascii="Calibri" w:hAnsi="Calibri" w:cs="Calibri"/>
              </w:rPr>
              <w:t>2</w:t>
            </w:r>
            <w:r w:rsidRPr="00BD44A1">
              <w:rPr>
                <w:rFonts w:ascii="Calibri" w:hAnsi="Calibri" w:cs="Calibri"/>
              </w:rPr>
              <w:t>)</w:t>
            </w:r>
          </w:p>
        </w:tc>
      </w:tr>
      <w:tr w:rsidR="00F53855" w:rsidRPr="00BD44A1" w14:paraId="50390345" w14:textId="77777777" w:rsidTr="004C2B26">
        <w:trPr>
          <w:trHeight w:val="274"/>
          <w:tblHeader/>
        </w:trPr>
        <w:tc>
          <w:tcPr>
            <w:tcW w:w="2480" w:type="dxa"/>
            <w:tcBorders>
              <w:top w:val="nil"/>
              <w:left w:val="nil"/>
              <w:bottom w:val="nil"/>
              <w:right w:val="nil"/>
            </w:tcBorders>
            <w:shd w:val="clear" w:color="auto" w:fill="auto"/>
            <w:vAlign w:val="center"/>
            <w:hideMark/>
          </w:tcPr>
          <w:p w14:paraId="01330835" w14:textId="23DB0028" w:rsidR="00F53855" w:rsidRPr="00BD44A1" w:rsidRDefault="00F53855" w:rsidP="00F93D9D">
            <w:pPr>
              <w:bidi w:val="0"/>
              <w:jc w:val="center"/>
              <w:rPr>
                <w:rFonts w:ascii="Calibri" w:hAnsi="Calibri" w:cs="Calibri"/>
              </w:rPr>
            </w:pPr>
            <w:r w:rsidRPr="00BD44A1">
              <w:rPr>
                <w:rFonts w:ascii="Calibri" w:hAnsi="Calibri" w:cs="Calibri"/>
              </w:rPr>
              <w:t>Interest rate</w:t>
            </w:r>
          </w:p>
        </w:tc>
        <w:tc>
          <w:tcPr>
            <w:tcW w:w="2094" w:type="dxa"/>
            <w:tcBorders>
              <w:top w:val="nil"/>
              <w:left w:val="nil"/>
              <w:bottom w:val="nil"/>
              <w:right w:val="nil"/>
            </w:tcBorders>
            <w:shd w:val="clear" w:color="auto" w:fill="auto"/>
            <w:vAlign w:val="center"/>
          </w:tcPr>
          <w:p w14:paraId="1DCE9413" w14:textId="02A67778" w:rsidR="00F53855" w:rsidRPr="00BD44A1" w:rsidRDefault="00505C3E" w:rsidP="00F93D9D">
            <w:pPr>
              <w:bidi w:val="0"/>
              <w:jc w:val="center"/>
              <w:rPr>
                <w:rFonts w:ascii="Calibri" w:hAnsi="Calibri" w:cs="Calibri"/>
              </w:rPr>
            </w:pPr>
            <w:r w:rsidRPr="00BD44A1">
              <w:rPr>
                <w:rFonts w:ascii="Calibri" w:hAnsi="Calibri" w:cs="Calibri"/>
              </w:rPr>
              <w:t>4.0</w:t>
            </w:r>
          </w:p>
        </w:tc>
        <w:tc>
          <w:tcPr>
            <w:tcW w:w="1540" w:type="dxa"/>
            <w:tcBorders>
              <w:top w:val="nil"/>
              <w:left w:val="nil"/>
              <w:bottom w:val="nil"/>
              <w:right w:val="nil"/>
            </w:tcBorders>
            <w:shd w:val="clear" w:color="auto" w:fill="auto"/>
            <w:vAlign w:val="center"/>
          </w:tcPr>
          <w:p w14:paraId="191366EF" w14:textId="372D2D42" w:rsidR="004C2B26" w:rsidRPr="00BD44A1" w:rsidRDefault="00871F11" w:rsidP="00391BF2">
            <w:pPr>
              <w:bidi w:val="0"/>
              <w:jc w:val="center"/>
              <w:rPr>
                <w:rFonts w:ascii="Calibri" w:hAnsi="Calibri" w:cs="Calibri"/>
              </w:rPr>
            </w:pPr>
            <w:r w:rsidRPr="00BD44A1">
              <w:rPr>
                <w:rFonts w:ascii="Calibri" w:hAnsi="Calibri" w:cs="Calibri"/>
              </w:rPr>
              <w:t>3.9</w:t>
            </w:r>
          </w:p>
        </w:tc>
        <w:tc>
          <w:tcPr>
            <w:tcW w:w="2119" w:type="dxa"/>
            <w:tcBorders>
              <w:top w:val="single" w:sz="4" w:space="0" w:color="auto"/>
              <w:left w:val="nil"/>
              <w:bottom w:val="nil"/>
              <w:right w:val="nil"/>
            </w:tcBorders>
            <w:shd w:val="clear" w:color="auto" w:fill="auto"/>
            <w:vAlign w:val="center"/>
            <w:hideMark/>
          </w:tcPr>
          <w:p w14:paraId="1860AF7D" w14:textId="2371B509" w:rsidR="00F53855" w:rsidRPr="00BD44A1" w:rsidRDefault="00EC32FA" w:rsidP="00F93D9D">
            <w:pPr>
              <w:bidi w:val="0"/>
              <w:jc w:val="center"/>
              <w:rPr>
                <w:rFonts w:ascii="Calibri" w:hAnsi="Calibri" w:cs="Calibri"/>
                <w:rtl/>
              </w:rPr>
            </w:pPr>
            <w:r w:rsidRPr="00BD44A1">
              <w:rPr>
                <w:rFonts w:ascii="Calibri" w:hAnsi="Calibri" w:cs="Calibri"/>
              </w:rPr>
              <w:t>3.</w:t>
            </w:r>
            <w:r w:rsidR="00F93D9D" w:rsidRPr="00BD44A1">
              <w:rPr>
                <w:rFonts w:ascii="Calibri" w:hAnsi="Calibri" w:cs="Calibri"/>
              </w:rPr>
              <w:t>8</w:t>
            </w:r>
          </w:p>
        </w:tc>
      </w:tr>
      <w:tr w:rsidR="00F53855" w:rsidRPr="00BD44A1" w14:paraId="67D96607" w14:textId="77777777" w:rsidTr="000D5119">
        <w:trPr>
          <w:trHeight w:val="238"/>
          <w:tblHeader/>
        </w:trPr>
        <w:tc>
          <w:tcPr>
            <w:tcW w:w="2480" w:type="dxa"/>
            <w:tcBorders>
              <w:top w:val="nil"/>
              <w:left w:val="nil"/>
              <w:bottom w:val="single" w:sz="4" w:space="0" w:color="auto"/>
              <w:right w:val="nil"/>
            </w:tcBorders>
            <w:shd w:val="clear" w:color="auto" w:fill="auto"/>
            <w:vAlign w:val="center"/>
            <w:hideMark/>
          </w:tcPr>
          <w:p w14:paraId="363F60BF" w14:textId="77777777" w:rsidR="00F53855" w:rsidRPr="00BD44A1" w:rsidRDefault="00F53855" w:rsidP="0044397B">
            <w:pPr>
              <w:bidi w:val="0"/>
              <w:jc w:val="center"/>
              <w:rPr>
                <w:rFonts w:ascii="Calibri" w:hAnsi="Calibri" w:cs="Calibri"/>
              </w:rPr>
            </w:pPr>
            <w:r w:rsidRPr="00BD44A1">
              <w:rPr>
                <w:rFonts w:ascii="Calibri" w:hAnsi="Calibri" w:cs="Calibri"/>
              </w:rPr>
              <w:t>(range of forecasts)</w:t>
            </w:r>
          </w:p>
        </w:tc>
        <w:tc>
          <w:tcPr>
            <w:tcW w:w="2094" w:type="dxa"/>
            <w:tcBorders>
              <w:top w:val="nil"/>
              <w:left w:val="nil"/>
              <w:bottom w:val="single" w:sz="4" w:space="0" w:color="auto"/>
              <w:right w:val="nil"/>
            </w:tcBorders>
            <w:shd w:val="clear" w:color="auto" w:fill="auto"/>
            <w:vAlign w:val="center"/>
            <w:hideMark/>
          </w:tcPr>
          <w:p w14:paraId="386F461F" w14:textId="77777777" w:rsidR="00F53855" w:rsidRPr="00BD44A1" w:rsidRDefault="00F53855" w:rsidP="0044397B">
            <w:pPr>
              <w:bidi w:val="0"/>
              <w:jc w:val="center"/>
              <w:rPr>
                <w:rFonts w:ascii="Calibri" w:hAnsi="Calibri" w:cs="Calibri"/>
              </w:rPr>
            </w:pPr>
          </w:p>
        </w:tc>
        <w:tc>
          <w:tcPr>
            <w:tcW w:w="1540" w:type="dxa"/>
            <w:tcBorders>
              <w:top w:val="nil"/>
              <w:left w:val="nil"/>
              <w:bottom w:val="single" w:sz="4" w:space="0" w:color="auto"/>
              <w:right w:val="nil"/>
            </w:tcBorders>
            <w:shd w:val="clear" w:color="auto" w:fill="auto"/>
            <w:vAlign w:val="center"/>
            <w:hideMark/>
          </w:tcPr>
          <w:p w14:paraId="1FE1D8B9" w14:textId="77777777" w:rsidR="00F53855" w:rsidRPr="00BD44A1" w:rsidRDefault="00F53855" w:rsidP="0044397B">
            <w:pPr>
              <w:bidi w:val="0"/>
              <w:jc w:val="center"/>
              <w:rPr>
                <w:rFonts w:ascii="Calibri" w:hAnsi="Calibri" w:cs="Calibri"/>
              </w:rPr>
            </w:pPr>
          </w:p>
        </w:tc>
        <w:tc>
          <w:tcPr>
            <w:tcW w:w="2119" w:type="dxa"/>
            <w:tcBorders>
              <w:top w:val="nil"/>
              <w:left w:val="nil"/>
              <w:bottom w:val="single" w:sz="4" w:space="0" w:color="auto"/>
              <w:right w:val="nil"/>
            </w:tcBorders>
            <w:shd w:val="clear" w:color="auto" w:fill="auto"/>
            <w:noWrap/>
            <w:vAlign w:val="center"/>
            <w:hideMark/>
          </w:tcPr>
          <w:p w14:paraId="3643F34B" w14:textId="2AA9ABCE" w:rsidR="00F53855" w:rsidRPr="00BD44A1" w:rsidRDefault="00F53855" w:rsidP="00F93D9D">
            <w:pPr>
              <w:bidi w:val="0"/>
              <w:jc w:val="center"/>
              <w:rPr>
                <w:rFonts w:ascii="Calibri" w:hAnsi="Calibri" w:cs="Calibri"/>
              </w:rPr>
            </w:pPr>
            <w:r w:rsidRPr="00BD44A1">
              <w:rPr>
                <w:rFonts w:ascii="Calibri" w:hAnsi="Calibri" w:cs="Calibri"/>
              </w:rPr>
              <w:t>(</w:t>
            </w:r>
            <w:r w:rsidR="00EC32FA" w:rsidRPr="00BD44A1">
              <w:rPr>
                <w:rFonts w:ascii="Calibri" w:hAnsi="Calibri" w:cs="Calibri"/>
              </w:rPr>
              <w:t>3.</w:t>
            </w:r>
            <w:r w:rsidR="00F93D9D" w:rsidRPr="00BD44A1">
              <w:rPr>
                <w:rFonts w:ascii="Calibri" w:hAnsi="Calibri" w:cs="Calibri"/>
              </w:rPr>
              <w:t>3</w:t>
            </w:r>
            <w:r w:rsidR="00A2696D" w:rsidRPr="00BD44A1">
              <w:rPr>
                <w:rFonts w:ascii="Calibri" w:hAnsi="Calibri" w:cs="Calibri"/>
              </w:rPr>
              <w:t>–</w:t>
            </w:r>
            <w:r w:rsidR="00995A4F" w:rsidRPr="00BD44A1">
              <w:rPr>
                <w:rFonts w:ascii="Calibri" w:hAnsi="Calibri" w:cs="Calibri"/>
              </w:rPr>
              <w:t>4.</w:t>
            </w:r>
            <w:r w:rsidR="00F93D9D" w:rsidRPr="00BD44A1">
              <w:rPr>
                <w:rFonts w:ascii="Calibri" w:hAnsi="Calibri" w:cs="Calibri"/>
              </w:rPr>
              <w:t>1</w:t>
            </w:r>
            <w:r w:rsidR="001C55F7" w:rsidRPr="00BD44A1">
              <w:rPr>
                <w:rFonts w:ascii="Calibri" w:hAnsi="Calibri" w:cs="Calibri"/>
              </w:rPr>
              <w:t>)</w:t>
            </w:r>
          </w:p>
        </w:tc>
      </w:tr>
      <w:tr w:rsidR="00A21D01" w:rsidRPr="00BD44A1" w14:paraId="79FE25C5" w14:textId="77777777" w:rsidTr="00A21D01">
        <w:trPr>
          <w:trHeight w:val="257"/>
          <w:tblHeader/>
        </w:trPr>
        <w:tc>
          <w:tcPr>
            <w:tcW w:w="8233" w:type="dxa"/>
            <w:gridSpan w:val="4"/>
            <w:tcBorders>
              <w:top w:val="nil"/>
              <w:left w:val="nil"/>
              <w:bottom w:val="nil"/>
              <w:right w:val="nil"/>
            </w:tcBorders>
            <w:shd w:val="clear" w:color="auto" w:fill="auto"/>
            <w:hideMark/>
          </w:tcPr>
          <w:p w14:paraId="7B7E2DE2" w14:textId="177687A9" w:rsidR="00F93D9D" w:rsidRPr="00BD44A1" w:rsidRDefault="00F93D9D" w:rsidP="00EC32FA">
            <w:pPr>
              <w:pStyle w:val="af3"/>
              <w:numPr>
                <w:ilvl w:val="0"/>
                <w:numId w:val="11"/>
              </w:numPr>
              <w:bidi w:val="0"/>
              <w:rPr>
                <w:rFonts w:ascii="Calibri" w:hAnsi="Calibri" w:cs="Calibri"/>
                <w:sz w:val="20"/>
                <w:szCs w:val="20"/>
              </w:rPr>
            </w:pPr>
            <w:r w:rsidRPr="00BD44A1">
              <w:rPr>
                <w:rFonts w:ascii="Calibri" w:hAnsi="Calibri" w:cs="Calibri"/>
                <w:sz w:val="20"/>
                <w:szCs w:val="20"/>
              </w:rPr>
              <w:t>The inflation rate during the four quarters ending in the first quarter of 2026, and the average interest rate in the first quarter of 2026.</w:t>
            </w:r>
          </w:p>
          <w:p w14:paraId="1A2BF5F5" w14:textId="75C1C221" w:rsidR="00446B32" w:rsidRPr="00BD44A1" w:rsidRDefault="00F93D9D" w:rsidP="00871F11">
            <w:pPr>
              <w:pStyle w:val="af3"/>
              <w:numPr>
                <w:ilvl w:val="0"/>
                <w:numId w:val="11"/>
              </w:numPr>
              <w:bidi w:val="0"/>
              <w:rPr>
                <w:rFonts w:ascii="Calibri" w:hAnsi="Calibri" w:cs="Calibri"/>
                <w:sz w:val="20"/>
                <w:szCs w:val="20"/>
              </w:rPr>
            </w:pPr>
            <w:r w:rsidRPr="00BD44A1">
              <w:rPr>
                <w:rFonts w:ascii="Calibri" w:hAnsi="Calibri" w:cs="Calibri"/>
                <w:sz w:val="20"/>
                <w:szCs w:val="20"/>
              </w:rPr>
              <w:t>A</w:t>
            </w:r>
            <w:r w:rsidR="00862770" w:rsidRPr="00BD44A1">
              <w:rPr>
                <w:rFonts w:ascii="Calibri" w:hAnsi="Calibri" w:cs="Calibri"/>
                <w:sz w:val="20"/>
                <w:szCs w:val="20"/>
              </w:rPr>
              <w:t xml:space="preserve">s of </w:t>
            </w:r>
            <w:r w:rsidRPr="00BD44A1">
              <w:rPr>
                <w:rFonts w:ascii="Calibri" w:hAnsi="Calibri" w:cs="Calibri"/>
                <w:sz w:val="20"/>
                <w:szCs w:val="20"/>
              </w:rPr>
              <w:t>April</w:t>
            </w:r>
            <w:r w:rsidR="00EC32FA" w:rsidRPr="00BD44A1">
              <w:rPr>
                <w:rFonts w:ascii="Calibri" w:hAnsi="Calibri" w:cs="Calibri"/>
                <w:sz w:val="20"/>
                <w:szCs w:val="20"/>
              </w:rPr>
              <w:t xml:space="preserve"> </w:t>
            </w:r>
            <w:r w:rsidR="00871F11" w:rsidRPr="00BD44A1">
              <w:rPr>
                <w:rFonts w:ascii="Calibri" w:hAnsi="Calibri" w:cs="Calibri"/>
                <w:sz w:val="20"/>
                <w:szCs w:val="20"/>
              </w:rPr>
              <w:t>6</w:t>
            </w:r>
            <w:r w:rsidR="00EC32FA" w:rsidRPr="00BD44A1">
              <w:rPr>
                <w:rFonts w:ascii="Calibri" w:hAnsi="Calibri" w:cs="Calibri"/>
                <w:sz w:val="20"/>
                <w:szCs w:val="20"/>
              </w:rPr>
              <w:t>, 2025</w:t>
            </w:r>
            <w:r w:rsidR="005650EE" w:rsidRPr="00BD44A1">
              <w:rPr>
                <w:rFonts w:ascii="Calibri" w:hAnsi="Calibri" w:cs="Calibri"/>
                <w:sz w:val="20"/>
                <w:szCs w:val="20"/>
              </w:rPr>
              <w:t>.</w:t>
            </w:r>
            <w:r w:rsidRPr="00BD44A1">
              <w:rPr>
                <w:rFonts w:ascii="Calibri" w:hAnsi="Calibri" w:cs="Calibri"/>
                <w:sz w:val="20"/>
                <w:szCs w:val="20"/>
              </w:rPr>
              <w:t xml:space="preserve"> Inflation expectations are seasonally adjusted and the interest rate expectations are based on the </w:t>
            </w:r>
            <w:proofErr w:type="spellStart"/>
            <w:r w:rsidRPr="00BD44A1">
              <w:rPr>
                <w:rFonts w:ascii="Calibri" w:hAnsi="Calibri" w:cs="Calibri"/>
                <w:sz w:val="20"/>
                <w:szCs w:val="20"/>
              </w:rPr>
              <w:t>Telbor</w:t>
            </w:r>
            <w:proofErr w:type="spellEnd"/>
            <w:r w:rsidRPr="00BD44A1">
              <w:rPr>
                <w:rFonts w:ascii="Calibri" w:hAnsi="Calibri" w:cs="Calibri"/>
                <w:sz w:val="20"/>
                <w:szCs w:val="20"/>
              </w:rPr>
              <w:t xml:space="preserve"> market.</w:t>
            </w:r>
          </w:p>
          <w:p w14:paraId="20A87786" w14:textId="68D26121" w:rsidR="007A06BA" w:rsidRPr="00BD44A1" w:rsidRDefault="00F93D9D" w:rsidP="00871F11">
            <w:pPr>
              <w:pStyle w:val="af3"/>
              <w:numPr>
                <w:ilvl w:val="0"/>
                <w:numId w:val="11"/>
              </w:numPr>
              <w:bidi w:val="0"/>
              <w:rPr>
                <w:rFonts w:ascii="Calibri" w:hAnsi="Calibri" w:cs="Calibri"/>
                <w:sz w:val="20"/>
                <w:szCs w:val="20"/>
              </w:rPr>
            </w:pPr>
            <w:r w:rsidRPr="00BD44A1">
              <w:rPr>
                <w:rFonts w:ascii="Calibri" w:hAnsi="Calibri" w:cs="Calibri"/>
                <w:sz w:val="20"/>
                <w:szCs w:val="20"/>
              </w:rPr>
              <w:t>A</w:t>
            </w:r>
            <w:r w:rsidR="007A06BA" w:rsidRPr="00BD44A1">
              <w:rPr>
                <w:rFonts w:ascii="Calibri" w:hAnsi="Calibri" w:cs="Calibri"/>
                <w:sz w:val="20"/>
                <w:szCs w:val="20"/>
              </w:rPr>
              <w:t xml:space="preserve">s of </w:t>
            </w:r>
            <w:r w:rsidRPr="00BD44A1">
              <w:rPr>
                <w:rFonts w:ascii="Calibri" w:hAnsi="Calibri" w:cs="Calibri"/>
                <w:sz w:val="20"/>
                <w:szCs w:val="20"/>
              </w:rPr>
              <w:t>April</w:t>
            </w:r>
            <w:r w:rsidR="00EC32FA" w:rsidRPr="00BD44A1">
              <w:rPr>
                <w:rFonts w:ascii="Calibri" w:hAnsi="Calibri" w:cs="Calibri"/>
                <w:sz w:val="20"/>
                <w:szCs w:val="20"/>
              </w:rPr>
              <w:t xml:space="preserve"> </w:t>
            </w:r>
            <w:r w:rsidR="00871F11" w:rsidRPr="00BD44A1">
              <w:rPr>
                <w:rFonts w:ascii="Calibri" w:hAnsi="Calibri" w:cs="Calibri"/>
                <w:sz w:val="20"/>
                <w:szCs w:val="20"/>
              </w:rPr>
              <w:t>6</w:t>
            </w:r>
            <w:r w:rsidR="00EC32FA" w:rsidRPr="00BD44A1">
              <w:rPr>
                <w:rFonts w:ascii="Calibri" w:hAnsi="Calibri" w:cs="Calibri"/>
                <w:sz w:val="20"/>
                <w:szCs w:val="20"/>
              </w:rPr>
              <w:t>, 2025</w:t>
            </w:r>
            <w:r w:rsidR="007A06BA" w:rsidRPr="00BD44A1">
              <w:rPr>
                <w:rFonts w:ascii="Calibri" w:hAnsi="Calibri" w:cs="Calibri"/>
                <w:sz w:val="20"/>
                <w:szCs w:val="20"/>
              </w:rPr>
              <w:t>.</w:t>
            </w:r>
          </w:p>
        </w:tc>
      </w:tr>
      <w:tr w:rsidR="00A21D01" w:rsidRPr="00BD44A1" w14:paraId="184B4910" w14:textId="77777777" w:rsidTr="00A21D01">
        <w:trPr>
          <w:trHeight w:val="445"/>
          <w:tblHeader/>
        </w:trPr>
        <w:tc>
          <w:tcPr>
            <w:tcW w:w="8233" w:type="dxa"/>
            <w:gridSpan w:val="4"/>
            <w:tcBorders>
              <w:top w:val="nil"/>
              <w:left w:val="nil"/>
              <w:bottom w:val="nil"/>
              <w:right w:val="nil"/>
            </w:tcBorders>
            <w:shd w:val="clear" w:color="auto" w:fill="auto"/>
            <w:hideMark/>
          </w:tcPr>
          <w:p w14:paraId="4C84A8C4" w14:textId="77777777" w:rsidR="00FE6484" w:rsidRPr="00BD44A1" w:rsidRDefault="00FE6484" w:rsidP="00FE6484">
            <w:pPr>
              <w:bidi w:val="0"/>
              <w:rPr>
                <w:rFonts w:ascii="Calibri" w:hAnsi="Calibri" w:cs="Calibri"/>
                <w:sz w:val="20"/>
                <w:szCs w:val="20"/>
                <w:rtl/>
              </w:rPr>
            </w:pPr>
            <w:r w:rsidRPr="00BD44A1">
              <w:rPr>
                <w:rFonts w:ascii="Calibri" w:hAnsi="Calibri" w:cs="Calibri"/>
                <w:sz w:val="20"/>
                <w:szCs w:val="20"/>
              </w:rPr>
              <w:t>SOURCE: Bank of Israel.</w:t>
            </w:r>
          </w:p>
        </w:tc>
      </w:tr>
    </w:tbl>
    <w:p w14:paraId="1B3EA6D5" w14:textId="77777777" w:rsidR="00D211EC" w:rsidRPr="00BD44A1" w:rsidRDefault="00D211EC" w:rsidP="009335C7">
      <w:pPr>
        <w:bidi w:val="0"/>
        <w:jc w:val="both"/>
        <w:rPr>
          <w:rFonts w:ascii="Calibri" w:hAnsi="Calibri" w:cs="Calibri"/>
          <w:b/>
          <w:bCs/>
        </w:rPr>
      </w:pPr>
    </w:p>
    <w:p w14:paraId="4D92FFD0" w14:textId="21188866" w:rsidR="00A21D01" w:rsidRPr="00BD44A1" w:rsidRDefault="00A21D01" w:rsidP="00A21D01">
      <w:pPr>
        <w:bidi w:val="0"/>
        <w:spacing w:line="300" w:lineRule="exact"/>
        <w:jc w:val="both"/>
        <w:rPr>
          <w:rFonts w:ascii="Calibri" w:hAnsi="Calibri" w:cs="Calibri"/>
        </w:rPr>
      </w:pPr>
    </w:p>
    <w:p w14:paraId="6BD73EDD" w14:textId="77777777" w:rsidR="007A06BA" w:rsidRPr="00BD44A1" w:rsidRDefault="007A06BA" w:rsidP="007A06BA">
      <w:pPr>
        <w:bidi w:val="0"/>
        <w:spacing w:line="300" w:lineRule="exact"/>
        <w:jc w:val="both"/>
        <w:rPr>
          <w:rFonts w:ascii="Calibri" w:hAnsi="Calibri" w:cs="Calibri"/>
        </w:rPr>
      </w:pPr>
    </w:p>
    <w:p w14:paraId="1B6C9E83" w14:textId="77777777" w:rsidR="00A21D01" w:rsidRPr="00BD44A1" w:rsidRDefault="006648AB" w:rsidP="00202CCB">
      <w:pPr>
        <w:numPr>
          <w:ilvl w:val="0"/>
          <w:numId w:val="9"/>
        </w:numPr>
        <w:bidi w:val="0"/>
        <w:spacing w:line="360" w:lineRule="auto"/>
        <w:ind w:left="357" w:hanging="357"/>
        <w:jc w:val="both"/>
        <w:rPr>
          <w:rFonts w:ascii="Calibri" w:hAnsi="Calibri" w:cs="Calibri"/>
          <w:b/>
          <w:bCs/>
        </w:rPr>
      </w:pPr>
      <w:r w:rsidRPr="00BD44A1">
        <w:rPr>
          <w:rFonts w:ascii="Calibri" w:hAnsi="Calibri" w:cs="Calibri"/>
          <w:b/>
          <w:bCs/>
        </w:rPr>
        <w:t>Main r</w:t>
      </w:r>
      <w:r w:rsidR="00A21D01" w:rsidRPr="00BD44A1">
        <w:rPr>
          <w:rFonts w:ascii="Calibri" w:hAnsi="Calibri" w:cs="Calibri"/>
          <w:b/>
          <w:bCs/>
        </w:rPr>
        <w:t xml:space="preserve">isks </w:t>
      </w:r>
      <w:r w:rsidR="00202CCB" w:rsidRPr="00BD44A1">
        <w:rPr>
          <w:rFonts w:ascii="Calibri" w:hAnsi="Calibri" w:cs="Calibri"/>
          <w:b/>
          <w:bCs/>
        </w:rPr>
        <w:t xml:space="preserve">to </w:t>
      </w:r>
      <w:r w:rsidR="00A21D01" w:rsidRPr="00BD44A1">
        <w:rPr>
          <w:rFonts w:ascii="Calibri" w:hAnsi="Calibri" w:cs="Calibri"/>
          <w:b/>
          <w:bCs/>
        </w:rPr>
        <w:t>the forecast</w:t>
      </w:r>
    </w:p>
    <w:p w14:paraId="3109DA29" w14:textId="77777777" w:rsidR="00FF22EB" w:rsidRPr="00BD44A1" w:rsidRDefault="00FF22EB" w:rsidP="00425B3F">
      <w:pPr>
        <w:bidi w:val="0"/>
        <w:jc w:val="both"/>
        <w:rPr>
          <w:rFonts w:ascii="Calibri" w:hAnsi="Calibri" w:cs="Calibri"/>
        </w:rPr>
      </w:pPr>
    </w:p>
    <w:p w14:paraId="7D428BDE" w14:textId="54EB3A64" w:rsidR="00F93D9D" w:rsidRPr="00BD44A1" w:rsidRDefault="00F93D9D" w:rsidP="0086132E">
      <w:pPr>
        <w:bidi w:val="0"/>
        <w:jc w:val="both"/>
        <w:rPr>
          <w:rFonts w:ascii="Calibri" w:hAnsi="Calibri" w:cs="Calibri"/>
        </w:rPr>
      </w:pPr>
      <w:r w:rsidRPr="00BD44A1">
        <w:rPr>
          <w:rFonts w:ascii="Calibri" w:hAnsi="Calibri" w:cs="Calibri"/>
        </w:rPr>
        <w:t>Uncertainty during the current period is higher than normal.  Our assessment is that the risks taken as a whole reflect the possibility of a deepening impact to activity and a depreciation of the shekel.  As such, the balance of inflation risks tends upward, while the balance of risks to growth tends downward.</w:t>
      </w:r>
    </w:p>
    <w:p w14:paraId="031F4999" w14:textId="7F0602CD" w:rsidR="00F93D9D" w:rsidRPr="00BD44A1" w:rsidRDefault="00F93D9D" w:rsidP="00040BB4">
      <w:pPr>
        <w:bidi w:val="0"/>
        <w:spacing w:before="100" w:beforeAutospacing="1" w:after="100" w:afterAutospacing="1"/>
        <w:jc w:val="both"/>
        <w:rPr>
          <w:rFonts w:ascii="Calibri" w:hAnsi="Calibri" w:cs="Calibri"/>
        </w:rPr>
      </w:pPr>
      <w:r w:rsidRPr="00BD44A1">
        <w:rPr>
          <w:rFonts w:ascii="Calibri" w:hAnsi="Calibri" w:cs="Calibri"/>
        </w:rPr>
        <w:t>First, there is a risk of the conflict expanding beyond what is incorporated in the baseline scenario. The range of possible security developments is broad, but to assess the baseline scenario</w:t>
      </w:r>
      <w:r w:rsidR="0086132E" w:rsidRPr="00BD44A1">
        <w:rPr>
          <w:rFonts w:ascii="Calibri" w:hAnsi="Calibri" w:cs="Calibri"/>
        </w:rPr>
        <w:t>’</w:t>
      </w:r>
      <w:r w:rsidRPr="00BD44A1">
        <w:rPr>
          <w:rFonts w:ascii="Calibri" w:hAnsi="Calibri" w:cs="Calibri"/>
        </w:rPr>
        <w:t xml:space="preserve">s sensitivity to these developments, we examined an alternative scenario that includes </w:t>
      </w:r>
      <w:r w:rsidR="0086132E" w:rsidRPr="00BD44A1">
        <w:rPr>
          <w:rFonts w:ascii="Calibri" w:hAnsi="Calibri" w:cs="Calibri"/>
        </w:rPr>
        <w:t>an</w:t>
      </w:r>
      <w:r w:rsidRPr="00BD44A1">
        <w:rPr>
          <w:rFonts w:ascii="Calibri" w:hAnsi="Calibri" w:cs="Calibri"/>
        </w:rPr>
        <w:t xml:space="preserve"> expansion of the conflict in the Gaza </w:t>
      </w:r>
      <w:r w:rsidR="00040BB4" w:rsidRPr="00BD44A1">
        <w:rPr>
          <w:rFonts w:ascii="Calibri" w:hAnsi="Calibri" w:cs="Calibri"/>
        </w:rPr>
        <w:t>front</w:t>
      </w:r>
      <w:r w:rsidRPr="00BD44A1">
        <w:rPr>
          <w:rFonts w:ascii="Calibri" w:hAnsi="Calibri" w:cs="Calibri"/>
        </w:rPr>
        <w:t xml:space="preserve"> and extensive reserve mobilization for </w:t>
      </w:r>
      <w:r w:rsidR="00F647DE" w:rsidRPr="00BD44A1">
        <w:rPr>
          <w:rFonts w:ascii="Calibri" w:hAnsi="Calibri" w:cs="Calibri"/>
        </w:rPr>
        <w:t>about two quarters. In our assessment,</w:t>
      </w:r>
      <w:r w:rsidRPr="00BD44A1">
        <w:rPr>
          <w:rFonts w:ascii="Calibri" w:hAnsi="Calibri" w:cs="Calibri"/>
        </w:rPr>
        <w:t xml:space="preserve"> such a scenario would lead to a 0.5</w:t>
      </w:r>
      <w:r w:rsidR="0086132E" w:rsidRPr="00BD44A1">
        <w:rPr>
          <w:rFonts w:ascii="Calibri" w:hAnsi="Calibri" w:cs="Calibri"/>
        </w:rPr>
        <w:t xml:space="preserve"> percent</w:t>
      </w:r>
      <w:r w:rsidRPr="00BD44A1">
        <w:rPr>
          <w:rFonts w:ascii="Calibri" w:hAnsi="Calibri" w:cs="Calibri"/>
        </w:rPr>
        <w:t xml:space="preserve"> reduction in GDP in 2025, mainly due to the impact on labor supply, and a</w:t>
      </w:r>
      <w:r w:rsidR="0086132E" w:rsidRPr="00BD44A1">
        <w:rPr>
          <w:rFonts w:ascii="Calibri" w:hAnsi="Calibri" w:cs="Calibri"/>
        </w:rPr>
        <w:t>n increase of</w:t>
      </w:r>
      <w:r w:rsidRPr="00BD44A1">
        <w:rPr>
          <w:rFonts w:ascii="Calibri" w:hAnsi="Calibri" w:cs="Calibri"/>
        </w:rPr>
        <w:t xml:space="preserve"> 2</w:t>
      </w:r>
      <w:r w:rsidR="0086132E" w:rsidRPr="00BD44A1">
        <w:rPr>
          <w:rFonts w:ascii="Calibri" w:hAnsi="Calibri" w:cs="Calibri"/>
        </w:rPr>
        <w:t xml:space="preserve"> percent of GDP </w:t>
      </w:r>
      <w:r w:rsidRPr="00BD44A1">
        <w:rPr>
          <w:rFonts w:ascii="Calibri" w:hAnsi="Calibri" w:cs="Calibri"/>
        </w:rPr>
        <w:t>in the deficit, resulting in public debt amounting to 71</w:t>
      </w:r>
      <w:r w:rsidR="0086132E" w:rsidRPr="00BD44A1">
        <w:rPr>
          <w:rFonts w:ascii="Calibri" w:hAnsi="Calibri" w:cs="Calibri"/>
        </w:rPr>
        <w:t xml:space="preserve"> percent</w:t>
      </w:r>
      <w:r w:rsidRPr="00BD44A1">
        <w:rPr>
          <w:rFonts w:ascii="Calibri" w:hAnsi="Calibri" w:cs="Calibri"/>
        </w:rPr>
        <w:t xml:space="preserve"> of GDP by the end of th</w:t>
      </w:r>
      <w:r w:rsidR="0086132E" w:rsidRPr="00BD44A1">
        <w:rPr>
          <w:rFonts w:ascii="Calibri" w:hAnsi="Calibri" w:cs="Calibri"/>
        </w:rPr>
        <w:t>e</w:t>
      </w:r>
      <w:r w:rsidRPr="00BD44A1">
        <w:rPr>
          <w:rFonts w:ascii="Calibri" w:hAnsi="Calibri" w:cs="Calibri"/>
        </w:rPr>
        <w:t xml:space="preserve"> year. These developments are also expected to be accompanied by an increase in the risk premium and depreciation of the shekel. Alongside the impact on the supply side, these developments will drive inflation higher than in the baseline scenario, necessitating a higher interest rate path.</w:t>
      </w:r>
    </w:p>
    <w:p w14:paraId="625719EB" w14:textId="31C72C67" w:rsidR="00F93D9D" w:rsidRPr="00BD44A1" w:rsidRDefault="00F93D9D" w:rsidP="0086132E">
      <w:pPr>
        <w:bidi w:val="0"/>
        <w:spacing w:before="100" w:beforeAutospacing="1" w:after="100" w:afterAutospacing="1"/>
        <w:jc w:val="both"/>
        <w:rPr>
          <w:rFonts w:ascii="Calibri" w:hAnsi="Calibri" w:cs="Calibri"/>
        </w:rPr>
      </w:pPr>
      <w:r w:rsidRPr="00BD44A1">
        <w:rPr>
          <w:rFonts w:ascii="Calibri" w:hAnsi="Calibri" w:cs="Calibri"/>
        </w:rPr>
        <w:t>Second, there is considerable uncertainty regarding the scope and effects of the trade war</w:t>
      </w:r>
      <w:r w:rsidR="0086132E" w:rsidRPr="00BD44A1">
        <w:rPr>
          <w:rFonts w:ascii="Calibri" w:hAnsi="Calibri" w:cs="Calibri"/>
        </w:rPr>
        <w:t xml:space="preserve"> that is developing globally</w:t>
      </w:r>
      <w:r w:rsidRPr="00BD44A1">
        <w:rPr>
          <w:rFonts w:ascii="Calibri" w:hAnsi="Calibri" w:cs="Calibri"/>
        </w:rPr>
        <w:t xml:space="preserve">. The actual scope of tariffs imposed may differ from what we assumed in the baseline forecast because additional countries may impose tariffs in response to US measures, and conversely, bilateral or multilateral negotiations may mitigate some of </w:t>
      </w:r>
      <w:r w:rsidRPr="00BD44A1">
        <w:rPr>
          <w:rFonts w:ascii="Calibri" w:hAnsi="Calibri" w:cs="Calibri"/>
        </w:rPr>
        <w:lastRenderedPageBreak/>
        <w:t xml:space="preserve">the tariffs. The effects of tariffs on the global and Israeli economies are also uncertain. </w:t>
      </w:r>
      <w:r w:rsidR="0086132E" w:rsidRPr="00BD44A1">
        <w:rPr>
          <w:rFonts w:ascii="Calibri" w:hAnsi="Calibri" w:cs="Calibri"/>
        </w:rPr>
        <w:t>While the diversion of t</w:t>
      </w:r>
      <w:r w:rsidRPr="00BD44A1">
        <w:rPr>
          <w:rFonts w:ascii="Calibri" w:hAnsi="Calibri" w:cs="Calibri"/>
        </w:rPr>
        <w:t>rade may mitigate the impact of tariffs globally and in Israel, global investments may be adversely affected by the uncertainty imposed by the trade war. In the medium</w:t>
      </w:r>
      <w:r w:rsidR="0086132E" w:rsidRPr="00BD44A1">
        <w:rPr>
          <w:rFonts w:ascii="Calibri" w:hAnsi="Calibri" w:cs="Calibri"/>
        </w:rPr>
        <w:t>-</w:t>
      </w:r>
      <w:r w:rsidRPr="00BD44A1">
        <w:rPr>
          <w:rFonts w:ascii="Calibri" w:hAnsi="Calibri" w:cs="Calibri"/>
        </w:rPr>
        <w:t>to</w:t>
      </w:r>
      <w:r w:rsidR="0086132E" w:rsidRPr="00BD44A1">
        <w:rPr>
          <w:rFonts w:ascii="Calibri" w:hAnsi="Calibri" w:cs="Calibri"/>
        </w:rPr>
        <w:t>-</w:t>
      </w:r>
      <w:r w:rsidRPr="00BD44A1">
        <w:rPr>
          <w:rFonts w:ascii="Calibri" w:hAnsi="Calibri" w:cs="Calibri"/>
        </w:rPr>
        <w:t xml:space="preserve">long term, global productivity may be </w:t>
      </w:r>
      <w:r w:rsidR="0086132E" w:rsidRPr="00BD44A1">
        <w:rPr>
          <w:rFonts w:ascii="Calibri" w:hAnsi="Calibri" w:cs="Calibri"/>
        </w:rPr>
        <w:t>impair</w:t>
      </w:r>
      <w:r w:rsidRPr="00BD44A1">
        <w:rPr>
          <w:rFonts w:ascii="Calibri" w:hAnsi="Calibri" w:cs="Calibri"/>
        </w:rPr>
        <w:t>ed due to a dec</w:t>
      </w:r>
      <w:r w:rsidR="0086132E" w:rsidRPr="00BD44A1">
        <w:rPr>
          <w:rFonts w:ascii="Calibri" w:hAnsi="Calibri" w:cs="Calibri"/>
        </w:rPr>
        <w:t>lin</w:t>
      </w:r>
      <w:r w:rsidRPr="00BD44A1">
        <w:rPr>
          <w:rFonts w:ascii="Calibri" w:hAnsi="Calibri" w:cs="Calibri"/>
        </w:rPr>
        <w:t xml:space="preserve">e in the </w:t>
      </w:r>
      <w:r w:rsidR="0086132E" w:rsidRPr="00BD44A1">
        <w:rPr>
          <w:rFonts w:ascii="Calibri" w:hAnsi="Calibri" w:cs="Calibri"/>
        </w:rPr>
        <w:t xml:space="preserve">global </w:t>
      </w:r>
      <w:r w:rsidRPr="00BD44A1">
        <w:rPr>
          <w:rFonts w:ascii="Calibri" w:hAnsi="Calibri" w:cs="Calibri"/>
        </w:rPr>
        <w:t xml:space="preserve">trade-to-GDP ratio. In Israel, productivity and potential GDP may also be affected due to the diversion of activity from high-productivity export </w:t>
      </w:r>
      <w:r w:rsidR="0086132E" w:rsidRPr="00BD44A1">
        <w:rPr>
          <w:rFonts w:ascii="Calibri" w:hAnsi="Calibri" w:cs="Calibri"/>
        </w:rPr>
        <w:t>industrie</w:t>
      </w:r>
      <w:r w:rsidRPr="00BD44A1">
        <w:rPr>
          <w:rFonts w:ascii="Calibri" w:hAnsi="Calibri" w:cs="Calibri"/>
        </w:rPr>
        <w:t xml:space="preserve">s to domestic </w:t>
      </w:r>
      <w:r w:rsidR="0086132E" w:rsidRPr="00BD44A1">
        <w:rPr>
          <w:rFonts w:ascii="Calibri" w:hAnsi="Calibri" w:cs="Calibri"/>
        </w:rPr>
        <w:t>industrie</w:t>
      </w:r>
      <w:r w:rsidRPr="00BD44A1">
        <w:rPr>
          <w:rFonts w:ascii="Calibri" w:hAnsi="Calibri" w:cs="Calibri"/>
        </w:rPr>
        <w:t>s, as well as a decline in investments if exporting companies prefer to relocate their activities to other countries. However, Israel has several relative strengths in the trade war, primarily its reliance on advanced service exports, which are less exposed to tariffs.</w:t>
      </w:r>
    </w:p>
    <w:p w14:paraId="428A3413" w14:textId="72560AF2" w:rsidR="00F93D9D" w:rsidRPr="00BD44A1" w:rsidRDefault="00F93D9D" w:rsidP="0086132E">
      <w:pPr>
        <w:bidi w:val="0"/>
        <w:spacing w:before="100" w:beforeAutospacing="1" w:after="100" w:afterAutospacing="1"/>
        <w:jc w:val="both"/>
        <w:rPr>
          <w:rFonts w:ascii="Calibri" w:hAnsi="Calibri" w:cs="Calibri"/>
        </w:rPr>
      </w:pPr>
      <w:r w:rsidRPr="00BD44A1">
        <w:rPr>
          <w:rFonts w:ascii="Calibri" w:hAnsi="Calibri" w:cs="Calibri"/>
        </w:rPr>
        <w:t>Finally, there is a risk of economic impact from political and social tensions in Israel. In 2023, similar tensions surrounding legislative measures promoted by the government contributed to the depreciation of the shekel. In addition to this potential impact, if internal tensions are perceived by the markets as increasing Israel</w:t>
      </w:r>
      <w:r w:rsidR="0086132E" w:rsidRPr="00BD44A1">
        <w:rPr>
          <w:rFonts w:ascii="Calibri" w:hAnsi="Calibri" w:cs="Calibri"/>
        </w:rPr>
        <w:t>’</w:t>
      </w:r>
      <w:r w:rsidRPr="00BD44A1">
        <w:rPr>
          <w:rFonts w:ascii="Calibri" w:hAnsi="Calibri" w:cs="Calibri"/>
        </w:rPr>
        <w:t>s risk premium, they may result in a decline in investments and exports, as well as a reduction in private consumption, as discussed in the risk scenarios presented in the Research D</w:t>
      </w:r>
      <w:r w:rsidR="0086132E" w:rsidRPr="00BD44A1">
        <w:rPr>
          <w:rFonts w:ascii="Calibri" w:hAnsi="Calibri" w:cs="Calibri"/>
        </w:rPr>
        <w:t>epartment’</w:t>
      </w:r>
      <w:r w:rsidRPr="00BD44A1">
        <w:rPr>
          <w:rFonts w:ascii="Calibri" w:hAnsi="Calibri" w:cs="Calibri"/>
        </w:rPr>
        <w:t>s forecast from April 2023.</w:t>
      </w:r>
    </w:p>
    <w:sectPr w:rsidR="00F93D9D" w:rsidRPr="00BD44A1" w:rsidSect="00CA0296">
      <w:footerReference w:type="default" r:id="rId12"/>
      <w:footerReference w:type="first" r:id="rId13"/>
      <w:pgSz w:w="11906" w:h="16838"/>
      <w:pgMar w:top="1134" w:right="1416" w:bottom="1418" w:left="1418"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F69D7" w14:textId="77777777" w:rsidR="007C1A7A" w:rsidRDefault="007C1A7A" w:rsidP="00AD16FC">
      <w:r>
        <w:separator/>
      </w:r>
    </w:p>
  </w:endnote>
  <w:endnote w:type="continuationSeparator" w:id="0">
    <w:p w14:paraId="6794927A" w14:textId="77777777" w:rsidR="007C1A7A" w:rsidRDefault="007C1A7A" w:rsidP="00AD1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39E0D" w14:textId="601D9847" w:rsidR="00CA0296" w:rsidRDefault="00CA0296" w:rsidP="00BD44A1">
    <w:pPr>
      <w:pStyle w:val="a5"/>
      <w:tabs>
        <w:tab w:val="left" w:pos="3825"/>
        <w:tab w:val="center" w:pos="4536"/>
      </w:tabs>
      <w:bidi w:val="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2DCD0" w14:textId="6487B9BD" w:rsidR="00AE0ADC" w:rsidRDefault="00AE0ADC" w:rsidP="00BD44A1">
    <w:pPr>
      <w:pStyle w:val="a5"/>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16FAA" w14:textId="77777777" w:rsidR="007C1A7A" w:rsidRDefault="007C1A7A" w:rsidP="00AD16FC">
      <w:r>
        <w:separator/>
      </w:r>
    </w:p>
  </w:footnote>
  <w:footnote w:type="continuationSeparator" w:id="0">
    <w:p w14:paraId="510CB41C" w14:textId="77777777" w:rsidR="007C1A7A" w:rsidRDefault="007C1A7A" w:rsidP="00AD16FC">
      <w:r>
        <w:continuationSeparator/>
      </w:r>
    </w:p>
  </w:footnote>
  <w:footnote w:id="1">
    <w:p w14:paraId="7F2E1BD5" w14:textId="4998528C" w:rsidR="00A30AC5" w:rsidRPr="00F31BDD" w:rsidRDefault="00A30AC5" w:rsidP="00EC4295">
      <w:pPr>
        <w:pStyle w:val="aa"/>
        <w:bidi w:val="0"/>
        <w:jc w:val="both"/>
        <w:rPr>
          <w:rtl/>
        </w:rPr>
      </w:pPr>
      <w:r>
        <w:rPr>
          <w:rStyle w:val="ac"/>
        </w:rPr>
        <w:footnoteRef/>
      </w:r>
      <w:r>
        <w:rPr>
          <w:rtl/>
        </w:rPr>
        <w:t xml:space="preserve"> </w:t>
      </w:r>
      <w:r>
        <w:t xml:space="preserve"> The forecast was presented to the Bank of Israel Monetary Committee on </w:t>
      </w:r>
      <w:r w:rsidR="00EC4295">
        <w:t>April 6</w:t>
      </w:r>
      <w:r w:rsidR="00757359">
        <w:t>, 2025</w:t>
      </w:r>
      <w:r>
        <w:t xml:space="preserve">, prior to the </w:t>
      </w:r>
      <w:r w:rsidRPr="00F31BDD">
        <w:t xml:space="preserve">decision on the interest rate made </w:t>
      </w:r>
      <w:r w:rsidR="00757359">
        <w:t xml:space="preserve">on </w:t>
      </w:r>
      <w:r w:rsidR="00EC4295">
        <w:t>April 7</w:t>
      </w:r>
      <w:r w:rsidR="00757359">
        <w:t>, 2025</w:t>
      </w:r>
      <w:r w:rsidR="00D81515" w:rsidRPr="00F31BDD">
        <w:t>.</w:t>
      </w:r>
    </w:p>
  </w:footnote>
  <w:footnote w:id="2">
    <w:p w14:paraId="26EEC4A0" w14:textId="77777777" w:rsidR="004675C1" w:rsidRDefault="004675C1" w:rsidP="00D41588">
      <w:pPr>
        <w:bidi w:val="0"/>
        <w:jc w:val="both"/>
      </w:pPr>
      <w:r w:rsidRPr="00F31BDD">
        <w:rPr>
          <w:rStyle w:val="ac"/>
          <w:sz w:val="20"/>
          <w:szCs w:val="20"/>
        </w:rPr>
        <w:footnoteRef/>
      </w:r>
      <w:r w:rsidRPr="00F31BDD">
        <w:rPr>
          <w:sz w:val="20"/>
          <w:szCs w:val="20"/>
        </w:rPr>
        <w:t xml:space="preserve"> </w:t>
      </w:r>
      <w:r w:rsidR="00F31BDD" w:rsidRPr="00F31BDD">
        <w:rPr>
          <w:sz w:val="20"/>
          <w:szCs w:val="20"/>
        </w:rPr>
        <w:t xml:space="preserve">An explanation of the macroeconomic forecasts formulated by the bank of Israel Research Department, as well as a review of the models on which they are based, appear in the Bank of Israel’s Inflation Report 31 (second quarter of 2010), Section 3c. </w:t>
      </w:r>
      <w:r w:rsidRPr="00F31BDD">
        <w:rPr>
          <w:sz w:val="20"/>
          <w:szCs w:val="20"/>
        </w:rPr>
        <w:t>A Discussion Paper on the DSGE model is available on the Bank of Israel website, under the title: “MOISE</w:t>
      </w:r>
      <w:r w:rsidRPr="00237ACD">
        <w:rPr>
          <w:sz w:val="20"/>
          <w:szCs w:val="20"/>
        </w:rPr>
        <w:t>: A DSGE Model for the Israeli Econom</w:t>
      </w:r>
      <w:r>
        <w:rPr>
          <w:sz w:val="20"/>
          <w:szCs w:val="20"/>
        </w:rPr>
        <w:t>y,” Discussion Paper No. 2012.06</w:t>
      </w:r>
      <w:r w:rsidRPr="00237ACD">
        <w:rPr>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E2D49"/>
    <w:multiLevelType w:val="hybridMultilevel"/>
    <w:tmpl w:val="B8AEA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1F69E1"/>
    <w:multiLevelType w:val="hybridMultilevel"/>
    <w:tmpl w:val="F9A620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762CD1"/>
    <w:multiLevelType w:val="multilevel"/>
    <w:tmpl w:val="6C90399E"/>
    <w:lvl w:ilvl="0">
      <w:start w:val="1"/>
      <w:numFmt w:val="decimal"/>
      <w:pStyle w:val="4"/>
      <w:lvlText w:val="%1."/>
      <w:lvlJc w:val="left"/>
      <w:pPr>
        <w:ind w:left="720" w:hanging="360"/>
      </w:pPr>
    </w:lvl>
    <w:lvl w:ilvl="1">
      <w:start w:val="1"/>
      <w:numFmt w:val="decimal"/>
      <w:pStyle w:val="5"/>
      <w:isLgl/>
      <w:lvlText w:val="%1.%2"/>
      <w:lvlJc w:val="left"/>
      <w:pPr>
        <w:ind w:left="720" w:hanging="360"/>
      </w:pPr>
      <w:rPr>
        <w:rFonts w:hint="default"/>
      </w:rPr>
    </w:lvl>
    <w:lvl w:ilvl="2">
      <w:start w:val="1"/>
      <w:numFmt w:val="decimal"/>
      <w:pStyle w:val="6"/>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91E694E"/>
    <w:multiLevelType w:val="hybridMultilevel"/>
    <w:tmpl w:val="CFA4400A"/>
    <w:lvl w:ilvl="0" w:tplc="410611F2">
      <w:start w:val="1"/>
      <w:numFmt w:val="lowerLetter"/>
      <w:lvlText w:val="%1."/>
      <w:lvlJc w:val="left"/>
      <w:pPr>
        <w:tabs>
          <w:tab w:val="num" w:pos="363"/>
        </w:tabs>
        <w:ind w:left="363" w:hanging="360"/>
      </w:pPr>
      <w:rPr>
        <w:rFonts w:cs="Times New Roman" w:hint="default"/>
      </w:rPr>
    </w:lvl>
    <w:lvl w:ilvl="1" w:tplc="04090019" w:tentative="1">
      <w:start w:val="1"/>
      <w:numFmt w:val="lowerLetter"/>
      <w:lvlText w:val="%2."/>
      <w:lvlJc w:val="left"/>
      <w:pPr>
        <w:tabs>
          <w:tab w:val="num" w:pos="1083"/>
        </w:tabs>
        <w:ind w:left="1083" w:hanging="360"/>
      </w:pPr>
      <w:rPr>
        <w:rFonts w:cs="Times New Roman"/>
      </w:rPr>
    </w:lvl>
    <w:lvl w:ilvl="2" w:tplc="0409001B" w:tentative="1">
      <w:start w:val="1"/>
      <w:numFmt w:val="lowerRoman"/>
      <w:lvlText w:val="%3."/>
      <w:lvlJc w:val="right"/>
      <w:pPr>
        <w:tabs>
          <w:tab w:val="num" w:pos="1803"/>
        </w:tabs>
        <w:ind w:left="1803" w:hanging="180"/>
      </w:pPr>
      <w:rPr>
        <w:rFonts w:cs="Times New Roman"/>
      </w:rPr>
    </w:lvl>
    <w:lvl w:ilvl="3" w:tplc="0409000F" w:tentative="1">
      <w:start w:val="1"/>
      <w:numFmt w:val="decimal"/>
      <w:lvlText w:val="%4."/>
      <w:lvlJc w:val="left"/>
      <w:pPr>
        <w:tabs>
          <w:tab w:val="num" w:pos="2523"/>
        </w:tabs>
        <w:ind w:left="2523" w:hanging="360"/>
      </w:pPr>
      <w:rPr>
        <w:rFonts w:cs="Times New Roman"/>
      </w:rPr>
    </w:lvl>
    <w:lvl w:ilvl="4" w:tplc="04090019" w:tentative="1">
      <w:start w:val="1"/>
      <w:numFmt w:val="lowerLetter"/>
      <w:lvlText w:val="%5."/>
      <w:lvlJc w:val="left"/>
      <w:pPr>
        <w:tabs>
          <w:tab w:val="num" w:pos="3243"/>
        </w:tabs>
        <w:ind w:left="3243" w:hanging="360"/>
      </w:pPr>
      <w:rPr>
        <w:rFonts w:cs="Times New Roman"/>
      </w:rPr>
    </w:lvl>
    <w:lvl w:ilvl="5" w:tplc="0409001B" w:tentative="1">
      <w:start w:val="1"/>
      <w:numFmt w:val="lowerRoman"/>
      <w:lvlText w:val="%6."/>
      <w:lvlJc w:val="right"/>
      <w:pPr>
        <w:tabs>
          <w:tab w:val="num" w:pos="3963"/>
        </w:tabs>
        <w:ind w:left="3963" w:hanging="180"/>
      </w:pPr>
      <w:rPr>
        <w:rFonts w:cs="Times New Roman"/>
      </w:rPr>
    </w:lvl>
    <w:lvl w:ilvl="6" w:tplc="0409000F" w:tentative="1">
      <w:start w:val="1"/>
      <w:numFmt w:val="decimal"/>
      <w:lvlText w:val="%7."/>
      <w:lvlJc w:val="left"/>
      <w:pPr>
        <w:tabs>
          <w:tab w:val="num" w:pos="4683"/>
        </w:tabs>
        <w:ind w:left="4683" w:hanging="360"/>
      </w:pPr>
      <w:rPr>
        <w:rFonts w:cs="Times New Roman"/>
      </w:rPr>
    </w:lvl>
    <w:lvl w:ilvl="7" w:tplc="04090019" w:tentative="1">
      <w:start w:val="1"/>
      <w:numFmt w:val="lowerLetter"/>
      <w:lvlText w:val="%8."/>
      <w:lvlJc w:val="left"/>
      <w:pPr>
        <w:tabs>
          <w:tab w:val="num" w:pos="5403"/>
        </w:tabs>
        <w:ind w:left="5403" w:hanging="360"/>
      </w:pPr>
      <w:rPr>
        <w:rFonts w:cs="Times New Roman"/>
      </w:rPr>
    </w:lvl>
    <w:lvl w:ilvl="8" w:tplc="0409001B" w:tentative="1">
      <w:start w:val="1"/>
      <w:numFmt w:val="lowerRoman"/>
      <w:lvlText w:val="%9."/>
      <w:lvlJc w:val="right"/>
      <w:pPr>
        <w:tabs>
          <w:tab w:val="num" w:pos="6123"/>
        </w:tabs>
        <w:ind w:left="6123" w:hanging="180"/>
      </w:pPr>
      <w:rPr>
        <w:rFonts w:cs="Times New Roman"/>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3"/>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D01"/>
    <w:rsid w:val="000003FE"/>
    <w:rsid w:val="000011B9"/>
    <w:rsid w:val="00003666"/>
    <w:rsid w:val="0000410B"/>
    <w:rsid w:val="00004767"/>
    <w:rsid w:val="000062AB"/>
    <w:rsid w:val="00006C8A"/>
    <w:rsid w:val="00007CCB"/>
    <w:rsid w:val="00012A9C"/>
    <w:rsid w:val="00012DBD"/>
    <w:rsid w:val="00014365"/>
    <w:rsid w:val="00015BD8"/>
    <w:rsid w:val="0001708B"/>
    <w:rsid w:val="000212CE"/>
    <w:rsid w:val="00021A8C"/>
    <w:rsid w:val="0002620A"/>
    <w:rsid w:val="000268BA"/>
    <w:rsid w:val="00030DCE"/>
    <w:rsid w:val="00036F1B"/>
    <w:rsid w:val="000379D4"/>
    <w:rsid w:val="00040BB4"/>
    <w:rsid w:val="0004151F"/>
    <w:rsid w:val="0004160A"/>
    <w:rsid w:val="0004176B"/>
    <w:rsid w:val="00044F2F"/>
    <w:rsid w:val="00045015"/>
    <w:rsid w:val="000463A7"/>
    <w:rsid w:val="00046EE6"/>
    <w:rsid w:val="000502B3"/>
    <w:rsid w:val="00050365"/>
    <w:rsid w:val="0005428E"/>
    <w:rsid w:val="00056568"/>
    <w:rsid w:val="00060A3E"/>
    <w:rsid w:val="00060B61"/>
    <w:rsid w:val="00060F00"/>
    <w:rsid w:val="00061D28"/>
    <w:rsid w:val="00062FE3"/>
    <w:rsid w:val="00064736"/>
    <w:rsid w:val="0006649E"/>
    <w:rsid w:val="00075533"/>
    <w:rsid w:val="00077136"/>
    <w:rsid w:val="00080851"/>
    <w:rsid w:val="000821AD"/>
    <w:rsid w:val="00083E17"/>
    <w:rsid w:val="00087BFF"/>
    <w:rsid w:val="000905F1"/>
    <w:rsid w:val="00090662"/>
    <w:rsid w:val="00090AA3"/>
    <w:rsid w:val="0009185E"/>
    <w:rsid w:val="00091EE0"/>
    <w:rsid w:val="00094471"/>
    <w:rsid w:val="00095B99"/>
    <w:rsid w:val="00095D99"/>
    <w:rsid w:val="0009681A"/>
    <w:rsid w:val="000975CA"/>
    <w:rsid w:val="00097B7A"/>
    <w:rsid w:val="000A0CDA"/>
    <w:rsid w:val="000A3230"/>
    <w:rsid w:val="000A5761"/>
    <w:rsid w:val="000A661B"/>
    <w:rsid w:val="000A776C"/>
    <w:rsid w:val="000B2298"/>
    <w:rsid w:val="000B2D7E"/>
    <w:rsid w:val="000B4DDD"/>
    <w:rsid w:val="000B566D"/>
    <w:rsid w:val="000C0CAD"/>
    <w:rsid w:val="000C3AA1"/>
    <w:rsid w:val="000C4899"/>
    <w:rsid w:val="000C62F4"/>
    <w:rsid w:val="000C73AF"/>
    <w:rsid w:val="000C7FAC"/>
    <w:rsid w:val="000D5119"/>
    <w:rsid w:val="000D5367"/>
    <w:rsid w:val="000D5A6B"/>
    <w:rsid w:val="000E0ABD"/>
    <w:rsid w:val="000E2E12"/>
    <w:rsid w:val="000E5247"/>
    <w:rsid w:val="000E5777"/>
    <w:rsid w:val="000E72C6"/>
    <w:rsid w:val="000F2234"/>
    <w:rsid w:val="000F3385"/>
    <w:rsid w:val="000F36F2"/>
    <w:rsid w:val="000F48F1"/>
    <w:rsid w:val="000F4B6C"/>
    <w:rsid w:val="000F6AA3"/>
    <w:rsid w:val="0010114F"/>
    <w:rsid w:val="00101C11"/>
    <w:rsid w:val="001031DD"/>
    <w:rsid w:val="00110005"/>
    <w:rsid w:val="00110630"/>
    <w:rsid w:val="00110CD6"/>
    <w:rsid w:val="00113C06"/>
    <w:rsid w:val="0011502F"/>
    <w:rsid w:val="0011529C"/>
    <w:rsid w:val="001156D4"/>
    <w:rsid w:val="0011627D"/>
    <w:rsid w:val="00117D18"/>
    <w:rsid w:val="001218D4"/>
    <w:rsid w:val="00121BFE"/>
    <w:rsid w:val="001222A5"/>
    <w:rsid w:val="001222BC"/>
    <w:rsid w:val="00122462"/>
    <w:rsid w:val="00125698"/>
    <w:rsid w:val="00130360"/>
    <w:rsid w:val="00131338"/>
    <w:rsid w:val="00131A6A"/>
    <w:rsid w:val="00134075"/>
    <w:rsid w:val="00134B36"/>
    <w:rsid w:val="00136000"/>
    <w:rsid w:val="00136B68"/>
    <w:rsid w:val="00136F62"/>
    <w:rsid w:val="00144D12"/>
    <w:rsid w:val="001478D9"/>
    <w:rsid w:val="00151EC6"/>
    <w:rsid w:val="00153D2D"/>
    <w:rsid w:val="0016240A"/>
    <w:rsid w:val="001626C6"/>
    <w:rsid w:val="0016380B"/>
    <w:rsid w:val="001643BB"/>
    <w:rsid w:val="001723D2"/>
    <w:rsid w:val="00172E4F"/>
    <w:rsid w:val="00176F0B"/>
    <w:rsid w:val="0018085C"/>
    <w:rsid w:val="00184300"/>
    <w:rsid w:val="00184744"/>
    <w:rsid w:val="001914F7"/>
    <w:rsid w:val="00191E60"/>
    <w:rsid w:val="00194094"/>
    <w:rsid w:val="001971AC"/>
    <w:rsid w:val="001A27EF"/>
    <w:rsid w:val="001A39E4"/>
    <w:rsid w:val="001A3F54"/>
    <w:rsid w:val="001A4262"/>
    <w:rsid w:val="001A44B1"/>
    <w:rsid w:val="001A5342"/>
    <w:rsid w:val="001A794B"/>
    <w:rsid w:val="001A7A07"/>
    <w:rsid w:val="001B28EA"/>
    <w:rsid w:val="001B362F"/>
    <w:rsid w:val="001B55FD"/>
    <w:rsid w:val="001B7045"/>
    <w:rsid w:val="001B7D9D"/>
    <w:rsid w:val="001C0AC9"/>
    <w:rsid w:val="001C2571"/>
    <w:rsid w:val="001C2680"/>
    <w:rsid w:val="001C3544"/>
    <w:rsid w:val="001C55F7"/>
    <w:rsid w:val="001D21D1"/>
    <w:rsid w:val="001D76F5"/>
    <w:rsid w:val="001E0DAC"/>
    <w:rsid w:val="001E1311"/>
    <w:rsid w:val="001E14D5"/>
    <w:rsid w:val="001E2700"/>
    <w:rsid w:val="001E52BF"/>
    <w:rsid w:val="001E5C9F"/>
    <w:rsid w:val="001F2F2F"/>
    <w:rsid w:val="001F390D"/>
    <w:rsid w:val="001F57FB"/>
    <w:rsid w:val="00200E9B"/>
    <w:rsid w:val="0020285E"/>
    <w:rsid w:val="00202CCB"/>
    <w:rsid w:val="00205E52"/>
    <w:rsid w:val="00206BD3"/>
    <w:rsid w:val="00207522"/>
    <w:rsid w:val="00207CCA"/>
    <w:rsid w:val="0021167C"/>
    <w:rsid w:val="00211EF7"/>
    <w:rsid w:val="00213E62"/>
    <w:rsid w:val="002142E4"/>
    <w:rsid w:val="00217D29"/>
    <w:rsid w:val="00221B38"/>
    <w:rsid w:val="00225FAA"/>
    <w:rsid w:val="002260C5"/>
    <w:rsid w:val="00226664"/>
    <w:rsid w:val="00233A26"/>
    <w:rsid w:val="002345E4"/>
    <w:rsid w:val="00234A33"/>
    <w:rsid w:val="00235170"/>
    <w:rsid w:val="0023631B"/>
    <w:rsid w:val="002363D1"/>
    <w:rsid w:val="00236603"/>
    <w:rsid w:val="002405BC"/>
    <w:rsid w:val="00241E66"/>
    <w:rsid w:val="0024200C"/>
    <w:rsid w:val="00242401"/>
    <w:rsid w:val="0024299E"/>
    <w:rsid w:val="0024454F"/>
    <w:rsid w:val="0024467B"/>
    <w:rsid w:val="002452B1"/>
    <w:rsid w:val="002461FF"/>
    <w:rsid w:val="00247644"/>
    <w:rsid w:val="002512BB"/>
    <w:rsid w:val="00252B31"/>
    <w:rsid w:val="002558D9"/>
    <w:rsid w:val="0025636F"/>
    <w:rsid w:val="00256A10"/>
    <w:rsid w:val="00256BCE"/>
    <w:rsid w:val="00257892"/>
    <w:rsid w:val="002621A5"/>
    <w:rsid w:val="00262227"/>
    <w:rsid w:val="00262C88"/>
    <w:rsid w:val="00266083"/>
    <w:rsid w:val="0026626A"/>
    <w:rsid w:val="00270252"/>
    <w:rsid w:val="0027063A"/>
    <w:rsid w:val="00273C4C"/>
    <w:rsid w:val="00275A36"/>
    <w:rsid w:val="00282853"/>
    <w:rsid w:val="002857E1"/>
    <w:rsid w:val="00291398"/>
    <w:rsid w:val="002945D2"/>
    <w:rsid w:val="002966D2"/>
    <w:rsid w:val="002A1839"/>
    <w:rsid w:val="002A3BC1"/>
    <w:rsid w:val="002A4261"/>
    <w:rsid w:val="002A4B84"/>
    <w:rsid w:val="002B1C60"/>
    <w:rsid w:val="002B2C54"/>
    <w:rsid w:val="002B3EAC"/>
    <w:rsid w:val="002C0AF6"/>
    <w:rsid w:val="002C2B40"/>
    <w:rsid w:val="002C67C7"/>
    <w:rsid w:val="002C74F7"/>
    <w:rsid w:val="002D152A"/>
    <w:rsid w:val="002D3C08"/>
    <w:rsid w:val="002D50CF"/>
    <w:rsid w:val="002D581C"/>
    <w:rsid w:val="002D6565"/>
    <w:rsid w:val="002E1A22"/>
    <w:rsid w:val="002E2BE2"/>
    <w:rsid w:val="002E350D"/>
    <w:rsid w:val="002E37F1"/>
    <w:rsid w:val="002E3EE1"/>
    <w:rsid w:val="002E5ED3"/>
    <w:rsid w:val="002E616F"/>
    <w:rsid w:val="002F0472"/>
    <w:rsid w:val="002F4ECB"/>
    <w:rsid w:val="002F53E5"/>
    <w:rsid w:val="002F70E9"/>
    <w:rsid w:val="0030038B"/>
    <w:rsid w:val="00300699"/>
    <w:rsid w:val="00302E2F"/>
    <w:rsid w:val="00303FDE"/>
    <w:rsid w:val="00304398"/>
    <w:rsid w:val="00304BF1"/>
    <w:rsid w:val="003071BC"/>
    <w:rsid w:val="00307FE2"/>
    <w:rsid w:val="0031335E"/>
    <w:rsid w:val="00314260"/>
    <w:rsid w:val="00314D4E"/>
    <w:rsid w:val="00320A7D"/>
    <w:rsid w:val="00322A23"/>
    <w:rsid w:val="00323260"/>
    <w:rsid w:val="00324468"/>
    <w:rsid w:val="00326605"/>
    <w:rsid w:val="00326B5C"/>
    <w:rsid w:val="00327BB0"/>
    <w:rsid w:val="00333B0C"/>
    <w:rsid w:val="003366FD"/>
    <w:rsid w:val="003379D1"/>
    <w:rsid w:val="003415C9"/>
    <w:rsid w:val="0034489A"/>
    <w:rsid w:val="00353C9A"/>
    <w:rsid w:val="00363628"/>
    <w:rsid w:val="003638DE"/>
    <w:rsid w:val="0036663A"/>
    <w:rsid w:val="00371244"/>
    <w:rsid w:val="003723AE"/>
    <w:rsid w:val="00374016"/>
    <w:rsid w:val="0037682D"/>
    <w:rsid w:val="00382474"/>
    <w:rsid w:val="0038300A"/>
    <w:rsid w:val="00391040"/>
    <w:rsid w:val="00391BF2"/>
    <w:rsid w:val="003936A5"/>
    <w:rsid w:val="003955F5"/>
    <w:rsid w:val="00395ECA"/>
    <w:rsid w:val="003979D7"/>
    <w:rsid w:val="003A16A5"/>
    <w:rsid w:val="003A247B"/>
    <w:rsid w:val="003A2BCF"/>
    <w:rsid w:val="003A6075"/>
    <w:rsid w:val="003A6415"/>
    <w:rsid w:val="003B0F6C"/>
    <w:rsid w:val="003B1806"/>
    <w:rsid w:val="003B4955"/>
    <w:rsid w:val="003B5BA1"/>
    <w:rsid w:val="003B6E09"/>
    <w:rsid w:val="003C02C4"/>
    <w:rsid w:val="003C3A13"/>
    <w:rsid w:val="003C3A73"/>
    <w:rsid w:val="003C51B3"/>
    <w:rsid w:val="003C5F5C"/>
    <w:rsid w:val="003C6D39"/>
    <w:rsid w:val="003C7BEB"/>
    <w:rsid w:val="003C7C25"/>
    <w:rsid w:val="003D04E1"/>
    <w:rsid w:val="003D3BC1"/>
    <w:rsid w:val="003D3C91"/>
    <w:rsid w:val="003D41B1"/>
    <w:rsid w:val="003D71BE"/>
    <w:rsid w:val="003E041D"/>
    <w:rsid w:val="003E08B6"/>
    <w:rsid w:val="003E266A"/>
    <w:rsid w:val="003E5DCB"/>
    <w:rsid w:val="003F0CAA"/>
    <w:rsid w:val="003F1F24"/>
    <w:rsid w:val="003F33D5"/>
    <w:rsid w:val="003F40AA"/>
    <w:rsid w:val="003F5174"/>
    <w:rsid w:val="00404ACD"/>
    <w:rsid w:val="00407E88"/>
    <w:rsid w:val="00410736"/>
    <w:rsid w:val="00413594"/>
    <w:rsid w:val="00416C49"/>
    <w:rsid w:val="00422142"/>
    <w:rsid w:val="00422170"/>
    <w:rsid w:val="0042257A"/>
    <w:rsid w:val="00422A8D"/>
    <w:rsid w:val="00423EEF"/>
    <w:rsid w:val="004246B5"/>
    <w:rsid w:val="004247E4"/>
    <w:rsid w:val="00425B3F"/>
    <w:rsid w:val="00425D38"/>
    <w:rsid w:val="00431AC5"/>
    <w:rsid w:val="00432907"/>
    <w:rsid w:val="00432F14"/>
    <w:rsid w:val="00434CA0"/>
    <w:rsid w:val="00435505"/>
    <w:rsid w:val="00435DE5"/>
    <w:rsid w:val="00436407"/>
    <w:rsid w:val="00442670"/>
    <w:rsid w:val="0044397B"/>
    <w:rsid w:val="00444B06"/>
    <w:rsid w:val="00446B32"/>
    <w:rsid w:val="004501E8"/>
    <w:rsid w:val="00452B89"/>
    <w:rsid w:val="00452BAE"/>
    <w:rsid w:val="00453D2B"/>
    <w:rsid w:val="00454090"/>
    <w:rsid w:val="004548EA"/>
    <w:rsid w:val="00456CAD"/>
    <w:rsid w:val="00460495"/>
    <w:rsid w:val="004634B5"/>
    <w:rsid w:val="00463684"/>
    <w:rsid w:val="004654C3"/>
    <w:rsid w:val="0046610D"/>
    <w:rsid w:val="00466491"/>
    <w:rsid w:val="00466E45"/>
    <w:rsid w:val="00467167"/>
    <w:rsid w:val="004675C1"/>
    <w:rsid w:val="004679ED"/>
    <w:rsid w:val="004706AE"/>
    <w:rsid w:val="00470DAC"/>
    <w:rsid w:val="00472053"/>
    <w:rsid w:val="0047600F"/>
    <w:rsid w:val="00477EF7"/>
    <w:rsid w:val="0048096C"/>
    <w:rsid w:val="00480B23"/>
    <w:rsid w:val="004850D5"/>
    <w:rsid w:val="00487712"/>
    <w:rsid w:val="004902DA"/>
    <w:rsid w:val="00490AF3"/>
    <w:rsid w:val="0049210C"/>
    <w:rsid w:val="0049358B"/>
    <w:rsid w:val="00493F59"/>
    <w:rsid w:val="00495C8C"/>
    <w:rsid w:val="00496D92"/>
    <w:rsid w:val="004975C8"/>
    <w:rsid w:val="004A0284"/>
    <w:rsid w:val="004A0C32"/>
    <w:rsid w:val="004A4413"/>
    <w:rsid w:val="004A4BD6"/>
    <w:rsid w:val="004A6595"/>
    <w:rsid w:val="004A7A34"/>
    <w:rsid w:val="004B16A2"/>
    <w:rsid w:val="004B178F"/>
    <w:rsid w:val="004B2862"/>
    <w:rsid w:val="004B3835"/>
    <w:rsid w:val="004B39F5"/>
    <w:rsid w:val="004B415E"/>
    <w:rsid w:val="004B687A"/>
    <w:rsid w:val="004C06F2"/>
    <w:rsid w:val="004C2B26"/>
    <w:rsid w:val="004C4648"/>
    <w:rsid w:val="004C64DB"/>
    <w:rsid w:val="004C6D8F"/>
    <w:rsid w:val="004C77DF"/>
    <w:rsid w:val="004D3688"/>
    <w:rsid w:val="004D4B4E"/>
    <w:rsid w:val="004D5A93"/>
    <w:rsid w:val="004E0BC8"/>
    <w:rsid w:val="004E1A6E"/>
    <w:rsid w:val="004E439A"/>
    <w:rsid w:val="004E4EDE"/>
    <w:rsid w:val="004E6580"/>
    <w:rsid w:val="004E71DD"/>
    <w:rsid w:val="004F4469"/>
    <w:rsid w:val="004F5B5B"/>
    <w:rsid w:val="004F6E9A"/>
    <w:rsid w:val="004F6FA6"/>
    <w:rsid w:val="004F745B"/>
    <w:rsid w:val="004F764E"/>
    <w:rsid w:val="00500C71"/>
    <w:rsid w:val="00501059"/>
    <w:rsid w:val="00502A88"/>
    <w:rsid w:val="005049F9"/>
    <w:rsid w:val="00505C3E"/>
    <w:rsid w:val="005064F4"/>
    <w:rsid w:val="005079F6"/>
    <w:rsid w:val="00511532"/>
    <w:rsid w:val="005138D9"/>
    <w:rsid w:val="00513EBA"/>
    <w:rsid w:val="005145B3"/>
    <w:rsid w:val="00514812"/>
    <w:rsid w:val="00517AA1"/>
    <w:rsid w:val="00522485"/>
    <w:rsid w:val="005259C8"/>
    <w:rsid w:val="005263C5"/>
    <w:rsid w:val="00526A3D"/>
    <w:rsid w:val="00527802"/>
    <w:rsid w:val="00530763"/>
    <w:rsid w:val="00532260"/>
    <w:rsid w:val="005338C6"/>
    <w:rsid w:val="005353CA"/>
    <w:rsid w:val="005371B8"/>
    <w:rsid w:val="00537D44"/>
    <w:rsid w:val="00541457"/>
    <w:rsid w:val="00541F01"/>
    <w:rsid w:val="005430AC"/>
    <w:rsid w:val="005462CC"/>
    <w:rsid w:val="005464BF"/>
    <w:rsid w:val="00547FE2"/>
    <w:rsid w:val="00550958"/>
    <w:rsid w:val="00550DB9"/>
    <w:rsid w:val="005537E5"/>
    <w:rsid w:val="00553BFE"/>
    <w:rsid w:val="005608BA"/>
    <w:rsid w:val="00560FF6"/>
    <w:rsid w:val="00561A58"/>
    <w:rsid w:val="005650EE"/>
    <w:rsid w:val="00566CFA"/>
    <w:rsid w:val="00567BBF"/>
    <w:rsid w:val="00567BD9"/>
    <w:rsid w:val="00571311"/>
    <w:rsid w:val="005715D5"/>
    <w:rsid w:val="00571AF0"/>
    <w:rsid w:val="005746E6"/>
    <w:rsid w:val="0057714E"/>
    <w:rsid w:val="00577844"/>
    <w:rsid w:val="005778CC"/>
    <w:rsid w:val="00580B69"/>
    <w:rsid w:val="00586880"/>
    <w:rsid w:val="00591B6F"/>
    <w:rsid w:val="00595042"/>
    <w:rsid w:val="0059526F"/>
    <w:rsid w:val="0059707C"/>
    <w:rsid w:val="005A37A5"/>
    <w:rsid w:val="005A3805"/>
    <w:rsid w:val="005A4028"/>
    <w:rsid w:val="005A6809"/>
    <w:rsid w:val="005A7EDF"/>
    <w:rsid w:val="005B2620"/>
    <w:rsid w:val="005B6C8C"/>
    <w:rsid w:val="005B7FE0"/>
    <w:rsid w:val="005C16EC"/>
    <w:rsid w:val="005C2BD4"/>
    <w:rsid w:val="005C4E0D"/>
    <w:rsid w:val="005C5507"/>
    <w:rsid w:val="005C636E"/>
    <w:rsid w:val="005C7192"/>
    <w:rsid w:val="005C76FE"/>
    <w:rsid w:val="005D1848"/>
    <w:rsid w:val="005D38C9"/>
    <w:rsid w:val="005D5BC7"/>
    <w:rsid w:val="005D6EBF"/>
    <w:rsid w:val="005D773A"/>
    <w:rsid w:val="005D77B9"/>
    <w:rsid w:val="005D7D3B"/>
    <w:rsid w:val="005E0237"/>
    <w:rsid w:val="005E18E9"/>
    <w:rsid w:val="005E6AD1"/>
    <w:rsid w:val="005F1F9D"/>
    <w:rsid w:val="005F2B24"/>
    <w:rsid w:val="005F6371"/>
    <w:rsid w:val="005F638E"/>
    <w:rsid w:val="005F6830"/>
    <w:rsid w:val="006001D0"/>
    <w:rsid w:val="0060705B"/>
    <w:rsid w:val="006100B7"/>
    <w:rsid w:val="0061045E"/>
    <w:rsid w:val="00611D9B"/>
    <w:rsid w:val="006120B8"/>
    <w:rsid w:val="00614BA6"/>
    <w:rsid w:val="00621127"/>
    <w:rsid w:val="006220D7"/>
    <w:rsid w:val="006264EC"/>
    <w:rsid w:val="00631795"/>
    <w:rsid w:val="00632EEB"/>
    <w:rsid w:val="00637B9C"/>
    <w:rsid w:val="006418B2"/>
    <w:rsid w:val="00641EA5"/>
    <w:rsid w:val="006476B5"/>
    <w:rsid w:val="00651E7C"/>
    <w:rsid w:val="0065321D"/>
    <w:rsid w:val="00653278"/>
    <w:rsid w:val="00653705"/>
    <w:rsid w:val="00654B16"/>
    <w:rsid w:val="00655875"/>
    <w:rsid w:val="00655AFC"/>
    <w:rsid w:val="0065681F"/>
    <w:rsid w:val="00657FD2"/>
    <w:rsid w:val="0066009C"/>
    <w:rsid w:val="00660ADD"/>
    <w:rsid w:val="00663523"/>
    <w:rsid w:val="00664763"/>
    <w:rsid w:val="006648AB"/>
    <w:rsid w:val="00667BE4"/>
    <w:rsid w:val="00670CEE"/>
    <w:rsid w:val="00672A9F"/>
    <w:rsid w:val="00675998"/>
    <w:rsid w:val="00677FE0"/>
    <w:rsid w:val="00680EDD"/>
    <w:rsid w:val="0068229E"/>
    <w:rsid w:val="00682563"/>
    <w:rsid w:val="006866C5"/>
    <w:rsid w:val="00686EBE"/>
    <w:rsid w:val="00690F17"/>
    <w:rsid w:val="0069716E"/>
    <w:rsid w:val="00697916"/>
    <w:rsid w:val="006979F4"/>
    <w:rsid w:val="006A1A74"/>
    <w:rsid w:val="006A647D"/>
    <w:rsid w:val="006A71E3"/>
    <w:rsid w:val="006A7E98"/>
    <w:rsid w:val="006B2402"/>
    <w:rsid w:val="006B2670"/>
    <w:rsid w:val="006B2EE9"/>
    <w:rsid w:val="006B64B8"/>
    <w:rsid w:val="006C03C8"/>
    <w:rsid w:val="006C0D25"/>
    <w:rsid w:val="006C2D83"/>
    <w:rsid w:val="006C48FC"/>
    <w:rsid w:val="006C6293"/>
    <w:rsid w:val="006D3F0D"/>
    <w:rsid w:val="006D561A"/>
    <w:rsid w:val="006D7526"/>
    <w:rsid w:val="006D7BD2"/>
    <w:rsid w:val="006E0D2E"/>
    <w:rsid w:val="006E2552"/>
    <w:rsid w:val="006E6A4A"/>
    <w:rsid w:val="006F0F8C"/>
    <w:rsid w:val="006F28D8"/>
    <w:rsid w:val="006F3960"/>
    <w:rsid w:val="006F3A76"/>
    <w:rsid w:val="006F513A"/>
    <w:rsid w:val="00700196"/>
    <w:rsid w:val="007002DD"/>
    <w:rsid w:val="00704513"/>
    <w:rsid w:val="00705A5F"/>
    <w:rsid w:val="00705C0E"/>
    <w:rsid w:val="007065E7"/>
    <w:rsid w:val="00712802"/>
    <w:rsid w:val="00715AB2"/>
    <w:rsid w:val="00716661"/>
    <w:rsid w:val="00717133"/>
    <w:rsid w:val="007179F2"/>
    <w:rsid w:val="00717F8A"/>
    <w:rsid w:val="00725CB0"/>
    <w:rsid w:val="00732673"/>
    <w:rsid w:val="00733360"/>
    <w:rsid w:val="00734E01"/>
    <w:rsid w:val="00735B53"/>
    <w:rsid w:val="00736708"/>
    <w:rsid w:val="00736C6C"/>
    <w:rsid w:val="00737CE5"/>
    <w:rsid w:val="00740773"/>
    <w:rsid w:val="007456D1"/>
    <w:rsid w:val="00746090"/>
    <w:rsid w:val="00747482"/>
    <w:rsid w:val="00756CD9"/>
    <w:rsid w:val="00757359"/>
    <w:rsid w:val="00761C27"/>
    <w:rsid w:val="00762E0A"/>
    <w:rsid w:val="00763872"/>
    <w:rsid w:val="007638FC"/>
    <w:rsid w:val="00763946"/>
    <w:rsid w:val="00763A43"/>
    <w:rsid w:val="00763FAB"/>
    <w:rsid w:val="00764EAD"/>
    <w:rsid w:val="007669FC"/>
    <w:rsid w:val="00766FCF"/>
    <w:rsid w:val="007674CC"/>
    <w:rsid w:val="00767CA2"/>
    <w:rsid w:val="0077284B"/>
    <w:rsid w:val="00777384"/>
    <w:rsid w:val="00785144"/>
    <w:rsid w:val="007864A7"/>
    <w:rsid w:val="007871AC"/>
    <w:rsid w:val="00787523"/>
    <w:rsid w:val="00790C99"/>
    <w:rsid w:val="007953DF"/>
    <w:rsid w:val="007A06BA"/>
    <w:rsid w:val="007A2D96"/>
    <w:rsid w:val="007A3D38"/>
    <w:rsid w:val="007A4B17"/>
    <w:rsid w:val="007A782B"/>
    <w:rsid w:val="007B1CDB"/>
    <w:rsid w:val="007B3087"/>
    <w:rsid w:val="007B40F4"/>
    <w:rsid w:val="007B4AFB"/>
    <w:rsid w:val="007B7F32"/>
    <w:rsid w:val="007C0339"/>
    <w:rsid w:val="007C1A7A"/>
    <w:rsid w:val="007C4EFD"/>
    <w:rsid w:val="007D04C3"/>
    <w:rsid w:val="007D063F"/>
    <w:rsid w:val="007D1DF5"/>
    <w:rsid w:val="007D4F49"/>
    <w:rsid w:val="007D509C"/>
    <w:rsid w:val="007D6422"/>
    <w:rsid w:val="007D70EA"/>
    <w:rsid w:val="007E05AB"/>
    <w:rsid w:val="007E0AB6"/>
    <w:rsid w:val="007E443D"/>
    <w:rsid w:val="007E523C"/>
    <w:rsid w:val="007F2871"/>
    <w:rsid w:val="007F3C4C"/>
    <w:rsid w:val="007F509E"/>
    <w:rsid w:val="008009B5"/>
    <w:rsid w:val="00802B46"/>
    <w:rsid w:val="00803944"/>
    <w:rsid w:val="00804864"/>
    <w:rsid w:val="008052B5"/>
    <w:rsid w:val="008065C4"/>
    <w:rsid w:val="00813118"/>
    <w:rsid w:val="0081390B"/>
    <w:rsid w:val="00814623"/>
    <w:rsid w:val="00814E81"/>
    <w:rsid w:val="0081703A"/>
    <w:rsid w:val="0082256B"/>
    <w:rsid w:val="00823618"/>
    <w:rsid w:val="00826421"/>
    <w:rsid w:val="008277E1"/>
    <w:rsid w:val="008305AA"/>
    <w:rsid w:val="00832B9D"/>
    <w:rsid w:val="00833768"/>
    <w:rsid w:val="00834D8E"/>
    <w:rsid w:val="00834DA7"/>
    <w:rsid w:val="00835712"/>
    <w:rsid w:val="00836E60"/>
    <w:rsid w:val="00840221"/>
    <w:rsid w:val="0084185E"/>
    <w:rsid w:val="00844652"/>
    <w:rsid w:val="0084562F"/>
    <w:rsid w:val="00845C66"/>
    <w:rsid w:val="008512DE"/>
    <w:rsid w:val="0085644E"/>
    <w:rsid w:val="00860246"/>
    <w:rsid w:val="00860679"/>
    <w:rsid w:val="0086132E"/>
    <w:rsid w:val="00861F13"/>
    <w:rsid w:val="00862770"/>
    <w:rsid w:val="0086369E"/>
    <w:rsid w:val="00863B19"/>
    <w:rsid w:val="00864D44"/>
    <w:rsid w:val="0086708B"/>
    <w:rsid w:val="00870412"/>
    <w:rsid w:val="00870695"/>
    <w:rsid w:val="008707BC"/>
    <w:rsid w:val="0087184F"/>
    <w:rsid w:val="00871E07"/>
    <w:rsid w:val="00871E54"/>
    <w:rsid w:val="00871F11"/>
    <w:rsid w:val="00876B2F"/>
    <w:rsid w:val="008823BA"/>
    <w:rsid w:val="008826C5"/>
    <w:rsid w:val="008839C3"/>
    <w:rsid w:val="00883D6F"/>
    <w:rsid w:val="008862AC"/>
    <w:rsid w:val="00886302"/>
    <w:rsid w:val="00887FE6"/>
    <w:rsid w:val="00890A34"/>
    <w:rsid w:val="00891991"/>
    <w:rsid w:val="00891E50"/>
    <w:rsid w:val="00892A41"/>
    <w:rsid w:val="0089451E"/>
    <w:rsid w:val="008954B2"/>
    <w:rsid w:val="00896FC1"/>
    <w:rsid w:val="0089777D"/>
    <w:rsid w:val="008A0250"/>
    <w:rsid w:val="008A08E9"/>
    <w:rsid w:val="008A0E53"/>
    <w:rsid w:val="008B34A2"/>
    <w:rsid w:val="008B48AF"/>
    <w:rsid w:val="008B6821"/>
    <w:rsid w:val="008B6A6E"/>
    <w:rsid w:val="008C1D94"/>
    <w:rsid w:val="008C5D59"/>
    <w:rsid w:val="008C5F5F"/>
    <w:rsid w:val="008C68E4"/>
    <w:rsid w:val="008C7898"/>
    <w:rsid w:val="008D3638"/>
    <w:rsid w:val="008D65F1"/>
    <w:rsid w:val="008D6A2E"/>
    <w:rsid w:val="008E00AA"/>
    <w:rsid w:val="008E12B0"/>
    <w:rsid w:val="008E27BC"/>
    <w:rsid w:val="008E2CD2"/>
    <w:rsid w:val="008E5126"/>
    <w:rsid w:val="008E5631"/>
    <w:rsid w:val="008E6FFD"/>
    <w:rsid w:val="008F2323"/>
    <w:rsid w:val="008F34C7"/>
    <w:rsid w:val="008F37C6"/>
    <w:rsid w:val="008F5935"/>
    <w:rsid w:val="008F5DD7"/>
    <w:rsid w:val="008F7582"/>
    <w:rsid w:val="00900D37"/>
    <w:rsid w:val="00905330"/>
    <w:rsid w:val="009120C7"/>
    <w:rsid w:val="00912F53"/>
    <w:rsid w:val="0091354C"/>
    <w:rsid w:val="00914404"/>
    <w:rsid w:val="00915695"/>
    <w:rsid w:val="00917EB4"/>
    <w:rsid w:val="00921594"/>
    <w:rsid w:val="0092271E"/>
    <w:rsid w:val="00922843"/>
    <w:rsid w:val="009229D2"/>
    <w:rsid w:val="00924F7B"/>
    <w:rsid w:val="00931604"/>
    <w:rsid w:val="009335C7"/>
    <w:rsid w:val="009336FC"/>
    <w:rsid w:val="00937DAA"/>
    <w:rsid w:val="00942F47"/>
    <w:rsid w:val="00944B53"/>
    <w:rsid w:val="00947E8A"/>
    <w:rsid w:val="009523E0"/>
    <w:rsid w:val="009532A5"/>
    <w:rsid w:val="00955DCC"/>
    <w:rsid w:val="009561DE"/>
    <w:rsid w:val="00956988"/>
    <w:rsid w:val="00957029"/>
    <w:rsid w:val="009571F6"/>
    <w:rsid w:val="0096005F"/>
    <w:rsid w:val="0096107D"/>
    <w:rsid w:val="009638C2"/>
    <w:rsid w:val="00964BF9"/>
    <w:rsid w:val="00966BA2"/>
    <w:rsid w:val="00966BA9"/>
    <w:rsid w:val="00967A8C"/>
    <w:rsid w:val="00970D63"/>
    <w:rsid w:val="009733B5"/>
    <w:rsid w:val="00974091"/>
    <w:rsid w:val="0097503F"/>
    <w:rsid w:val="0097522F"/>
    <w:rsid w:val="009816FB"/>
    <w:rsid w:val="00982F32"/>
    <w:rsid w:val="00986A17"/>
    <w:rsid w:val="00987A72"/>
    <w:rsid w:val="00987DC0"/>
    <w:rsid w:val="00990177"/>
    <w:rsid w:val="00990197"/>
    <w:rsid w:val="00991A64"/>
    <w:rsid w:val="00995148"/>
    <w:rsid w:val="00995A4F"/>
    <w:rsid w:val="00995EB0"/>
    <w:rsid w:val="00996AA8"/>
    <w:rsid w:val="00997AD1"/>
    <w:rsid w:val="009A24EF"/>
    <w:rsid w:val="009A5B34"/>
    <w:rsid w:val="009A6F35"/>
    <w:rsid w:val="009A7496"/>
    <w:rsid w:val="009B2FDE"/>
    <w:rsid w:val="009B66F6"/>
    <w:rsid w:val="009B6B0B"/>
    <w:rsid w:val="009C23BF"/>
    <w:rsid w:val="009C52DE"/>
    <w:rsid w:val="009C5388"/>
    <w:rsid w:val="009C6342"/>
    <w:rsid w:val="009C6E29"/>
    <w:rsid w:val="009C7987"/>
    <w:rsid w:val="009D0346"/>
    <w:rsid w:val="009D0EE8"/>
    <w:rsid w:val="009D18E9"/>
    <w:rsid w:val="009D204E"/>
    <w:rsid w:val="009D3DC3"/>
    <w:rsid w:val="009D7FDA"/>
    <w:rsid w:val="009E0E54"/>
    <w:rsid w:val="009E1313"/>
    <w:rsid w:val="009E1656"/>
    <w:rsid w:val="009E1E37"/>
    <w:rsid w:val="009E3036"/>
    <w:rsid w:val="009E690A"/>
    <w:rsid w:val="009E7E21"/>
    <w:rsid w:val="009F0CCE"/>
    <w:rsid w:val="009F17F3"/>
    <w:rsid w:val="009F1F95"/>
    <w:rsid w:val="009F20C5"/>
    <w:rsid w:val="009F20F0"/>
    <w:rsid w:val="009F4404"/>
    <w:rsid w:val="009F4481"/>
    <w:rsid w:val="009F6812"/>
    <w:rsid w:val="009F6F89"/>
    <w:rsid w:val="009F7322"/>
    <w:rsid w:val="009F7CC0"/>
    <w:rsid w:val="00A0124F"/>
    <w:rsid w:val="00A02BD8"/>
    <w:rsid w:val="00A034A0"/>
    <w:rsid w:val="00A04ADE"/>
    <w:rsid w:val="00A05E9D"/>
    <w:rsid w:val="00A10196"/>
    <w:rsid w:val="00A11C88"/>
    <w:rsid w:val="00A1285C"/>
    <w:rsid w:val="00A12CDD"/>
    <w:rsid w:val="00A13295"/>
    <w:rsid w:val="00A15315"/>
    <w:rsid w:val="00A168E3"/>
    <w:rsid w:val="00A16ACA"/>
    <w:rsid w:val="00A21D01"/>
    <w:rsid w:val="00A22607"/>
    <w:rsid w:val="00A22DC8"/>
    <w:rsid w:val="00A23F35"/>
    <w:rsid w:val="00A259DD"/>
    <w:rsid w:val="00A2696D"/>
    <w:rsid w:val="00A30AC5"/>
    <w:rsid w:val="00A31317"/>
    <w:rsid w:val="00A32E5F"/>
    <w:rsid w:val="00A3378A"/>
    <w:rsid w:val="00A346A5"/>
    <w:rsid w:val="00A379B9"/>
    <w:rsid w:val="00A43FBA"/>
    <w:rsid w:val="00A43FFF"/>
    <w:rsid w:val="00A47365"/>
    <w:rsid w:val="00A50C95"/>
    <w:rsid w:val="00A51500"/>
    <w:rsid w:val="00A51FEB"/>
    <w:rsid w:val="00A53B6A"/>
    <w:rsid w:val="00A53FEA"/>
    <w:rsid w:val="00A5432B"/>
    <w:rsid w:val="00A602A3"/>
    <w:rsid w:val="00A61B99"/>
    <w:rsid w:val="00A63D50"/>
    <w:rsid w:val="00A651A5"/>
    <w:rsid w:val="00A65273"/>
    <w:rsid w:val="00A669EF"/>
    <w:rsid w:val="00A7026F"/>
    <w:rsid w:val="00A70E02"/>
    <w:rsid w:val="00A73E62"/>
    <w:rsid w:val="00A749D0"/>
    <w:rsid w:val="00A756DD"/>
    <w:rsid w:val="00A77F12"/>
    <w:rsid w:val="00A8038E"/>
    <w:rsid w:val="00A80511"/>
    <w:rsid w:val="00A80A37"/>
    <w:rsid w:val="00A81DEF"/>
    <w:rsid w:val="00A82108"/>
    <w:rsid w:val="00A834AE"/>
    <w:rsid w:val="00A83C38"/>
    <w:rsid w:val="00A83E54"/>
    <w:rsid w:val="00A872A7"/>
    <w:rsid w:val="00A9061B"/>
    <w:rsid w:val="00A9134F"/>
    <w:rsid w:val="00A93C19"/>
    <w:rsid w:val="00A9470A"/>
    <w:rsid w:val="00A94ED2"/>
    <w:rsid w:val="00A954C5"/>
    <w:rsid w:val="00A962EB"/>
    <w:rsid w:val="00A9787B"/>
    <w:rsid w:val="00AA01B7"/>
    <w:rsid w:val="00AA34D9"/>
    <w:rsid w:val="00AA5B2F"/>
    <w:rsid w:val="00AA6475"/>
    <w:rsid w:val="00AB183B"/>
    <w:rsid w:val="00AB32FD"/>
    <w:rsid w:val="00AB4B8C"/>
    <w:rsid w:val="00AB4FC8"/>
    <w:rsid w:val="00AB5DE3"/>
    <w:rsid w:val="00AB6192"/>
    <w:rsid w:val="00AB635D"/>
    <w:rsid w:val="00AB7494"/>
    <w:rsid w:val="00AC3AB9"/>
    <w:rsid w:val="00AC4199"/>
    <w:rsid w:val="00AC4564"/>
    <w:rsid w:val="00AD16FC"/>
    <w:rsid w:val="00AD1EB9"/>
    <w:rsid w:val="00AD21E2"/>
    <w:rsid w:val="00AD2662"/>
    <w:rsid w:val="00AD2C7B"/>
    <w:rsid w:val="00AD3BF0"/>
    <w:rsid w:val="00AD43AF"/>
    <w:rsid w:val="00AD4C9B"/>
    <w:rsid w:val="00AD5C82"/>
    <w:rsid w:val="00AE0ADC"/>
    <w:rsid w:val="00AE186F"/>
    <w:rsid w:val="00AE3308"/>
    <w:rsid w:val="00AE4B42"/>
    <w:rsid w:val="00AE552C"/>
    <w:rsid w:val="00AE6BBB"/>
    <w:rsid w:val="00AF330E"/>
    <w:rsid w:val="00AF4517"/>
    <w:rsid w:val="00AF613D"/>
    <w:rsid w:val="00B1128D"/>
    <w:rsid w:val="00B1173D"/>
    <w:rsid w:val="00B12495"/>
    <w:rsid w:val="00B13C35"/>
    <w:rsid w:val="00B22B39"/>
    <w:rsid w:val="00B2349C"/>
    <w:rsid w:val="00B32D05"/>
    <w:rsid w:val="00B3457B"/>
    <w:rsid w:val="00B34D7A"/>
    <w:rsid w:val="00B35C9B"/>
    <w:rsid w:val="00B37CA4"/>
    <w:rsid w:val="00B42DBC"/>
    <w:rsid w:val="00B432BB"/>
    <w:rsid w:val="00B44B19"/>
    <w:rsid w:val="00B45809"/>
    <w:rsid w:val="00B509C5"/>
    <w:rsid w:val="00B50BA7"/>
    <w:rsid w:val="00B518A6"/>
    <w:rsid w:val="00B525A8"/>
    <w:rsid w:val="00B525D0"/>
    <w:rsid w:val="00B540ED"/>
    <w:rsid w:val="00B555ED"/>
    <w:rsid w:val="00B61879"/>
    <w:rsid w:val="00B64E48"/>
    <w:rsid w:val="00B70EB0"/>
    <w:rsid w:val="00B766FF"/>
    <w:rsid w:val="00B76C3E"/>
    <w:rsid w:val="00B772E5"/>
    <w:rsid w:val="00B806EB"/>
    <w:rsid w:val="00B8089B"/>
    <w:rsid w:val="00B82756"/>
    <w:rsid w:val="00B836CA"/>
    <w:rsid w:val="00B85FD7"/>
    <w:rsid w:val="00B904FF"/>
    <w:rsid w:val="00B9210D"/>
    <w:rsid w:val="00B94616"/>
    <w:rsid w:val="00B95044"/>
    <w:rsid w:val="00B95850"/>
    <w:rsid w:val="00B95DCF"/>
    <w:rsid w:val="00B97AB5"/>
    <w:rsid w:val="00B97C6C"/>
    <w:rsid w:val="00BA041B"/>
    <w:rsid w:val="00BA2F5F"/>
    <w:rsid w:val="00BA40EB"/>
    <w:rsid w:val="00BA4EBD"/>
    <w:rsid w:val="00BA6033"/>
    <w:rsid w:val="00BA6DB4"/>
    <w:rsid w:val="00BA6E4C"/>
    <w:rsid w:val="00BB6223"/>
    <w:rsid w:val="00BB64BE"/>
    <w:rsid w:val="00BB6822"/>
    <w:rsid w:val="00BC0E38"/>
    <w:rsid w:val="00BC385E"/>
    <w:rsid w:val="00BC423A"/>
    <w:rsid w:val="00BC65EF"/>
    <w:rsid w:val="00BC70AC"/>
    <w:rsid w:val="00BD0469"/>
    <w:rsid w:val="00BD084F"/>
    <w:rsid w:val="00BD179B"/>
    <w:rsid w:val="00BD2F5F"/>
    <w:rsid w:val="00BD37A9"/>
    <w:rsid w:val="00BD44A1"/>
    <w:rsid w:val="00BD45C6"/>
    <w:rsid w:val="00BD4CA3"/>
    <w:rsid w:val="00BD5A5E"/>
    <w:rsid w:val="00BD7343"/>
    <w:rsid w:val="00BD77E6"/>
    <w:rsid w:val="00BE2C29"/>
    <w:rsid w:val="00BE556B"/>
    <w:rsid w:val="00BE6943"/>
    <w:rsid w:val="00BE6CF7"/>
    <w:rsid w:val="00BE7467"/>
    <w:rsid w:val="00BE7EE2"/>
    <w:rsid w:val="00BF0E02"/>
    <w:rsid w:val="00BF22DC"/>
    <w:rsid w:val="00BF2375"/>
    <w:rsid w:val="00C018C7"/>
    <w:rsid w:val="00C031F8"/>
    <w:rsid w:val="00C1167E"/>
    <w:rsid w:val="00C1349C"/>
    <w:rsid w:val="00C1382C"/>
    <w:rsid w:val="00C16253"/>
    <w:rsid w:val="00C21DB7"/>
    <w:rsid w:val="00C22025"/>
    <w:rsid w:val="00C231D1"/>
    <w:rsid w:val="00C25E14"/>
    <w:rsid w:val="00C26FE7"/>
    <w:rsid w:val="00C27023"/>
    <w:rsid w:val="00C27C5C"/>
    <w:rsid w:val="00C313E4"/>
    <w:rsid w:val="00C31FC1"/>
    <w:rsid w:val="00C3415C"/>
    <w:rsid w:val="00C34927"/>
    <w:rsid w:val="00C378E2"/>
    <w:rsid w:val="00C401A1"/>
    <w:rsid w:val="00C40235"/>
    <w:rsid w:val="00C40927"/>
    <w:rsid w:val="00C4235A"/>
    <w:rsid w:val="00C44809"/>
    <w:rsid w:val="00C45D20"/>
    <w:rsid w:val="00C45ED5"/>
    <w:rsid w:val="00C4613B"/>
    <w:rsid w:val="00C476C4"/>
    <w:rsid w:val="00C518BB"/>
    <w:rsid w:val="00C51B50"/>
    <w:rsid w:val="00C53E1E"/>
    <w:rsid w:val="00C53EF6"/>
    <w:rsid w:val="00C54F8B"/>
    <w:rsid w:val="00C55EB9"/>
    <w:rsid w:val="00C621BD"/>
    <w:rsid w:val="00C623CE"/>
    <w:rsid w:val="00C62493"/>
    <w:rsid w:val="00C62C76"/>
    <w:rsid w:val="00C6306D"/>
    <w:rsid w:val="00C6384E"/>
    <w:rsid w:val="00C6598F"/>
    <w:rsid w:val="00C65E19"/>
    <w:rsid w:val="00C66D60"/>
    <w:rsid w:val="00C67AB5"/>
    <w:rsid w:val="00C71567"/>
    <w:rsid w:val="00C74AEF"/>
    <w:rsid w:val="00C74FB1"/>
    <w:rsid w:val="00C769B1"/>
    <w:rsid w:val="00C8362F"/>
    <w:rsid w:val="00C8406C"/>
    <w:rsid w:val="00C8590C"/>
    <w:rsid w:val="00C87351"/>
    <w:rsid w:val="00C90721"/>
    <w:rsid w:val="00C91931"/>
    <w:rsid w:val="00C922E7"/>
    <w:rsid w:val="00C92943"/>
    <w:rsid w:val="00C953AC"/>
    <w:rsid w:val="00C95533"/>
    <w:rsid w:val="00C970BB"/>
    <w:rsid w:val="00CA0296"/>
    <w:rsid w:val="00CA6D37"/>
    <w:rsid w:val="00CA7733"/>
    <w:rsid w:val="00CA7CFC"/>
    <w:rsid w:val="00CB0155"/>
    <w:rsid w:val="00CB178B"/>
    <w:rsid w:val="00CB1B47"/>
    <w:rsid w:val="00CB43C6"/>
    <w:rsid w:val="00CB6585"/>
    <w:rsid w:val="00CB7971"/>
    <w:rsid w:val="00CC3BC3"/>
    <w:rsid w:val="00CC5455"/>
    <w:rsid w:val="00CC6CDD"/>
    <w:rsid w:val="00CD22BB"/>
    <w:rsid w:val="00CD2BEE"/>
    <w:rsid w:val="00CD369F"/>
    <w:rsid w:val="00CD57F7"/>
    <w:rsid w:val="00CD761D"/>
    <w:rsid w:val="00CD77F0"/>
    <w:rsid w:val="00CD79C1"/>
    <w:rsid w:val="00CD7F8B"/>
    <w:rsid w:val="00CE143C"/>
    <w:rsid w:val="00CE72F3"/>
    <w:rsid w:val="00CE7F17"/>
    <w:rsid w:val="00CF1CDA"/>
    <w:rsid w:val="00CF38A0"/>
    <w:rsid w:val="00CF669B"/>
    <w:rsid w:val="00CF7D39"/>
    <w:rsid w:val="00D04735"/>
    <w:rsid w:val="00D061FC"/>
    <w:rsid w:val="00D06D1C"/>
    <w:rsid w:val="00D103A1"/>
    <w:rsid w:val="00D166DB"/>
    <w:rsid w:val="00D16DFB"/>
    <w:rsid w:val="00D17CE0"/>
    <w:rsid w:val="00D211EC"/>
    <w:rsid w:val="00D22293"/>
    <w:rsid w:val="00D261C7"/>
    <w:rsid w:val="00D31E77"/>
    <w:rsid w:val="00D32664"/>
    <w:rsid w:val="00D334F9"/>
    <w:rsid w:val="00D340F8"/>
    <w:rsid w:val="00D367DC"/>
    <w:rsid w:val="00D36E14"/>
    <w:rsid w:val="00D37267"/>
    <w:rsid w:val="00D372F5"/>
    <w:rsid w:val="00D376AF"/>
    <w:rsid w:val="00D40032"/>
    <w:rsid w:val="00D413D3"/>
    <w:rsid w:val="00D41588"/>
    <w:rsid w:val="00D44004"/>
    <w:rsid w:val="00D44EA6"/>
    <w:rsid w:val="00D45EF8"/>
    <w:rsid w:val="00D45F40"/>
    <w:rsid w:val="00D47D4A"/>
    <w:rsid w:val="00D514B3"/>
    <w:rsid w:val="00D5175F"/>
    <w:rsid w:val="00D51ADF"/>
    <w:rsid w:val="00D52059"/>
    <w:rsid w:val="00D62B59"/>
    <w:rsid w:val="00D6443A"/>
    <w:rsid w:val="00D66FAE"/>
    <w:rsid w:val="00D67632"/>
    <w:rsid w:val="00D7044B"/>
    <w:rsid w:val="00D711D4"/>
    <w:rsid w:val="00D72547"/>
    <w:rsid w:val="00D74481"/>
    <w:rsid w:val="00D7448E"/>
    <w:rsid w:val="00D747B2"/>
    <w:rsid w:val="00D75696"/>
    <w:rsid w:val="00D75E63"/>
    <w:rsid w:val="00D7728C"/>
    <w:rsid w:val="00D809BE"/>
    <w:rsid w:val="00D81515"/>
    <w:rsid w:val="00D860B7"/>
    <w:rsid w:val="00D9026F"/>
    <w:rsid w:val="00D9118C"/>
    <w:rsid w:val="00D914FA"/>
    <w:rsid w:val="00D91D85"/>
    <w:rsid w:val="00D96A40"/>
    <w:rsid w:val="00D975F7"/>
    <w:rsid w:val="00DA0788"/>
    <w:rsid w:val="00DA1966"/>
    <w:rsid w:val="00DA4590"/>
    <w:rsid w:val="00DA623D"/>
    <w:rsid w:val="00DB4C53"/>
    <w:rsid w:val="00DB4F15"/>
    <w:rsid w:val="00DC0990"/>
    <w:rsid w:val="00DC15F5"/>
    <w:rsid w:val="00DC20D4"/>
    <w:rsid w:val="00DC3395"/>
    <w:rsid w:val="00DC3F7B"/>
    <w:rsid w:val="00DC4374"/>
    <w:rsid w:val="00DC4821"/>
    <w:rsid w:val="00DD3474"/>
    <w:rsid w:val="00DD44D1"/>
    <w:rsid w:val="00DD695B"/>
    <w:rsid w:val="00DE3941"/>
    <w:rsid w:val="00DE3D73"/>
    <w:rsid w:val="00DE7EEA"/>
    <w:rsid w:val="00DF033B"/>
    <w:rsid w:val="00DF57AC"/>
    <w:rsid w:val="00DF5E82"/>
    <w:rsid w:val="00DF7CF5"/>
    <w:rsid w:val="00E01B49"/>
    <w:rsid w:val="00E02101"/>
    <w:rsid w:val="00E02B2C"/>
    <w:rsid w:val="00E035A7"/>
    <w:rsid w:val="00E03A8A"/>
    <w:rsid w:val="00E05B3F"/>
    <w:rsid w:val="00E11913"/>
    <w:rsid w:val="00E13A79"/>
    <w:rsid w:val="00E1417D"/>
    <w:rsid w:val="00E15173"/>
    <w:rsid w:val="00E151AA"/>
    <w:rsid w:val="00E20475"/>
    <w:rsid w:val="00E21C8A"/>
    <w:rsid w:val="00E24D13"/>
    <w:rsid w:val="00E27A4C"/>
    <w:rsid w:val="00E27CE1"/>
    <w:rsid w:val="00E3127C"/>
    <w:rsid w:val="00E33C8E"/>
    <w:rsid w:val="00E352B9"/>
    <w:rsid w:val="00E3673D"/>
    <w:rsid w:val="00E37ABC"/>
    <w:rsid w:val="00E40FF6"/>
    <w:rsid w:val="00E41CB3"/>
    <w:rsid w:val="00E43CBB"/>
    <w:rsid w:val="00E44693"/>
    <w:rsid w:val="00E500A5"/>
    <w:rsid w:val="00E525D9"/>
    <w:rsid w:val="00E55A62"/>
    <w:rsid w:val="00E56B0F"/>
    <w:rsid w:val="00E60A82"/>
    <w:rsid w:val="00E61CA2"/>
    <w:rsid w:val="00E63B9B"/>
    <w:rsid w:val="00E64B7F"/>
    <w:rsid w:val="00E6514E"/>
    <w:rsid w:val="00E65C57"/>
    <w:rsid w:val="00E662FF"/>
    <w:rsid w:val="00E66516"/>
    <w:rsid w:val="00E66C4B"/>
    <w:rsid w:val="00E70F48"/>
    <w:rsid w:val="00E718CD"/>
    <w:rsid w:val="00E719C4"/>
    <w:rsid w:val="00E72E57"/>
    <w:rsid w:val="00E73417"/>
    <w:rsid w:val="00E76D25"/>
    <w:rsid w:val="00E81591"/>
    <w:rsid w:val="00E81B6C"/>
    <w:rsid w:val="00E828BF"/>
    <w:rsid w:val="00E84BF6"/>
    <w:rsid w:val="00E911EA"/>
    <w:rsid w:val="00E913EE"/>
    <w:rsid w:val="00E932DD"/>
    <w:rsid w:val="00E96831"/>
    <w:rsid w:val="00EA4733"/>
    <w:rsid w:val="00EA5E1C"/>
    <w:rsid w:val="00EB0375"/>
    <w:rsid w:val="00EB1D08"/>
    <w:rsid w:val="00EB1E9F"/>
    <w:rsid w:val="00EB31FC"/>
    <w:rsid w:val="00EB4EC6"/>
    <w:rsid w:val="00EC0AF4"/>
    <w:rsid w:val="00EC21CC"/>
    <w:rsid w:val="00EC32FA"/>
    <w:rsid w:val="00EC3622"/>
    <w:rsid w:val="00EC4006"/>
    <w:rsid w:val="00EC4295"/>
    <w:rsid w:val="00EC42C6"/>
    <w:rsid w:val="00EC685B"/>
    <w:rsid w:val="00ED3F52"/>
    <w:rsid w:val="00ED4E9B"/>
    <w:rsid w:val="00ED6FEF"/>
    <w:rsid w:val="00ED7711"/>
    <w:rsid w:val="00EE082A"/>
    <w:rsid w:val="00EE0A32"/>
    <w:rsid w:val="00EE1F2F"/>
    <w:rsid w:val="00EE57B7"/>
    <w:rsid w:val="00EE5A6D"/>
    <w:rsid w:val="00EF49FC"/>
    <w:rsid w:val="00EF70C1"/>
    <w:rsid w:val="00F0702B"/>
    <w:rsid w:val="00F073B4"/>
    <w:rsid w:val="00F1274A"/>
    <w:rsid w:val="00F12FFE"/>
    <w:rsid w:val="00F14BD2"/>
    <w:rsid w:val="00F15900"/>
    <w:rsid w:val="00F161C8"/>
    <w:rsid w:val="00F21CC5"/>
    <w:rsid w:val="00F22F22"/>
    <w:rsid w:val="00F25FE0"/>
    <w:rsid w:val="00F27029"/>
    <w:rsid w:val="00F31BDD"/>
    <w:rsid w:val="00F35A67"/>
    <w:rsid w:val="00F36C49"/>
    <w:rsid w:val="00F4116E"/>
    <w:rsid w:val="00F43758"/>
    <w:rsid w:val="00F4472E"/>
    <w:rsid w:val="00F50B29"/>
    <w:rsid w:val="00F5107E"/>
    <w:rsid w:val="00F53855"/>
    <w:rsid w:val="00F53C9A"/>
    <w:rsid w:val="00F63250"/>
    <w:rsid w:val="00F647DE"/>
    <w:rsid w:val="00F6480D"/>
    <w:rsid w:val="00F65F58"/>
    <w:rsid w:val="00F70963"/>
    <w:rsid w:val="00F71387"/>
    <w:rsid w:val="00F71723"/>
    <w:rsid w:val="00F71FEA"/>
    <w:rsid w:val="00F73566"/>
    <w:rsid w:val="00F735B1"/>
    <w:rsid w:val="00F753EF"/>
    <w:rsid w:val="00F75C0A"/>
    <w:rsid w:val="00F7669C"/>
    <w:rsid w:val="00F7707F"/>
    <w:rsid w:val="00F77EE8"/>
    <w:rsid w:val="00F77FDE"/>
    <w:rsid w:val="00F81754"/>
    <w:rsid w:val="00F84544"/>
    <w:rsid w:val="00F85D90"/>
    <w:rsid w:val="00F86F4E"/>
    <w:rsid w:val="00F87297"/>
    <w:rsid w:val="00F9046D"/>
    <w:rsid w:val="00F90516"/>
    <w:rsid w:val="00F90556"/>
    <w:rsid w:val="00F90897"/>
    <w:rsid w:val="00F9192D"/>
    <w:rsid w:val="00F93D9A"/>
    <w:rsid w:val="00F93D9D"/>
    <w:rsid w:val="00F969CD"/>
    <w:rsid w:val="00F974D9"/>
    <w:rsid w:val="00F97DDA"/>
    <w:rsid w:val="00FA046B"/>
    <w:rsid w:val="00FA25F5"/>
    <w:rsid w:val="00FA5315"/>
    <w:rsid w:val="00FA56BE"/>
    <w:rsid w:val="00FC01F7"/>
    <w:rsid w:val="00FC352C"/>
    <w:rsid w:val="00FC78B5"/>
    <w:rsid w:val="00FD18B0"/>
    <w:rsid w:val="00FD35C7"/>
    <w:rsid w:val="00FD5019"/>
    <w:rsid w:val="00FD75FB"/>
    <w:rsid w:val="00FE1A7E"/>
    <w:rsid w:val="00FE4827"/>
    <w:rsid w:val="00FE48BA"/>
    <w:rsid w:val="00FE6484"/>
    <w:rsid w:val="00FF098B"/>
    <w:rsid w:val="00FF10BA"/>
    <w:rsid w:val="00FF22EB"/>
    <w:rsid w:val="00FF3AAC"/>
    <w:rsid w:val="00FF3FA4"/>
    <w:rsid w:val="00FF4D1B"/>
    <w:rsid w:val="00FF6686"/>
    <w:rsid w:val="00FF6822"/>
    <w:rsid w:val="00FF7A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2B9A155"/>
  <w15:docId w15:val="{3CD70602-4560-4C88-B38F-A3A2AE7B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D0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סגנון4"/>
    <w:basedOn w:val="a"/>
    <w:qFormat/>
    <w:rsid w:val="006418B2"/>
    <w:pPr>
      <w:numPr>
        <w:numId w:val="8"/>
      </w:numPr>
      <w:tabs>
        <w:tab w:val="left" w:pos="567"/>
        <w:tab w:val="left" w:pos="1134"/>
        <w:tab w:val="left" w:pos="1814"/>
        <w:tab w:val="left" w:pos="2665"/>
      </w:tabs>
      <w:spacing w:line="360" w:lineRule="auto"/>
      <w:contextualSpacing/>
      <w:jc w:val="both"/>
    </w:pPr>
    <w:rPr>
      <w:rFonts w:cs="David"/>
    </w:rPr>
  </w:style>
  <w:style w:type="paragraph" w:customStyle="1" w:styleId="5">
    <w:name w:val="סגנון5"/>
    <w:basedOn w:val="4"/>
    <w:qFormat/>
    <w:rsid w:val="006418B2"/>
    <w:pPr>
      <w:numPr>
        <w:ilvl w:val="1"/>
      </w:numPr>
    </w:pPr>
  </w:style>
  <w:style w:type="paragraph" w:customStyle="1" w:styleId="6">
    <w:name w:val="סגנון6"/>
    <w:basedOn w:val="5"/>
    <w:qFormat/>
    <w:rsid w:val="006418B2"/>
    <w:pPr>
      <w:numPr>
        <w:ilvl w:val="2"/>
      </w:numPr>
      <w:tabs>
        <w:tab w:val="left" w:pos="1871"/>
      </w:tabs>
    </w:pPr>
  </w:style>
  <w:style w:type="paragraph" w:styleId="a3">
    <w:name w:val="header"/>
    <w:basedOn w:val="a"/>
    <w:link w:val="a4"/>
    <w:uiPriority w:val="99"/>
    <w:unhideWhenUsed/>
    <w:rsid w:val="00AD16FC"/>
    <w:pPr>
      <w:tabs>
        <w:tab w:val="center" w:pos="4153"/>
        <w:tab w:val="right" w:pos="8306"/>
      </w:tabs>
    </w:pPr>
  </w:style>
  <w:style w:type="character" w:customStyle="1" w:styleId="a4">
    <w:name w:val="כותרת עליונה תו"/>
    <w:basedOn w:val="a0"/>
    <w:link w:val="a3"/>
    <w:uiPriority w:val="99"/>
    <w:rsid w:val="00AD16FC"/>
  </w:style>
  <w:style w:type="paragraph" w:styleId="a5">
    <w:name w:val="footer"/>
    <w:basedOn w:val="a"/>
    <w:link w:val="a6"/>
    <w:uiPriority w:val="99"/>
    <w:unhideWhenUsed/>
    <w:rsid w:val="00AD16FC"/>
    <w:pPr>
      <w:tabs>
        <w:tab w:val="center" w:pos="4153"/>
        <w:tab w:val="right" w:pos="8306"/>
      </w:tabs>
    </w:pPr>
  </w:style>
  <w:style w:type="character" w:customStyle="1" w:styleId="a6">
    <w:name w:val="כותרת תחתונה תו"/>
    <w:basedOn w:val="a0"/>
    <w:link w:val="a5"/>
    <w:uiPriority w:val="99"/>
    <w:rsid w:val="00AD16FC"/>
  </w:style>
  <w:style w:type="table" w:styleId="a7">
    <w:name w:val="Table Grid"/>
    <w:basedOn w:val="a1"/>
    <w:uiPriority w:val="59"/>
    <w:rsid w:val="00AD16F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D16FC"/>
    <w:rPr>
      <w:rFonts w:ascii="Tahoma" w:hAnsi="Tahoma" w:cs="Tahoma"/>
      <w:sz w:val="16"/>
      <w:szCs w:val="16"/>
    </w:rPr>
  </w:style>
  <w:style w:type="character" w:customStyle="1" w:styleId="a9">
    <w:name w:val="טקסט בלונים תו"/>
    <w:basedOn w:val="a0"/>
    <w:link w:val="a8"/>
    <w:uiPriority w:val="99"/>
    <w:semiHidden/>
    <w:rsid w:val="00AD16FC"/>
    <w:rPr>
      <w:rFonts w:ascii="Tahoma" w:hAnsi="Tahoma" w:cs="Tahoma"/>
      <w:sz w:val="16"/>
      <w:szCs w:val="16"/>
    </w:rPr>
  </w:style>
  <w:style w:type="paragraph" w:styleId="aa">
    <w:name w:val="footnote text"/>
    <w:basedOn w:val="a"/>
    <w:link w:val="ab"/>
    <w:uiPriority w:val="99"/>
    <w:semiHidden/>
    <w:rsid w:val="00A21D01"/>
    <w:rPr>
      <w:sz w:val="20"/>
      <w:szCs w:val="20"/>
    </w:rPr>
  </w:style>
  <w:style w:type="character" w:customStyle="1" w:styleId="ab">
    <w:name w:val="טקסט הערת שוליים תו"/>
    <w:basedOn w:val="a0"/>
    <w:link w:val="aa"/>
    <w:uiPriority w:val="99"/>
    <w:semiHidden/>
    <w:rsid w:val="00A21D01"/>
    <w:rPr>
      <w:rFonts w:ascii="Times New Roman" w:eastAsia="Times New Roman" w:hAnsi="Times New Roman" w:cs="Times New Roman"/>
      <w:sz w:val="20"/>
      <w:szCs w:val="20"/>
    </w:rPr>
  </w:style>
  <w:style w:type="character" w:styleId="ac">
    <w:name w:val="footnote reference"/>
    <w:basedOn w:val="a0"/>
    <w:uiPriority w:val="99"/>
    <w:semiHidden/>
    <w:rsid w:val="00A21D01"/>
    <w:rPr>
      <w:rFonts w:cs="Times New Roman"/>
      <w:vertAlign w:val="superscript"/>
    </w:rPr>
  </w:style>
  <w:style w:type="character" w:styleId="ad">
    <w:name w:val="annotation reference"/>
    <w:basedOn w:val="a0"/>
    <w:uiPriority w:val="99"/>
    <w:semiHidden/>
    <w:unhideWhenUsed/>
    <w:rsid w:val="00BF2375"/>
    <w:rPr>
      <w:sz w:val="16"/>
      <w:szCs w:val="16"/>
    </w:rPr>
  </w:style>
  <w:style w:type="paragraph" w:styleId="ae">
    <w:name w:val="annotation text"/>
    <w:basedOn w:val="a"/>
    <w:link w:val="af"/>
    <w:uiPriority w:val="99"/>
    <w:semiHidden/>
    <w:unhideWhenUsed/>
    <w:rsid w:val="00BF2375"/>
    <w:rPr>
      <w:sz w:val="20"/>
      <w:szCs w:val="20"/>
    </w:rPr>
  </w:style>
  <w:style w:type="character" w:customStyle="1" w:styleId="af">
    <w:name w:val="טקסט הערה תו"/>
    <w:basedOn w:val="a0"/>
    <w:link w:val="ae"/>
    <w:uiPriority w:val="99"/>
    <w:semiHidden/>
    <w:rsid w:val="00BF2375"/>
    <w:rPr>
      <w:rFonts w:ascii="Times New Roman" w:eastAsia="Times New Roman" w:hAnsi="Times New Roman" w:cs="Times New Roman"/>
      <w:sz w:val="20"/>
      <w:szCs w:val="20"/>
    </w:rPr>
  </w:style>
  <w:style w:type="paragraph" w:styleId="af0">
    <w:name w:val="annotation subject"/>
    <w:basedOn w:val="ae"/>
    <w:next w:val="ae"/>
    <w:link w:val="af1"/>
    <w:uiPriority w:val="99"/>
    <w:semiHidden/>
    <w:unhideWhenUsed/>
    <w:rsid w:val="00BF2375"/>
    <w:rPr>
      <w:b/>
      <w:bCs/>
    </w:rPr>
  </w:style>
  <w:style w:type="character" w:customStyle="1" w:styleId="af1">
    <w:name w:val="נושא הערה תו"/>
    <w:basedOn w:val="af"/>
    <w:link w:val="af0"/>
    <w:uiPriority w:val="99"/>
    <w:semiHidden/>
    <w:rsid w:val="00BF2375"/>
    <w:rPr>
      <w:rFonts w:ascii="Times New Roman" w:eastAsia="Times New Roman" w:hAnsi="Times New Roman" w:cs="Times New Roman"/>
      <w:b/>
      <w:bCs/>
      <w:sz w:val="20"/>
      <w:szCs w:val="20"/>
    </w:rPr>
  </w:style>
  <w:style w:type="paragraph" w:styleId="af2">
    <w:name w:val="Revision"/>
    <w:hidden/>
    <w:uiPriority w:val="99"/>
    <w:semiHidden/>
    <w:rsid w:val="00BE7EE2"/>
    <w:pPr>
      <w:spacing w:after="0" w:line="240" w:lineRule="auto"/>
    </w:pPr>
    <w:rPr>
      <w:rFonts w:ascii="Times New Roman" w:eastAsia="Times New Roman" w:hAnsi="Times New Roman" w:cs="Times New Roman"/>
      <w:sz w:val="24"/>
      <w:szCs w:val="24"/>
    </w:rPr>
  </w:style>
  <w:style w:type="paragraph" w:styleId="af3">
    <w:name w:val="List Paragraph"/>
    <w:basedOn w:val="a"/>
    <w:uiPriority w:val="34"/>
    <w:qFormat/>
    <w:rsid w:val="00136000"/>
    <w:pPr>
      <w:ind w:left="720"/>
      <w:contextualSpacing/>
    </w:pPr>
  </w:style>
  <w:style w:type="paragraph" w:customStyle="1" w:styleId="Tablenc">
    <w:name w:val="Table_nc"/>
    <w:basedOn w:val="a"/>
    <w:link w:val="TablencChar"/>
    <w:qFormat/>
    <w:rsid w:val="001D21D1"/>
    <w:pPr>
      <w:ind w:left="113"/>
      <w:jc w:val="both"/>
    </w:pPr>
    <w:rPr>
      <w:rFonts w:asciiTheme="minorHAnsi" w:eastAsiaTheme="minorHAnsi" w:hAnsiTheme="minorHAnsi" w:cstheme="minorBidi"/>
      <w:sz w:val="20"/>
      <w:szCs w:val="20"/>
    </w:rPr>
  </w:style>
  <w:style w:type="character" w:customStyle="1" w:styleId="TablencChar">
    <w:name w:val="Table_nc Char"/>
    <w:basedOn w:val="a0"/>
    <w:link w:val="Tablenc"/>
    <w:rsid w:val="001D21D1"/>
    <w:rPr>
      <w:sz w:val="20"/>
      <w:szCs w:val="20"/>
    </w:rPr>
  </w:style>
  <w:style w:type="paragraph" w:customStyle="1" w:styleId="LetterheadBOI">
    <w:name w:val="Letterhead BOI"/>
    <w:basedOn w:val="a"/>
    <w:link w:val="LetterheadBOIChar"/>
    <w:qFormat/>
    <w:rsid w:val="00B44B19"/>
    <w:pPr>
      <w:bidi w:val="0"/>
      <w:spacing w:line="300" w:lineRule="atLeast"/>
      <w:jc w:val="center"/>
    </w:pPr>
    <w:rPr>
      <w:rFonts w:cs="David"/>
      <w:b/>
    </w:rPr>
  </w:style>
  <w:style w:type="paragraph" w:customStyle="1" w:styleId="Letterhead2">
    <w:name w:val="Letterhead 2"/>
    <w:basedOn w:val="a"/>
    <w:link w:val="Letterhead2Char"/>
    <w:qFormat/>
    <w:rsid w:val="00B44B19"/>
    <w:pPr>
      <w:bidi w:val="0"/>
      <w:spacing w:line="300" w:lineRule="atLeast"/>
      <w:jc w:val="center"/>
    </w:pPr>
    <w:rPr>
      <w:sz w:val="26"/>
      <w:szCs w:val="26"/>
    </w:rPr>
  </w:style>
  <w:style w:type="character" w:customStyle="1" w:styleId="LetterheadBOIChar">
    <w:name w:val="Letterhead BOI Char"/>
    <w:basedOn w:val="a0"/>
    <w:link w:val="LetterheadBOI"/>
    <w:rsid w:val="00B44B19"/>
    <w:rPr>
      <w:rFonts w:ascii="Times New Roman" w:eastAsia="Times New Roman" w:hAnsi="Times New Roman" w:cs="David"/>
      <w:b/>
      <w:sz w:val="24"/>
      <w:szCs w:val="24"/>
    </w:rPr>
  </w:style>
  <w:style w:type="character" w:customStyle="1" w:styleId="Letterhead2Char">
    <w:name w:val="Letterhead 2 Char"/>
    <w:basedOn w:val="a0"/>
    <w:link w:val="Letterhead2"/>
    <w:rsid w:val="00B44B19"/>
    <w:rPr>
      <w:rFonts w:ascii="Times New Roman" w:eastAsia="Times New Roman" w:hAnsi="Times New Roman" w:cs="Times New Roman"/>
      <w:sz w:val="26"/>
      <w:szCs w:val="26"/>
    </w:rPr>
  </w:style>
  <w:style w:type="character" w:customStyle="1" w:styleId="fui-primitive">
    <w:name w:val="fui-primitive"/>
    <w:basedOn w:val="a0"/>
    <w:rsid w:val="00416C49"/>
  </w:style>
  <w:style w:type="paragraph" w:styleId="NormalWeb">
    <w:name w:val="Normal (Web)"/>
    <w:basedOn w:val="a"/>
    <w:uiPriority w:val="99"/>
    <w:semiHidden/>
    <w:unhideWhenUsed/>
    <w:rsid w:val="00416C49"/>
    <w:pPr>
      <w:bidi w:val="0"/>
      <w:spacing w:before="100" w:beforeAutospacing="1" w:after="100" w:afterAutospacing="1"/>
    </w:pPr>
  </w:style>
  <w:style w:type="character" w:customStyle="1" w:styleId="fui-readerheading">
    <w:name w:val="fui-readerheading"/>
    <w:basedOn w:val="a0"/>
    <w:rsid w:val="00F93D9D"/>
  </w:style>
  <w:style w:type="character" w:customStyle="1" w:styleId="fui-styledtext">
    <w:name w:val="fui-styledtext"/>
    <w:basedOn w:val="a0"/>
    <w:rsid w:val="00F93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2801">
      <w:bodyDiv w:val="1"/>
      <w:marLeft w:val="0"/>
      <w:marRight w:val="0"/>
      <w:marTop w:val="0"/>
      <w:marBottom w:val="0"/>
      <w:divBdr>
        <w:top w:val="none" w:sz="0" w:space="0" w:color="auto"/>
        <w:left w:val="none" w:sz="0" w:space="0" w:color="auto"/>
        <w:bottom w:val="none" w:sz="0" w:space="0" w:color="auto"/>
        <w:right w:val="none" w:sz="0" w:space="0" w:color="auto"/>
      </w:divBdr>
    </w:div>
    <w:div w:id="241381015">
      <w:bodyDiv w:val="1"/>
      <w:marLeft w:val="0"/>
      <w:marRight w:val="0"/>
      <w:marTop w:val="0"/>
      <w:marBottom w:val="0"/>
      <w:divBdr>
        <w:top w:val="none" w:sz="0" w:space="0" w:color="auto"/>
        <w:left w:val="none" w:sz="0" w:space="0" w:color="auto"/>
        <w:bottom w:val="none" w:sz="0" w:space="0" w:color="auto"/>
        <w:right w:val="none" w:sz="0" w:space="0" w:color="auto"/>
      </w:divBdr>
    </w:div>
    <w:div w:id="460417961">
      <w:bodyDiv w:val="1"/>
      <w:marLeft w:val="0"/>
      <w:marRight w:val="0"/>
      <w:marTop w:val="0"/>
      <w:marBottom w:val="0"/>
      <w:divBdr>
        <w:top w:val="none" w:sz="0" w:space="0" w:color="auto"/>
        <w:left w:val="none" w:sz="0" w:space="0" w:color="auto"/>
        <w:bottom w:val="none" w:sz="0" w:space="0" w:color="auto"/>
        <w:right w:val="none" w:sz="0" w:space="0" w:color="auto"/>
      </w:divBdr>
    </w:div>
    <w:div w:id="674461002">
      <w:bodyDiv w:val="1"/>
      <w:marLeft w:val="0"/>
      <w:marRight w:val="0"/>
      <w:marTop w:val="0"/>
      <w:marBottom w:val="0"/>
      <w:divBdr>
        <w:top w:val="none" w:sz="0" w:space="0" w:color="auto"/>
        <w:left w:val="none" w:sz="0" w:space="0" w:color="auto"/>
        <w:bottom w:val="none" w:sz="0" w:space="0" w:color="auto"/>
        <w:right w:val="none" w:sz="0" w:space="0" w:color="auto"/>
      </w:divBdr>
    </w:div>
    <w:div w:id="1235815620">
      <w:bodyDiv w:val="1"/>
      <w:marLeft w:val="0"/>
      <w:marRight w:val="0"/>
      <w:marTop w:val="0"/>
      <w:marBottom w:val="0"/>
      <w:divBdr>
        <w:top w:val="none" w:sz="0" w:space="0" w:color="auto"/>
        <w:left w:val="none" w:sz="0" w:space="0" w:color="auto"/>
        <w:bottom w:val="none" w:sz="0" w:space="0" w:color="auto"/>
        <w:right w:val="none" w:sz="0" w:space="0" w:color="auto"/>
      </w:divBdr>
    </w:div>
    <w:div w:id="1452284682">
      <w:bodyDiv w:val="1"/>
      <w:marLeft w:val="0"/>
      <w:marRight w:val="0"/>
      <w:marTop w:val="0"/>
      <w:marBottom w:val="0"/>
      <w:divBdr>
        <w:top w:val="none" w:sz="0" w:space="0" w:color="auto"/>
        <w:left w:val="none" w:sz="0" w:space="0" w:color="auto"/>
        <w:bottom w:val="none" w:sz="0" w:space="0" w:color="auto"/>
        <w:right w:val="none" w:sz="0" w:space="0" w:color="auto"/>
      </w:divBdr>
    </w:div>
    <w:div w:id="169634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WaveListOrderValue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eec667c192e179fa3ca9d2ff5e61b8e9">
  <xsd:schema xmlns:xsd="http://www.w3.org/2001/XMLSchema" xmlns:xs="http://www.w3.org/2001/XMLSchema" xmlns:p="http://schemas.microsoft.com/office/2006/metadata/properties" xmlns:ns1="http://schemas.microsoft.com/sharepoint/v3" targetNamespace="http://schemas.microsoft.com/office/2006/metadata/properties" ma:root="true" ma:fieldsID="746174814a43a1a05660744d66829a9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AC57AAB-9898-4DE2-BDAA-17A292961A92}">
  <ds:schemaRefs>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2EA32405-AFA6-4CB9-BBAF-433B329A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8E4F78-4ADB-41F4-A694-4EA04E6865D5}">
  <ds:schemaRefs>
    <ds:schemaRef ds:uri="http://schemas.microsoft.com/sharepoint/v3/contenttype/forms"/>
  </ds:schemaRefs>
</ds:datastoreItem>
</file>

<file path=customXml/itemProps4.xml><?xml version="1.0" encoding="utf-8"?>
<ds:datastoreItem xmlns:ds="http://schemas.openxmlformats.org/officeDocument/2006/customXml" ds:itemID="{DFD9E76D-6FD1-4980-9975-55A966E08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2753</Words>
  <Characters>13770</Characters>
  <Application>Microsoft Office Word</Application>
  <DocSecurity>0</DocSecurity>
  <Lines>114</Lines>
  <Paragraphs>32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דוד בן מיכאל</dc:creator>
  <cp:lastModifiedBy>אילנית שרון</cp:lastModifiedBy>
  <cp:revision>2</cp:revision>
  <cp:lastPrinted>2018-07-08T13:15:00Z</cp:lastPrinted>
  <dcterms:created xsi:type="dcterms:W3CDTF">2025-04-28T05:20:00Z</dcterms:created>
  <dcterms:modified xsi:type="dcterms:W3CDTF">2025-04-28T05:20:00Z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