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45183C8D" w:rsidR="007617BD" w:rsidRDefault="00907867" w:rsidP="00D00CF7">
      <w:pPr>
        <w:pStyle w:val="regpar"/>
        <w:jc w:val="right"/>
      </w:pPr>
      <w:r>
        <w:t xml:space="preserve">October </w:t>
      </w:r>
      <w:r w:rsidR="00E97518">
        <w:t>1</w:t>
      </w:r>
      <w:r w:rsidR="00C92677">
        <w:t>8</w:t>
      </w:r>
      <w:r w:rsidR="0080149A">
        <w:t>, 2023</w:t>
      </w:r>
    </w:p>
    <w:p w14:paraId="22D7AE78" w14:textId="3BEA9B84" w:rsidR="00F23C43" w:rsidRDefault="00F23C43" w:rsidP="00F23C43">
      <w:pPr>
        <w:pStyle w:val="regpar"/>
      </w:pPr>
    </w:p>
    <w:p w14:paraId="325CE029" w14:textId="35004471" w:rsidR="00D00CF7" w:rsidRDefault="00C92677" w:rsidP="00657FCE">
      <w:pPr>
        <w:pStyle w:val="regpar"/>
        <w:ind w:firstLine="0"/>
        <w:jc w:val="center"/>
        <w:rPr>
          <w:b/>
          <w:bCs/>
          <w:sz w:val="26"/>
          <w:szCs w:val="26"/>
        </w:rPr>
      </w:pPr>
      <w:r>
        <w:rPr>
          <w:b/>
          <w:bCs/>
          <w:sz w:val="26"/>
          <w:szCs w:val="26"/>
        </w:rPr>
        <w:t>Explanatory material for the public, and FAQ file further to the Bank of Israel outline that was adopted by the banks to assist customers in dealing with the ramifications of the “</w:t>
      </w:r>
      <w:r w:rsidR="005C77F1">
        <w:rPr>
          <w:b/>
          <w:bCs/>
          <w:sz w:val="26"/>
          <w:szCs w:val="26"/>
        </w:rPr>
        <w:t>Iron Swords</w:t>
      </w:r>
      <w:r>
        <w:rPr>
          <w:b/>
          <w:bCs/>
          <w:sz w:val="26"/>
          <w:szCs w:val="26"/>
        </w:rPr>
        <w:t>” war</w:t>
      </w:r>
    </w:p>
    <w:p w14:paraId="33EC5AC0" w14:textId="77777777" w:rsidR="00657FCE" w:rsidRDefault="00657FCE" w:rsidP="00657FCE">
      <w:pPr>
        <w:pStyle w:val="regpar"/>
        <w:ind w:firstLine="0"/>
        <w:rPr>
          <w:sz w:val="26"/>
          <w:szCs w:val="26"/>
        </w:rPr>
      </w:pPr>
    </w:p>
    <w:p w14:paraId="1A7527F6" w14:textId="76217797" w:rsidR="00C92677" w:rsidRDefault="00C92677" w:rsidP="00657FCE">
      <w:pPr>
        <w:pStyle w:val="regpar"/>
        <w:ind w:firstLine="0"/>
        <w:rPr>
          <w:sz w:val="26"/>
          <w:szCs w:val="26"/>
        </w:rPr>
      </w:pPr>
      <w:r>
        <w:rPr>
          <w:sz w:val="26"/>
          <w:szCs w:val="26"/>
        </w:rPr>
        <w:t xml:space="preserve">Further to the publication of the </w:t>
      </w:r>
      <w:hyperlink r:id="rId12" w:history="1">
        <w:r w:rsidRPr="000502BD">
          <w:rPr>
            <w:rStyle w:val="Hyperlink"/>
            <w:sz w:val="26"/>
            <w:szCs w:val="26"/>
          </w:rPr>
          <w:t>broad outline</w:t>
        </w:r>
      </w:hyperlink>
      <w:r>
        <w:rPr>
          <w:sz w:val="26"/>
          <w:szCs w:val="26"/>
        </w:rPr>
        <w:t xml:space="preserve"> to ease the credit and fees burden on households and businesses that were harmed during the war, explanatory and </w:t>
      </w:r>
      <w:proofErr w:type="gramStart"/>
      <w:r>
        <w:rPr>
          <w:sz w:val="26"/>
          <w:szCs w:val="26"/>
        </w:rPr>
        <w:t>accessibility</w:t>
      </w:r>
      <w:proofErr w:type="gramEnd"/>
      <w:r>
        <w:rPr>
          <w:sz w:val="26"/>
          <w:szCs w:val="26"/>
        </w:rPr>
        <w:t xml:space="preserve"> material is attached to this notice for journalists and the broad public.</w:t>
      </w:r>
    </w:p>
    <w:p w14:paraId="46D5872F" w14:textId="77777777" w:rsidR="00C92677" w:rsidRDefault="00C92677" w:rsidP="00657FCE">
      <w:pPr>
        <w:pStyle w:val="regpar"/>
        <w:ind w:firstLine="0"/>
        <w:rPr>
          <w:sz w:val="26"/>
          <w:szCs w:val="26"/>
        </w:rPr>
      </w:pPr>
    </w:p>
    <w:p w14:paraId="6203A520" w14:textId="3EFCC0B6" w:rsidR="00C92677" w:rsidRPr="009C57AE" w:rsidRDefault="00C92677" w:rsidP="009C57AE">
      <w:pPr>
        <w:pStyle w:val="regpar"/>
        <w:numPr>
          <w:ilvl w:val="0"/>
          <w:numId w:val="16"/>
        </w:numPr>
        <w:rPr>
          <w:sz w:val="26"/>
          <w:szCs w:val="26"/>
        </w:rPr>
      </w:pPr>
      <w:r>
        <w:rPr>
          <w:sz w:val="26"/>
          <w:szCs w:val="26"/>
        </w:rPr>
        <w:t xml:space="preserve">A </w:t>
      </w:r>
      <w:hyperlink r:id="rId13" w:history="1">
        <w:r w:rsidRPr="00EF4386">
          <w:rPr>
            <w:rStyle w:val="Hyperlink"/>
            <w:sz w:val="26"/>
            <w:szCs w:val="26"/>
          </w:rPr>
          <w:t>detailed FAQ file</w:t>
        </w:r>
      </w:hyperlink>
      <w:bookmarkStart w:id="0" w:name="_GoBack"/>
      <w:bookmarkEnd w:id="0"/>
      <w:r w:rsidR="00BE6D1D">
        <w:rPr>
          <w:sz w:val="26"/>
          <w:szCs w:val="26"/>
        </w:rPr>
        <w:t xml:space="preserve"> providing answers to a variety of questions and issues that have arisen so far.  </w:t>
      </w:r>
      <w:r w:rsidR="00BE6D1D" w:rsidRPr="009C57AE">
        <w:rPr>
          <w:sz w:val="26"/>
          <w:szCs w:val="26"/>
        </w:rPr>
        <w:t>The file will be updated as additional issues ar</w:t>
      </w:r>
      <w:r w:rsidR="009C57AE" w:rsidRPr="009C57AE">
        <w:rPr>
          <w:sz w:val="26"/>
          <w:szCs w:val="26"/>
        </w:rPr>
        <w:t>is</w:t>
      </w:r>
      <w:r w:rsidR="00BE6D1D" w:rsidRPr="009C57AE">
        <w:rPr>
          <w:sz w:val="26"/>
          <w:szCs w:val="26"/>
        </w:rPr>
        <w:t xml:space="preserve">e </w:t>
      </w:r>
      <w:r w:rsidR="009C57AE" w:rsidRPr="009C57AE">
        <w:rPr>
          <w:sz w:val="26"/>
          <w:szCs w:val="26"/>
        </w:rPr>
        <w:t xml:space="preserve">and answers are </w:t>
      </w:r>
      <w:r w:rsidR="00BE6D1D" w:rsidRPr="009C57AE">
        <w:rPr>
          <w:sz w:val="26"/>
          <w:szCs w:val="26"/>
        </w:rPr>
        <w:t>added, further to enquiries from the public and journalists, which we encourage.</w:t>
      </w:r>
    </w:p>
    <w:p w14:paraId="08D59281" w14:textId="287B6863" w:rsidR="00BE6D1D" w:rsidRDefault="00BE6D1D" w:rsidP="00C92677">
      <w:pPr>
        <w:pStyle w:val="regpar"/>
        <w:numPr>
          <w:ilvl w:val="0"/>
          <w:numId w:val="16"/>
        </w:numPr>
        <w:rPr>
          <w:sz w:val="26"/>
          <w:szCs w:val="26"/>
        </w:rPr>
      </w:pPr>
      <w:r>
        <w:rPr>
          <w:sz w:val="26"/>
          <w:szCs w:val="26"/>
        </w:rPr>
        <w:t>An infographic file that simplifies the main points of the outline for various population groups.</w:t>
      </w:r>
    </w:p>
    <w:p w14:paraId="079FA809" w14:textId="0837F077" w:rsidR="00BE6D1D" w:rsidRDefault="00BE6D1D" w:rsidP="00C92677">
      <w:pPr>
        <w:pStyle w:val="regpar"/>
        <w:numPr>
          <w:ilvl w:val="0"/>
          <w:numId w:val="16"/>
        </w:numPr>
        <w:rPr>
          <w:sz w:val="26"/>
          <w:szCs w:val="26"/>
        </w:rPr>
      </w:pPr>
      <w:r>
        <w:rPr>
          <w:sz w:val="26"/>
          <w:szCs w:val="26"/>
        </w:rPr>
        <w:t xml:space="preserve">A </w:t>
      </w:r>
      <w:hyperlink r:id="rId14" w:history="1">
        <w:r w:rsidRPr="005502A8">
          <w:rPr>
            <w:rStyle w:val="Hyperlink"/>
            <w:sz w:val="26"/>
            <w:szCs w:val="26"/>
          </w:rPr>
          <w:t>video of Bank of Israel Governor Prof. Amir Yaron</w:t>
        </w:r>
      </w:hyperlink>
      <w:r w:rsidR="00B64804">
        <w:rPr>
          <w:sz w:val="26"/>
          <w:szCs w:val="26"/>
        </w:rPr>
        <w:t xml:space="preserve"> (in Hebrew)</w:t>
      </w:r>
      <w:r>
        <w:rPr>
          <w:sz w:val="26"/>
          <w:szCs w:val="26"/>
        </w:rPr>
        <w:t>, explaining the outline and calling on the public to use it as necessary.</w:t>
      </w:r>
    </w:p>
    <w:p w14:paraId="35F3AC7E" w14:textId="1003E8F8" w:rsidR="00BE6D1D" w:rsidRDefault="00BE6D1D" w:rsidP="009C57AE">
      <w:pPr>
        <w:pStyle w:val="regpar"/>
        <w:numPr>
          <w:ilvl w:val="0"/>
          <w:numId w:val="16"/>
        </w:numPr>
        <w:rPr>
          <w:sz w:val="26"/>
          <w:szCs w:val="26"/>
        </w:rPr>
      </w:pPr>
      <w:r>
        <w:rPr>
          <w:sz w:val="26"/>
          <w:szCs w:val="26"/>
        </w:rPr>
        <w:t xml:space="preserve">A link to the Bank of Israel’s </w:t>
      </w:r>
      <w:hyperlink r:id="rId15" w:history="1">
        <w:r w:rsidRPr="00922D11">
          <w:rPr>
            <w:rStyle w:val="Hyperlink"/>
            <w:sz w:val="26"/>
            <w:szCs w:val="26"/>
          </w:rPr>
          <w:t xml:space="preserve">official </w:t>
        </w:r>
        <w:r w:rsidR="009C57AE">
          <w:rPr>
            <w:rStyle w:val="Hyperlink"/>
            <w:rFonts w:hint="cs"/>
            <w:sz w:val="26"/>
            <w:szCs w:val="26"/>
          </w:rPr>
          <w:t>F</w:t>
        </w:r>
        <w:r w:rsidRPr="00922D11">
          <w:rPr>
            <w:rStyle w:val="Hyperlink"/>
            <w:sz w:val="26"/>
            <w:szCs w:val="26"/>
          </w:rPr>
          <w:t>acebook page</w:t>
        </w:r>
      </w:hyperlink>
      <w:r w:rsidR="005502A8">
        <w:rPr>
          <w:sz w:val="26"/>
          <w:szCs w:val="26"/>
        </w:rPr>
        <w:t xml:space="preserve"> (in Hebrew)</w:t>
      </w:r>
      <w:r>
        <w:rPr>
          <w:sz w:val="26"/>
          <w:szCs w:val="26"/>
        </w:rPr>
        <w:t xml:space="preserve">, </w:t>
      </w:r>
      <w:r w:rsidR="00EC00A7">
        <w:rPr>
          <w:sz w:val="26"/>
          <w:szCs w:val="26"/>
        </w:rPr>
        <w:t>with a blue verification symbol (“Blue check mark”).  We note that the page, which is routinely used by the Bank of Israel Visitors Center, has been converted to emergency service and will provide contact with the public on issues concerning the war and the Bank of Israel’s activities.  It is important to note that we are monitoring social media pages that are posing as Bank of Israel pages, reporting on them, and working to have them removed.</w:t>
      </w:r>
    </w:p>
    <w:p w14:paraId="673B799E" w14:textId="77777777" w:rsidR="00EC00A7" w:rsidRDefault="00EC00A7" w:rsidP="00EC00A7">
      <w:pPr>
        <w:pStyle w:val="regpar"/>
        <w:rPr>
          <w:sz w:val="26"/>
          <w:szCs w:val="26"/>
        </w:rPr>
      </w:pPr>
    </w:p>
    <w:p w14:paraId="48FDD317" w14:textId="01DD13D3" w:rsidR="00EC00A7" w:rsidRDefault="00EC00A7" w:rsidP="007A1BD1">
      <w:pPr>
        <w:pStyle w:val="regpar"/>
        <w:ind w:firstLine="0"/>
        <w:rPr>
          <w:sz w:val="26"/>
          <w:szCs w:val="26"/>
        </w:rPr>
      </w:pPr>
      <w:r>
        <w:rPr>
          <w:b/>
          <w:bCs/>
          <w:sz w:val="26"/>
          <w:szCs w:val="26"/>
        </w:rPr>
        <w:t xml:space="preserve">The Bank of Israel continues to respond to the various economic issues resulting from the hostilities, and is formulating measures that are necessary in </w:t>
      </w:r>
      <w:r w:rsidR="00C01AB1">
        <w:rPr>
          <w:b/>
          <w:bCs/>
          <w:sz w:val="26"/>
          <w:szCs w:val="26"/>
        </w:rPr>
        <w:t>accordance with the variety of tools available to it.</w:t>
      </w:r>
      <w:r w:rsidR="00C01AB1">
        <w:rPr>
          <w:sz w:val="26"/>
          <w:szCs w:val="26"/>
        </w:rPr>
        <w:t xml:space="preserve">  The Banking Supervision Department continues to monitor the banking system’s activity, make </w:t>
      </w:r>
      <w:hyperlink r:id="rId16" w:history="1">
        <w:r w:rsidR="00C01AB1" w:rsidRPr="00922D11">
          <w:rPr>
            <w:rStyle w:val="Hyperlink"/>
            <w:sz w:val="26"/>
            <w:szCs w:val="26"/>
          </w:rPr>
          <w:t>working visits in the field</w:t>
        </w:r>
      </w:hyperlink>
      <w:r w:rsidR="00C01AB1">
        <w:rPr>
          <w:sz w:val="26"/>
          <w:szCs w:val="26"/>
        </w:rPr>
        <w:t>, and map the needs of the banking system’s customers and families who have lost their loved ones, and respond</w:t>
      </w:r>
      <w:r w:rsidR="009C57AE">
        <w:rPr>
          <w:sz w:val="26"/>
          <w:szCs w:val="26"/>
        </w:rPr>
        <w:t>s</w:t>
      </w:r>
      <w:r w:rsidR="00C01AB1">
        <w:rPr>
          <w:sz w:val="26"/>
          <w:szCs w:val="26"/>
        </w:rPr>
        <w:t xml:space="preserve"> to the public on banking issues.</w:t>
      </w:r>
    </w:p>
    <w:p w14:paraId="7441D190" w14:textId="77777777" w:rsidR="00C01AB1" w:rsidRDefault="00C01AB1" w:rsidP="00C01AB1">
      <w:pPr>
        <w:pStyle w:val="regpar"/>
        <w:ind w:firstLine="0"/>
        <w:rPr>
          <w:sz w:val="26"/>
          <w:szCs w:val="26"/>
        </w:rPr>
      </w:pPr>
    </w:p>
    <w:p w14:paraId="68B27FC9" w14:textId="765E97BB" w:rsidR="00C01AB1" w:rsidRDefault="00C01AB1" w:rsidP="00C01AB1">
      <w:pPr>
        <w:pStyle w:val="regpar"/>
        <w:numPr>
          <w:ilvl w:val="0"/>
          <w:numId w:val="17"/>
        </w:numPr>
        <w:rPr>
          <w:sz w:val="26"/>
          <w:szCs w:val="26"/>
        </w:rPr>
      </w:pPr>
      <w:r>
        <w:rPr>
          <w:sz w:val="26"/>
          <w:szCs w:val="26"/>
        </w:rPr>
        <w:t>The Banking Supervision Department’s Consumer Enquiries and Inspections Unit: 02-655-2680 or *9086.</w:t>
      </w:r>
    </w:p>
    <w:p w14:paraId="1D901DDB" w14:textId="77777777" w:rsidR="005F6696" w:rsidRDefault="005F6696" w:rsidP="00C01AB1">
      <w:pPr>
        <w:pStyle w:val="regpar"/>
        <w:numPr>
          <w:ilvl w:val="0"/>
          <w:numId w:val="17"/>
        </w:numPr>
        <w:rPr>
          <w:sz w:val="26"/>
          <w:szCs w:val="26"/>
        </w:rPr>
      </w:pPr>
      <w:r>
        <w:rPr>
          <w:sz w:val="26"/>
          <w:szCs w:val="26"/>
        </w:rPr>
        <w:t>Call center to the Bank of Israel’s Supervisor of Credit Data: *6194</w:t>
      </w:r>
    </w:p>
    <w:p w14:paraId="3F6A41BF" w14:textId="1C9B8B8D" w:rsidR="005F6696" w:rsidRPr="00C01AB1" w:rsidRDefault="00EF4386" w:rsidP="00C01AB1">
      <w:pPr>
        <w:pStyle w:val="regpar"/>
        <w:numPr>
          <w:ilvl w:val="0"/>
          <w:numId w:val="17"/>
        </w:numPr>
        <w:rPr>
          <w:sz w:val="26"/>
          <w:szCs w:val="26"/>
        </w:rPr>
      </w:pPr>
      <w:hyperlink r:id="rId17" w:history="1">
        <w:r w:rsidR="005F6696" w:rsidRPr="005F6696">
          <w:rPr>
            <w:rStyle w:val="Hyperlink"/>
            <w:sz w:val="26"/>
            <w:szCs w:val="26"/>
          </w:rPr>
          <w:t>Emergency information page</w:t>
        </w:r>
      </w:hyperlink>
      <w:r w:rsidR="005F6696">
        <w:rPr>
          <w:sz w:val="26"/>
          <w:szCs w:val="26"/>
        </w:rPr>
        <w:t xml:space="preserve"> (in Hebrew) on the Bank of Israel website. </w:t>
      </w:r>
    </w:p>
    <w:sectPr w:rsidR="005F6696" w:rsidRPr="00C01AB1" w:rsidSect="004F5A85">
      <w:headerReference w:type="default" r:id="rId18"/>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4355B" w14:textId="77777777" w:rsidR="00311A0E" w:rsidRDefault="00311A0E">
      <w:pPr>
        <w:spacing w:line="240" w:lineRule="auto"/>
      </w:pPr>
      <w:r>
        <w:separator/>
      </w:r>
    </w:p>
  </w:endnote>
  <w:endnote w:type="continuationSeparator" w:id="0">
    <w:p w14:paraId="05262B4E" w14:textId="77777777" w:rsidR="00311A0E" w:rsidRDefault="00311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4D372" w14:textId="77777777" w:rsidR="00311A0E" w:rsidRDefault="00311A0E">
      <w:pPr>
        <w:spacing w:line="160" w:lineRule="exact"/>
      </w:pPr>
    </w:p>
  </w:footnote>
  <w:footnote w:type="continuationSeparator" w:id="0">
    <w:p w14:paraId="14DB9403" w14:textId="77777777" w:rsidR="00311A0E" w:rsidRDefault="00311A0E">
      <w:pPr>
        <w:pStyle w:val="rule"/>
      </w:pPr>
      <w:r>
        <w:t>–––––––––––––––––––––––––––</w:t>
      </w:r>
    </w:p>
    <w:p w14:paraId="46CA00BF" w14:textId="77777777" w:rsidR="00311A0E" w:rsidRDefault="00311A0E">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B484F"/>
    <w:multiLevelType w:val="hybridMultilevel"/>
    <w:tmpl w:val="5B94A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467C3"/>
    <w:multiLevelType w:val="hybridMultilevel"/>
    <w:tmpl w:val="CED4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06E36"/>
    <w:multiLevelType w:val="hybridMultilevel"/>
    <w:tmpl w:val="6AFA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F363E"/>
    <w:multiLevelType w:val="hybridMultilevel"/>
    <w:tmpl w:val="45B6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3"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2"/>
  </w:num>
  <w:num w:numId="4">
    <w:abstractNumId w:val="13"/>
  </w:num>
  <w:num w:numId="5">
    <w:abstractNumId w:val="1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2"/>
  </w:num>
  <w:num w:numId="10">
    <w:abstractNumId w:val="15"/>
  </w:num>
  <w:num w:numId="11">
    <w:abstractNumId w:val="8"/>
  </w:num>
  <w:num w:numId="12">
    <w:abstractNumId w:val="6"/>
  </w:num>
  <w:num w:numId="13">
    <w:abstractNumId w:val="1"/>
  </w:num>
  <w:num w:numId="14">
    <w:abstractNumId w:val="10"/>
  </w:num>
  <w:num w:numId="15">
    <w:abstractNumId w:val="11"/>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BD"/>
    <w:rsid w:val="000502D1"/>
    <w:rsid w:val="00052610"/>
    <w:rsid w:val="000614E5"/>
    <w:rsid w:val="00066C5D"/>
    <w:rsid w:val="00067EAC"/>
    <w:rsid w:val="0007485B"/>
    <w:rsid w:val="00074B11"/>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0F3304"/>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40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318E"/>
    <w:rsid w:val="001E6D0C"/>
    <w:rsid w:val="001F28E6"/>
    <w:rsid w:val="001F51F4"/>
    <w:rsid w:val="00203B3D"/>
    <w:rsid w:val="00210F11"/>
    <w:rsid w:val="00212EBE"/>
    <w:rsid w:val="00236391"/>
    <w:rsid w:val="00243044"/>
    <w:rsid w:val="00246FA7"/>
    <w:rsid w:val="00250C32"/>
    <w:rsid w:val="0025222B"/>
    <w:rsid w:val="002563B0"/>
    <w:rsid w:val="00263AC9"/>
    <w:rsid w:val="00265702"/>
    <w:rsid w:val="00275B82"/>
    <w:rsid w:val="00276225"/>
    <w:rsid w:val="002803D5"/>
    <w:rsid w:val="00283C91"/>
    <w:rsid w:val="002848EA"/>
    <w:rsid w:val="002878D8"/>
    <w:rsid w:val="00295684"/>
    <w:rsid w:val="002A325D"/>
    <w:rsid w:val="002A5EE7"/>
    <w:rsid w:val="002B6143"/>
    <w:rsid w:val="002C31A2"/>
    <w:rsid w:val="002D0B04"/>
    <w:rsid w:val="002D460E"/>
    <w:rsid w:val="002D6616"/>
    <w:rsid w:val="002D6644"/>
    <w:rsid w:val="002E2978"/>
    <w:rsid w:val="002E5259"/>
    <w:rsid w:val="002E77B6"/>
    <w:rsid w:val="002F02D1"/>
    <w:rsid w:val="002F761B"/>
    <w:rsid w:val="00302325"/>
    <w:rsid w:val="00311A0E"/>
    <w:rsid w:val="003121C6"/>
    <w:rsid w:val="0031394B"/>
    <w:rsid w:val="003140DF"/>
    <w:rsid w:val="0031619B"/>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2CB6"/>
    <w:rsid w:val="00376023"/>
    <w:rsid w:val="00376976"/>
    <w:rsid w:val="003814C4"/>
    <w:rsid w:val="0038232A"/>
    <w:rsid w:val="003938F8"/>
    <w:rsid w:val="00395D70"/>
    <w:rsid w:val="003A1107"/>
    <w:rsid w:val="003A3B39"/>
    <w:rsid w:val="003B0942"/>
    <w:rsid w:val="003B0FC0"/>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3A3E"/>
    <w:rsid w:val="0042406A"/>
    <w:rsid w:val="00425894"/>
    <w:rsid w:val="004266FD"/>
    <w:rsid w:val="004307F0"/>
    <w:rsid w:val="004356C6"/>
    <w:rsid w:val="004361EA"/>
    <w:rsid w:val="00437FD7"/>
    <w:rsid w:val="00441DC9"/>
    <w:rsid w:val="004421CE"/>
    <w:rsid w:val="00452814"/>
    <w:rsid w:val="00454C06"/>
    <w:rsid w:val="00457687"/>
    <w:rsid w:val="004576AA"/>
    <w:rsid w:val="00461050"/>
    <w:rsid w:val="004655E8"/>
    <w:rsid w:val="00466D1C"/>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020C"/>
    <w:rsid w:val="005317F2"/>
    <w:rsid w:val="00531AD1"/>
    <w:rsid w:val="00535B91"/>
    <w:rsid w:val="00536575"/>
    <w:rsid w:val="0054053A"/>
    <w:rsid w:val="0054075A"/>
    <w:rsid w:val="005417D3"/>
    <w:rsid w:val="00543038"/>
    <w:rsid w:val="005502A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4744"/>
    <w:rsid w:val="005C5CA6"/>
    <w:rsid w:val="005C635F"/>
    <w:rsid w:val="005C76FF"/>
    <w:rsid w:val="005C77F1"/>
    <w:rsid w:val="005D01EF"/>
    <w:rsid w:val="005D175A"/>
    <w:rsid w:val="005D225E"/>
    <w:rsid w:val="005E1AD6"/>
    <w:rsid w:val="005E23D5"/>
    <w:rsid w:val="005F6696"/>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57FCE"/>
    <w:rsid w:val="00660075"/>
    <w:rsid w:val="00663562"/>
    <w:rsid w:val="006711B9"/>
    <w:rsid w:val="0067456C"/>
    <w:rsid w:val="00677C0C"/>
    <w:rsid w:val="00681BC1"/>
    <w:rsid w:val="00683C36"/>
    <w:rsid w:val="00684279"/>
    <w:rsid w:val="006918C1"/>
    <w:rsid w:val="00694066"/>
    <w:rsid w:val="00696506"/>
    <w:rsid w:val="006A1F13"/>
    <w:rsid w:val="006A29C7"/>
    <w:rsid w:val="006A2E45"/>
    <w:rsid w:val="006A36A4"/>
    <w:rsid w:val="006A51F8"/>
    <w:rsid w:val="006B03B7"/>
    <w:rsid w:val="006B39E9"/>
    <w:rsid w:val="006C17E0"/>
    <w:rsid w:val="006D10C5"/>
    <w:rsid w:val="006D738F"/>
    <w:rsid w:val="006E30C1"/>
    <w:rsid w:val="006E33B5"/>
    <w:rsid w:val="006E35F9"/>
    <w:rsid w:val="006E4E37"/>
    <w:rsid w:val="006F331D"/>
    <w:rsid w:val="007012E2"/>
    <w:rsid w:val="00701620"/>
    <w:rsid w:val="00706A01"/>
    <w:rsid w:val="0070772C"/>
    <w:rsid w:val="0071317E"/>
    <w:rsid w:val="00730C23"/>
    <w:rsid w:val="00730F15"/>
    <w:rsid w:val="007342CE"/>
    <w:rsid w:val="00740582"/>
    <w:rsid w:val="007414E1"/>
    <w:rsid w:val="00741B11"/>
    <w:rsid w:val="0074580C"/>
    <w:rsid w:val="00760F71"/>
    <w:rsid w:val="007617BD"/>
    <w:rsid w:val="00762A7B"/>
    <w:rsid w:val="00770D80"/>
    <w:rsid w:val="00772339"/>
    <w:rsid w:val="0078710E"/>
    <w:rsid w:val="00787F4C"/>
    <w:rsid w:val="007917B0"/>
    <w:rsid w:val="007A1A5F"/>
    <w:rsid w:val="007A1BD1"/>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8F6009"/>
    <w:rsid w:val="009055ED"/>
    <w:rsid w:val="00907867"/>
    <w:rsid w:val="00912CE3"/>
    <w:rsid w:val="00922D11"/>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C57AE"/>
    <w:rsid w:val="009D5B6B"/>
    <w:rsid w:val="009D6B3B"/>
    <w:rsid w:val="009D71A3"/>
    <w:rsid w:val="009E5610"/>
    <w:rsid w:val="009F3027"/>
    <w:rsid w:val="009F5C01"/>
    <w:rsid w:val="00A06CAC"/>
    <w:rsid w:val="00A10C60"/>
    <w:rsid w:val="00A176D5"/>
    <w:rsid w:val="00A2357F"/>
    <w:rsid w:val="00A2557F"/>
    <w:rsid w:val="00A27711"/>
    <w:rsid w:val="00A30E4A"/>
    <w:rsid w:val="00A339CF"/>
    <w:rsid w:val="00A362B4"/>
    <w:rsid w:val="00A41ECF"/>
    <w:rsid w:val="00A433AC"/>
    <w:rsid w:val="00A43D36"/>
    <w:rsid w:val="00A546B7"/>
    <w:rsid w:val="00A60E0E"/>
    <w:rsid w:val="00A61B62"/>
    <w:rsid w:val="00A72CBB"/>
    <w:rsid w:val="00A85159"/>
    <w:rsid w:val="00A87E8E"/>
    <w:rsid w:val="00A91D66"/>
    <w:rsid w:val="00AA125A"/>
    <w:rsid w:val="00AA4754"/>
    <w:rsid w:val="00AA4992"/>
    <w:rsid w:val="00AA4ED8"/>
    <w:rsid w:val="00AA561C"/>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7BBE"/>
    <w:rsid w:val="00B46F7B"/>
    <w:rsid w:val="00B476CC"/>
    <w:rsid w:val="00B52957"/>
    <w:rsid w:val="00B552D1"/>
    <w:rsid w:val="00B5736D"/>
    <w:rsid w:val="00B57F69"/>
    <w:rsid w:val="00B64804"/>
    <w:rsid w:val="00B6764F"/>
    <w:rsid w:val="00B76579"/>
    <w:rsid w:val="00B81305"/>
    <w:rsid w:val="00B9723D"/>
    <w:rsid w:val="00BA3A63"/>
    <w:rsid w:val="00BA589A"/>
    <w:rsid w:val="00BA78B9"/>
    <w:rsid w:val="00BC46DE"/>
    <w:rsid w:val="00BC6BBA"/>
    <w:rsid w:val="00BD570C"/>
    <w:rsid w:val="00BE50DA"/>
    <w:rsid w:val="00BE6D1D"/>
    <w:rsid w:val="00BF0276"/>
    <w:rsid w:val="00BF78A3"/>
    <w:rsid w:val="00C00CE9"/>
    <w:rsid w:val="00C01AB1"/>
    <w:rsid w:val="00C042B1"/>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2677"/>
    <w:rsid w:val="00C96635"/>
    <w:rsid w:val="00C97616"/>
    <w:rsid w:val="00CA4BB8"/>
    <w:rsid w:val="00CA68B3"/>
    <w:rsid w:val="00CB474B"/>
    <w:rsid w:val="00CC493C"/>
    <w:rsid w:val="00CC598E"/>
    <w:rsid w:val="00CC59FC"/>
    <w:rsid w:val="00CC65CD"/>
    <w:rsid w:val="00CD51D2"/>
    <w:rsid w:val="00CD732C"/>
    <w:rsid w:val="00CE1CDD"/>
    <w:rsid w:val="00CE46B4"/>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D51C1"/>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78FC"/>
    <w:rsid w:val="00E9221F"/>
    <w:rsid w:val="00E927A6"/>
    <w:rsid w:val="00E971ED"/>
    <w:rsid w:val="00E97518"/>
    <w:rsid w:val="00EA1D70"/>
    <w:rsid w:val="00EA2EEA"/>
    <w:rsid w:val="00EA2FB0"/>
    <w:rsid w:val="00EA3CE9"/>
    <w:rsid w:val="00EA3FD3"/>
    <w:rsid w:val="00EB1022"/>
    <w:rsid w:val="00EB2AB7"/>
    <w:rsid w:val="00EC00A7"/>
    <w:rsid w:val="00EC6A3B"/>
    <w:rsid w:val="00ED1987"/>
    <w:rsid w:val="00ED1A90"/>
    <w:rsid w:val="00ED576F"/>
    <w:rsid w:val="00ED6F4E"/>
    <w:rsid w:val="00EE100A"/>
    <w:rsid w:val="00EE4F43"/>
    <w:rsid w:val="00EF4386"/>
    <w:rsid w:val="00EF5815"/>
    <w:rsid w:val="00F020EC"/>
    <w:rsid w:val="00F02E51"/>
    <w:rsid w:val="00F0557B"/>
    <w:rsid w:val="00F14FC5"/>
    <w:rsid w:val="00F17BE5"/>
    <w:rsid w:val="00F217C5"/>
    <w:rsid w:val="00F23C43"/>
    <w:rsid w:val="00F2605B"/>
    <w:rsid w:val="00F26C5D"/>
    <w:rsid w:val="00F32332"/>
    <w:rsid w:val="00F35D37"/>
    <w:rsid w:val="00F407DD"/>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 w:type="character" w:customStyle="1" w:styleId="UnresolvedMention">
    <w:name w:val="Unresolved Mention"/>
    <w:basedOn w:val="a0"/>
    <w:uiPriority w:val="99"/>
    <w:semiHidden/>
    <w:unhideWhenUsed/>
    <w:rsid w:val="005F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K:\Dover\7-12%202023\&#1492;&#1508;&#1497;&#1511;&#1493;&#1495;%20&#1506;&#1500;%20&#1492;&#1489;&#1504;&#1511;&#1497;&#1501;\2023-10%20FAQ%20on%20assistance%20outline.doc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oi.org.il/en/communication-and-publications/press-releases/c15-10-23/" TargetMode="External"/><Relationship Id="rId17" Type="http://schemas.openxmlformats.org/officeDocument/2006/relationships/hyperlink" Target="https://boi.org.il/bank-of-israel/iron-swords" TargetMode="External"/><Relationship Id="rId2" Type="http://schemas.openxmlformats.org/officeDocument/2006/relationships/customXml" Target="../customXml/item2.xml"/><Relationship Id="rId16" Type="http://schemas.openxmlformats.org/officeDocument/2006/relationships/hyperlink" Target="https://www.boi.org.il/en/communication-and-publications/press-releases/d16-1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bankisraelv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d9651fAZkU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2.xml><?xml version="1.0" encoding="utf-8"?>
<ds:datastoreItem xmlns:ds="http://schemas.openxmlformats.org/officeDocument/2006/customXml" ds:itemID="{37CB3AD7-C05B-4FB1-A8D2-B75B3DAE7EF1}">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9E3341-4459-4D8E-B486-B1D0EBC6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2361</Characters>
  <Application>Microsoft Office Word</Application>
  <DocSecurity>4</DocSecurity>
  <Lines>56</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2023-10-18T14:29:00Z</dcterms:created>
  <dcterms:modified xsi:type="dcterms:W3CDTF">2023-10-18T14:29:00Z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