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75343" w14:textId="4DA8FDED" w:rsidR="00445F3E" w:rsidRDefault="00821CB5" w:rsidP="00821CB5">
      <w:pPr>
        <w:pStyle w:val="regpar"/>
        <w:spacing w:line="300" w:lineRule="atLeast"/>
        <w:ind w:firstLine="0"/>
        <w:jc w:val="center"/>
        <w:rPr>
          <w:rFonts w:ascii="Times New Roman" w:hAnsi="Times New Roman" w:cs="David"/>
          <w:bCs/>
        </w:rPr>
      </w:pPr>
      <w:r>
        <w:rPr>
          <w:noProof/>
        </w:rPr>
        <w:drawing>
          <wp:inline distT="0" distB="0" distL="0" distR="0" wp14:anchorId="79E962CA" wp14:editId="2DE0B443">
            <wp:extent cx="1327785" cy="1327785"/>
            <wp:effectExtent l="0" t="0" r="5715" b="5715"/>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7785" cy="1327785"/>
                    </a:xfrm>
                    <a:prstGeom prst="rect">
                      <a:avLst/>
                    </a:prstGeom>
                    <a:noFill/>
                    <a:ln>
                      <a:noFill/>
                    </a:ln>
                  </pic:spPr>
                </pic:pic>
              </a:graphicData>
            </a:graphic>
          </wp:inline>
        </w:drawing>
      </w:r>
    </w:p>
    <w:p w14:paraId="4F6BB782" w14:textId="77777777" w:rsidR="00445F3E" w:rsidRDefault="00445F3E" w:rsidP="00A60E0E">
      <w:pPr>
        <w:pStyle w:val="regpar"/>
        <w:spacing w:line="300" w:lineRule="atLeast"/>
        <w:ind w:firstLine="0"/>
        <w:jc w:val="center"/>
        <w:rPr>
          <w:rFonts w:ascii="Times New Roman" w:hAnsi="Times New Roman" w:cs="David"/>
          <w:bCs/>
        </w:rPr>
      </w:pPr>
    </w:p>
    <w:p w14:paraId="5FEC0092" w14:textId="7AE21C7C" w:rsidR="00650B9A" w:rsidRPr="00821CB5" w:rsidRDefault="00650B9A" w:rsidP="00A60E0E">
      <w:pPr>
        <w:pStyle w:val="regpar"/>
        <w:spacing w:line="300" w:lineRule="atLeast"/>
        <w:ind w:firstLine="0"/>
        <w:jc w:val="center"/>
        <w:rPr>
          <w:rFonts w:asciiTheme="minorBidi" w:hAnsiTheme="minorBidi" w:cstheme="minorBidi"/>
          <w:bCs/>
        </w:rPr>
      </w:pPr>
      <w:r w:rsidRPr="00821CB5">
        <w:rPr>
          <w:rFonts w:asciiTheme="minorBidi" w:hAnsiTheme="minorBidi" w:cstheme="minorBidi"/>
          <w:bCs/>
        </w:rPr>
        <w:t>BANK OF ISRAEL</w:t>
      </w:r>
    </w:p>
    <w:p w14:paraId="7BDED074" w14:textId="1F140308" w:rsidR="00650B9A" w:rsidRPr="00821CB5" w:rsidRDefault="00650B9A" w:rsidP="0009048D">
      <w:pPr>
        <w:pStyle w:val="regpar"/>
        <w:spacing w:line="300" w:lineRule="atLeast"/>
        <w:ind w:firstLine="0"/>
        <w:jc w:val="center"/>
        <w:rPr>
          <w:rFonts w:asciiTheme="minorBidi" w:hAnsiTheme="minorBidi" w:cstheme="minorBidi"/>
        </w:rPr>
      </w:pPr>
      <w:r w:rsidRPr="00821CB5">
        <w:rPr>
          <w:rFonts w:asciiTheme="minorBidi" w:hAnsiTheme="minorBidi" w:cstheme="minorBidi"/>
        </w:rPr>
        <w:t xml:space="preserve">Office of the </w:t>
      </w:r>
      <w:r w:rsidR="0009048D" w:rsidRPr="00821CB5">
        <w:rPr>
          <w:rFonts w:asciiTheme="minorBidi" w:hAnsiTheme="minorBidi" w:cstheme="minorBidi"/>
        </w:rPr>
        <w:t>Spokesperson and Economic Information</w:t>
      </w:r>
    </w:p>
    <w:p w14:paraId="5DC516B5" w14:textId="6D04FE8F" w:rsidR="0009048D" w:rsidRPr="00821CB5" w:rsidRDefault="0009048D" w:rsidP="0009048D">
      <w:pPr>
        <w:pStyle w:val="regpar"/>
        <w:spacing w:line="300" w:lineRule="atLeast"/>
        <w:ind w:firstLine="0"/>
        <w:jc w:val="center"/>
        <w:rPr>
          <w:rFonts w:asciiTheme="minorBidi" w:hAnsiTheme="minorBidi" w:cstheme="minorBidi"/>
        </w:rPr>
      </w:pPr>
    </w:p>
    <w:p w14:paraId="2DEFF62A" w14:textId="4BCF009B" w:rsidR="00DD0AB5" w:rsidRPr="00821CB5" w:rsidRDefault="00821CB5" w:rsidP="00A60E0E">
      <w:pPr>
        <w:pStyle w:val="regpar"/>
        <w:spacing w:line="300" w:lineRule="atLeast"/>
        <w:ind w:firstLine="0"/>
        <w:jc w:val="center"/>
        <w:rPr>
          <w:rFonts w:asciiTheme="minorBidi" w:hAnsiTheme="minorBidi" w:cstheme="minorBidi"/>
          <w:bCs/>
        </w:rPr>
      </w:pPr>
      <w:r w:rsidRPr="00821CB5">
        <w:rPr>
          <w:rFonts w:asciiTheme="minorBidi" w:hAnsiTheme="minorBidi" w:cstheme="minorBidi"/>
          <w:bCs/>
        </w:rPr>
        <w:t>Press Release</w:t>
      </w:r>
    </w:p>
    <w:p w14:paraId="0CD9A423" w14:textId="7A60D45E" w:rsidR="007617BD" w:rsidRPr="00821CB5" w:rsidRDefault="002245B4" w:rsidP="00445F3E">
      <w:pPr>
        <w:pStyle w:val="regpar"/>
        <w:jc w:val="right"/>
        <w:rPr>
          <w:rFonts w:ascii="Segoe UI" w:hAnsi="Segoe UI" w:cs="Segoe UI"/>
          <w:sz w:val="22"/>
          <w:szCs w:val="22"/>
        </w:rPr>
      </w:pPr>
      <w:r>
        <w:rPr>
          <w:rFonts w:ascii="Segoe UI" w:hAnsi="Segoe UI" w:cs="Segoe UI"/>
          <w:sz w:val="22"/>
          <w:szCs w:val="22"/>
        </w:rPr>
        <w:t>April 26</w:t>
      </w:r>
      <w:r w:rsidR="00821CB5" w:rsidRPr="00821CB5">
        <w:rPr>
          <w:rFonts w:ascii="Segoe UI" w:hAnsi="Segoe UI" w:cs="Segoe UI"/>
          <w:sz w:val="22"/>
          <w:szCs w:val="22"/>
        </w:rPr>
        <w:t>, 2026</w:t>
      </w:r>
    </w:p>
    <w:p w14:paraId="22D7AE78" w14:textId="3BEA9B84" w:rsidR="00F23C43" w:rsidRDefault="00F23C43" w:rsidP="00F23C43">
      <w:pPr>
        <w:pStyle w:val="regpar"/>
      </w:pPr>
    </w:p>
    <w:p w14:paraId="325CE029" w14:textId="30104A21" w:rsidR="00D00CF7" w:rsidRDefault="00D00CF7" w:rsidP="00D00CF7">
      <w:pPr>
        <w:pStyle w:val="regpar"/>
        <w:jc w:val="center"/>
        <w:rPr>
          <w:b/>
          <w:bCs/>
          <w:sz w:val="26"/>
          <w:szCs w:val="26"/>
        </w:rPr>
      </w:pPr>
    </w:p>
    <w:p w14:paraId="7BF8A788" w14:textId="5AEFEB86" w:rsidR="00D00CF7" w:rsidRPr="00445F3E" w:rsidRDefault="002245B4" w:rsidP="008503B3">
      <w:pPr>
        <w:pStyle w:val="regpar"/>
        <w:ind w:firstLine="0"/>
        <w:jc w:val="center"/>
        <w:rPr>
          <w:rFonts w:ascii="Segoe UI" w:hAnsi="Segoe UI" w:cs="Segoe UI"/>
          <w:b/>
          <w:bCs/>
          <w:sz w:val="22"/>
          <w:szCs w:val="22"/>
        </w:rPr>
      </w:pPr>
      <w:r>
        <w:rPr>
          <w:rFonts w:ascii="Segoe UI" w:hAnsi="Segoe UI" w:cs="Segoe UI"/>
          <w:b/>
          <w:bCs/>
          <w:sz w:val="22"/>
          <w:szCs w:val="22"/>
        </w:rPr>
        <w:t>Three more companies have begun operating in the core systems of Israel’s financial realm</w:t>
      </w:r>
    </w:p>
    <w:p w14:paraId="57364676" w14:textId="583A0F82" w:rsidR="00477DE2" w:rsidRPr="00445F3E" w:rsidRDefault="00477DE2" w:rsidP="00477DE2">
      <w:pPr>
        <w:pStyle w:val="regpar"/>
        <w:ind w:firstLine="0"/>
        <w:jc w:val="center"/>
        <w:rPr>
          <w:rFonts w:ascii="Segoe UI" w:hAnsi="Segoe UI" w:cs="Segoe UI"/>
          <w:b/>
          <w:bCs/>
          <w:sz w:val="26"/>
          <w:szCs w:val="26"/>
        </w:rPr>
      </w:pPr>
    </w:p>
    <w:p w14:paraId="1D01051B" w14:textId="5C172DF2" w:rsidR="008503B3" w:rsidRDefault="002245B4" w:rsidP="008503B3">
      <w:pPr>
        <w:pStyle w:val="regpar"/>
        <w:ind w:firstLine="0"/>
        <w:rPr>
          <w:rFonts w:ascii="Segoe UI" w:hAnsi="Segoe UI" w:cs="Segoe UI"/>
          <w:sz w:val="22"/>
          <w:szCs w:val="22"/>
        </w:rPr>
      </w:pPr>
      <w:r>
        <w:rPr>
          <w:rFonts w:ascii="Segoe UI" w:hAnsi="Segoe UI" w:cs="Segoe UI"/>
          <w:sz w:val="22"/>
          <w:szCs w:val="22"/>
        </w:rPr>
        <w:t>The Bank of Israel’s Payment and Settlement Systems Department, in its role as supervisor of payment systems, announces the completion of the accession process to the payment systems for three additional nonbank entities.  Obtaining access to the payment systems enables the new nonbank participants to streamline how they transfer payments and to offer new payment services and solutions.</w:t>
      </w:r>
    </w:p>
    <w:p w14:paraId="004A7CC0" w14:textId="44A09170" w:rsidR="002245B4" w:rsidRDefault="002245B4" w:rsidP="008503B3">
      <w:pPr>
        <w:pStyle w:val="regpar"/>
        <w:ind w:firstLine="0"/>
        <w:rPr>
          <w:rFonts w:ascii="Segoe UI" w:hAnsi="Segoe UI" w:cs="Segoe UI"/>
          <w:sz w:val="22"/>
          <w:szCs w:val="22"/>
        </w:rPr>
      </w:pPr>
    </w:p>
    <w:p w14:paraId="1F24E301" w14:textId="515D04F4" w:rsidR="00445F3E" w:rsidRDefault="002245B4" w:rsidP="002245B4">
      <w:pPr>
        <w:pStyle w:val="regpar"/>
        <w:ind w:firstLine="0"/>
        <w:rPr>
          <w:rFonts w:ascii="Segoe UI" w:hAnsi="Segoe UI" w:cs="Segoe UI"/>
          <w:sz w:val="22"/>
          <w:szCs w:val="22"/>
        </w:rPr>
      </w:pPr>
      <w:r>
        <w:rPr>
          <w:rFonts w:ascii="Segoe UI" w:hAnsi="Segoe UI" w:cs="Segoe UI"/>
          <w:sz w:val="22"/>
          <w:szCs w:val="22"/>
        </w:rPr>
        <w:t>As part of its long-term policy, the Bank of Israel’s Payment Systems Oversight Division has in recent years led a series of significant measures to encourage competition in Israel’s payments market, while maintaining the stability and efficiency of the payment systems.</w:t>
      </w:r>
    </w:p>
    <w:p w14:paraId="7893D842" w14:textId="5ADC5117" w:rsidR="002245B4" w:rsidRDefault="002245B4" w:rsidP="002245B4">
      <w:pPr>
        <w:pStyle w:val="regpar"/>
        <w:ind w:firstLine="0"/>
        <w:rPr>
          <w:rFonts w:ascii="Segoe UI" w:hAnsi="Segoe UI" w:cs="Segoe UI"/>
          <w:sz w:val="22"/>
          <w:szCs w:val="22"/>
        </w:rPr>
      </w:pPr>
    </w:p>
    <w:p w14:paraId="511FB599" w14:textId="6473F517" w:rsidR="002245B4" w:rsidRDefault="002245B4" w:rsidP="00EF3B27">
      <w:pPr>
        <w:pStyle w:val="regpar"/>
        <w:ind w:firstLine="0"/>
        <w:rPr>
          <w:rFonts w:ascii="Segoe UI" w:hAnsi="Segoe UI" w:cs="Segoe UI"/>
          <w:sz w:val="22"/>
          <w:szCs w:val="22"/>
        </w:rPr>
      </w:pPr>
      <w:r>
        <w:rPr>
          <w:rFonts w:ascii="Segoe UI" w:hAnsi="Segoe UI" w:cs="Segoe UI"/>
          <w:sz w:val="22"/>
          <w:szCs w:val="22"/>
        </w:rPr>
        <w:t xml:space="preserve">In view of the measures that have been advanced, the three firms “GAMA Management and </w:t>
      </w:r>
      <w:r w:rsidR="00EF3B27">
        <w:rPr>
          <w:rFonts w:ascii="Segoe UI" w:hAnsi="Segoe UI" w:cs="Segoe UI"/>
          <w:sz w:val="22"/>
          <w:szCs w:val="22"/>
        </w:rPr>
        <w:t>Clearing</w:t>
      </w:r>
      <w:r>
        <w:rPr>
          <w:rFonts w:ascii="Segoe UI" w:hAnsi="Segoe UI" w:cs="Segoe UI"/>
          <w:sz w:val="22"/>
          <w:szCs w:val="22"/>
        </w:rPr>
        <w:t xml:space="preserve"> Ltd.”, “Max-IT Finance Ltd.”, and “RAPYD Israel Payments Ltd.” have recently completed their connections to the retail payment systems that are supervised by the Bank of Israel.  </w:t>
      </w:r>
    </w:p>
    <w:p w14:paraId="51ECA35C" w14:textId="7E43F0E3" w:rsidR="002245B4" w:rsidRDefault="002245B4" w:rsidP="002245B4">
      <w:pPr>
        <w:pStyle w:val="regpar"/>
        <w:ind w:firstLine="0"/>
        <w:rPr>
          <w:rFonts w:ascii="Segoe UI" w:hAnsi="Segoe UI" w:cs="Segoe UI"/>
          <w:sz w:val="22"/>
          <w:szCs w:val="22"/>
        </w:rPr>
      </w:pPr>
    </w:p>
    <w:p w14:paraId="0F7D26F5" w14:textId="387A4319" w:rsidR="002245B4" w:rsidRDefault="002245B4" w:rsidP="002245B4">
      <w:pPr>
        <w:pStyle w:val="regpar"/>
        <w:ind w:firstLine="0"/>
        <w:rPr>
          <w:rFonts w:ascii="Segoe UI" w:hAnsi="Segoe UI" w:cs="Segoe UI"/>
          <w:sz w:val="22"/>
          <w:szCs w:val="22"/>
        </w:rPr>
      </w:pPr>
      <w:r>
        <w:rPr>
          <w:rFonts w:ascii="Segoe UI" w:hAnsi="Segoe UI" w:cs="Segoe UI"/>
          <w:sz w:val="22"/>
          <w:szCs w:val="22"/>
        </w:rPr>
        <w:t>The following are the systems to which the three companies have connected and the identifications codes allocated to them:</w:t>
      </w:r>
    </w:p>
    <w:p w14:paraId="456CE6C8" w14:textId="7DDE522E" w:rsidR="002245B4" w:rsidRDefault="002245B4" w:rsidP="002245B4">
      <w:pPr>
        <w:pStyle w:val="regpar"/>
        <w:ind w:firstLine="0"/>
        <w:rPr>
          <w:rFonts w:ascii="Segoe UI" w:hAnsi="Segoe UI" w:cs="Segoe UI"/>
          <w:sz w:val="22"/>
          <w:szCs w:val="22"/>
        </w:rPr>
      </w:pPr>
    </w:p>
    <w:tbl>
      <w:tblPr>
        <w:tblStyle w:val="ac"/>
        <w:tblW w:w="0" w:type="auto"/>
        <w:tblLook w:val="04A0" w:firstRow="1" w:lastRow="0" w:firstColumn="1" w:lastColumn="0" w:noHBand="0" w:noVBand="1"/>
      </w:tblPr>
      <w:tblGrid>
        <w:gridCol w:w="3020"/>
        <w:gridCol w:w="3021"/>
        <w:gridCol w:w="3021"/>
      </w:tblGrid>
      <w:tr w:rsidR="002245B4" w:rsidRPr="00C6484A" w14:paraId="521DD092" w14:textId="77777777" w:rsidTr="002245B4">
        <w:tc>
          <w:tcPr>
            <w:tcW w:w="3020" w:type="dxa"/>
          </w:tcPr>
          <w:p w14:paraId="3C0976B9" w14:textId="6D42059E" w:rsidR="002245B4" w:rsidRPr="00C6484A" w:rsidRDefault="002245B4" w:rsidP="002245B4">
            <w:pPr>
              <w:pStyle w:val="regpar"/>
              <w:ind w:firstLine="0"/>
              <w:rPr>
                <w:rFonts w:asciiTheme="minorHAnsi" w:hAnsiTheme="minorHAnsi" w:cstheme="minorHAnsi"/>
                <w:b/>
                <w:bCs/>
                <w:sz w:val="20"/>
                <w:szCs w:val="20"/>
              </w:rPr>
            </w:pPr>
            <w:r w:rsidRPr="00C6484A">
              <w:rPr>
                <w:rFonts w:asciiTheme="minorHAnsi" w:hAnsiTheme="minorHAnsi" w:cstheme="minorHAnsi"/>
                <w:b/>
                <w:bCs/>
                <w:sz w:val="20"/>
                <w:szCs w:val="20"/>
              </w:rPr>
              <w:t>Company name</w:t>
            </w:r>
          </w:p>
        </w:tc>
        <w:tc>
          <w:tcPr>
            <w:tcW w:w="3021" w:type="dxa"/>
          </w:tcPr>
          <w:p w14:paraId="521C6535" w14:textId="69175DCF" w:rsidR="002245B4" w:rsidRPr="00C6484A" w:rsidRDefault="002245B4" w:rsidP="002245B4">
            <w:pPr>
              <w:pStyle w:val="regpar"/>
              <w:ind w:firstLine="0"/>
              <w:rPr>
                <w:rFonts w:asciiTheme="minorHAnsi" w:hAnsiTheme="minorHAnsi" w:cstheme="minorHAnsi"/>
                <w:b/>
                <w:bCs/>
                <w:sz w:val="20"/>
                <w:szCs w:val="20"/>
              </w:rPr>
            </w:pPr>
            <w:r w:rsidRPr="00C6484A">
              <w:rPr>
                <w:rFonts w:asciiTheme="minorHAnsi" w:hAnsiTheme="minorHAnsi" w:cstheme="minorHAnsi"/>
                <w:b/>
                <w:bCs/>
                <w:sz w:val="20"/>
                <w:szCs w:val="20"/>
              </w:rPr>
              <w:t>Payment system</w:t>
            </w:r>
          </w:p>
        </w:tc>
        <w:tc>
          <w:tcPr>
            <w:tcW w:w="3021" w:type="dxa"/>
          </w:tcPr>
          <w:p w14:paraId="26637F77" w14:textId="1C922926" w:rsidR="002245B4" w:rsidRPr="00C6484A" w:rsidRDefault="002245B4" w:rsidP="002245B4">
            <w:pPr>
              <w:pStyle w:val="regpar"/>
              <w:ind w:firstLine="0"/>
              <w:rPr>
                <w:rFonts w:asciiTheme="minorHAnsi" w:hAnsiTheme="minorHAnsi" w:cstheme="minorHAnsi"/>
                <w:b/>
                <w:bCs/>
                <w:sz w:val="20"/>
                <w:szCs w:val="20"/>
              </w:rPr>
            </w:pPr>
            <w:r w:rsidRPr="00C6484A">
              <w:rPr>
                <w:rFonts w:asciiTheme="minorHAnsi" w:hAnsiTheme="minorHAnsi" w:cstheme="minorHAnsi"/>
                <w:b/>
                <w:bCs/>
                <w:sz w:val="20"/>
                <w:szCs w:val="20"/>
              </w:rPr>
              <w:t>Identification code</w:t>
            </w:r>
            <w:r w:rsidRPr="00C6484A">
              <w:rPr>
                <w:rStyle w:val="a6"/>
                <w:rFonts w:asciiTheme="minorHAnsi" w:hAnsiTheme="minorHAnsi" w:cstheme="minorHAnsi"/>
                <w:b/>
                <w:bCs/>
                <w:sz w:val="20"/>
                <w:szCs w:val="20"/>
              </w:rPr>
              <w:footnoteReference w:id="1"/>
            </w:r>
          </w:p>
        </w:tc>
      </w:tr>
      <w:tr w:rsidR="002245B4" w:rsidRPr="00C6484A" w14:paraId="20E13A04" w14:textId="77777777" w:rsidTr="002245B4">
        <w:tc>
          <w:tcPr>
            <w:tcW w:w="3020" w:type="dxa"/>
          </w:tcPr>
          <w:p w14:paraId="5CD750CC" w14:textId="2FBDB06C" w:rsidR="002245B4" w:rsidRPr="00C6484A" w:rsidRDefault="002245B4" w:rsidP="00EF3B27">
            <w:pPr>
              <w:pStyle w:val="regpar"/>
              <w:ind w:firstLine="0"/>
              <w:rPr>
                <w:rFonts w:asciiTheme="minorHAnsi" w:hAnsiTheme="minorHAnsi" w:cstheme="minorHAnsi"/>
                <w:b/>
                <w:bCs/>
                <w:sz w:val="20"/>
                <w:szCs w:val="20"/>
              </w:rPr>
            </w:pPr>
            <w:r w:rsidRPr="00C6484A">
              <w:rPr>
                <w:rFonts w:asciiTheme="minorHAnsi" w:hAnsiTheme="minorHAnsi" w:cstheme="minorHAnsi"/>
                <w:b/>
                <w:bCs/>
                <w:sz w:val="20"/>
                <w:szCs w:val="20"/>
              </w:rPr>
              <w:t xml:space="preserve">GAMA Management and </w:t>
            </w:r>
            <w:r w:rsidR="00EF3B27">
              <w:rPr>
                <w:rFonts w:asciiTheme="minorHAnsi" w:hAnsiTheme="minorHAnsi" w:cstheme="minorHAnsi"/>
                <w:b/>
                <w:bCs/>
                <w:sz w:val="20"/>
                <w:szCs w:val="20"/>
              </w:rPr>
              <w:t>Clearing</w:t>
            </w:r>
            <w:r w:rsidRPr="00C6484A">
              <w:rPr>
                <w:rFonts w:asciiTheme="minorHAnsi" w:hAnsiTheme="minorHAnsi" w:cstheme="minorHAnsi"/>
                <w:b/>
                <w:bCs/>
                <w:sz w:val="20"/>
                <w:szCs w:val="20"/>
              </w:rPr>
              <w:t xml:space="preserve"> Ltd.</w:t>
            </w:r>
          </w:p>
        </w:tc>
        <w:tc>
          <w:tcPr>
            <w:tcW w:w="3021" w:type="dxa"/>
          </w:tcPr>
          <w:p w14:paraId="4B438131" w14:textId="7F0DFD06" w:rsidR="002245B4" w:rsidRPr="00C6484A" w:rsidRDefault="002245B4" w:rsidP="00C6484A">
            <w:pPr>
              <w:pStyle w:val="regpar"/>
              <w:ind w:firstLine="0"/>
              <w:jc w:val="center"/>
              <w:rPr>
                <w:rFonts w:asciiTheme="minorHAnsi" w:hAnsiTheme="minorHAnsi" w:cstheme="minorHAnsi"/>
                <w:sz w:val="20"/>
                <w:szCs w:val="20"/>
              </w:rPr>
            </w:pPr>
            <w:r w:rsidRPr="00C6484A">
              <w:rPr>
                <w:rFonts w:asciiTheme="minorHAnsi" w:hAnsiTheme="minorHAnsi" w:cstheme="minorHAnsi"/>
                <w:sz w:val="20"/>
                <w:szCs w:val="20"/>
              </w:rPr>
              <w:t>Debits, Credits and Transfers, including faster payments operated by MASAV</w:t>
            </w:r>
          </w:p>
        </w:tc>
        <w:tc>
          <w:tcPr>
            <w:tcW w:w="3021" w:type="dxa"/>
          </w:tcPr>
          <w:p w14:paraId="77C021E5" w14:textId="590AC92C" w:rsidR="002245B4" w:rsidRPr="00C6484A" w:rsidRDefault="002245B4" w:rsidP="00C6484A">
            <w:pPr>
              <w:pStyle w:val="regpar"/>
              <w:ind w:firstLine="0"/>
              <w:jc w:val="center"/>
              <w:rPr>
                <w:rFonts w:asciiTheme="minorHAnsi" w:hAnsiTheme="minorHAnsi" w:cstheme="minorHAnsi"/>
                <w:sz w:val="20"/>
                <w:szCs w:val="20"/>
              </w:rPr>
            </w:pPr>
            <w:r w:rsidRPr="00C6484A">
              <w:rPr>
                <w:rFonts w:asciiTheme="minorHAnsi" w:hAnsiTheme="minorHAnsi" w:cstheme="minorHAnsi"/>
                <w:sz w:val="20"/>
                <w:szCs w:val="20"/>
              </w:rPr>
              <w:t>94</w:t>
            </w:r>
          </w:p>
        </w:tc>
      </w:tr>
      <w:tr w:rsidR="002245B4" w:rsidRPr="00C6484A" w14:paraId="0E5D2DBC" w14:textId="77777777" w:rsidTr="002245B4">
        <w:tc>
          <w:tcPr>
            <w:tcW w:w="3020" w:type="dxa"/>
          </w:tcPr>
          <w:p w14:paraId="7B7B6D9D" w14:textId="572A9D69" w:rsidR="002245B4" w:rsidRPr="00C6484A" w:rsidRDefault="002245B4" w:rsidP="002245B4">
            <w:pPr>
              <w:pStyle w:val="regpar"/>
              <w:ind w:firstLine="0"/>
              <w:rPr>
                <w:rFonts w:asciiTheme="minorHAnsi" w:hAnsiTheme="minorHAnsi" w:cstheme="minorHAnsi"/>
                <w:b/>
                <w:bCs/>
                <w:sz w:val="20"/>
                <w:szCs w:val="20"/>
              </w:rPr>
            </w:pPr>
            <w:r w:rsidRPr="00C6484A">
              <w:rPr>
                <w:rFonts w:asciiTheme="minorHAnsi" w:hAnsiTheme="minorHAnsi" w:cstheme="minorHAnsi"/>
                <w:b/>
                <w:bCs/>
                <w:sz w:val="20"/>
                <w:szCs w:val="20"/>
              </w:rPr>
              <w:t>RAPYD Israel Payments Ltd.</w:t>
            </w:r>
          </w:p>
        </w:tc>
        <w:tc>
          <w:tcPr>
            <w:tcW w:w="3021" w:type="dxa"/>
          </w:tcPr>
          <w:p w14:paraId="492908C9" w14:textId="17F923E2" w:rsidR="002245B4" w:rsidRPr="00C6484A" w:rsidRDefault="00C6484A" w:rsidP="00C6484A">
            <w:pPr>
              <w:pStyle w:val="regpar"/>
              <w:ind w:firstLine="0"/>
              <w:jc w:val="center"/>
              <w:rPr>
                <w:rFonts w:asciiTheme="minorHAnsi" w:hAnsiTheme="minorHAnsi" w:cstheme="minorHAnsi"/>
                <w:sz w:val="20"/>
                <w:szCs w:val="20"/>
              </w:rPr>
            </w:pPr>
            <w:r w:rsidRPr="00C6484A">
              <w:rPr>
                <w:rFonts w:asciiTheme="minorHAnsi" w:hAnsiTheme="minorHAnsi" w:cstheme="minorHAnsi"/>
                <w:sz w:val="20"/>
                <w:szCs w:val="20"/>
              </w:rPr>
              <w:t>Payment cards system operated by SHVA</w:t>
            </w:r>
          </w:p>
        </w:tc>
        <w:tc>
          <w:tcPr>
            <w:tcW w:w="3021" w:type="dxa"/>
          </w:tcPr>
          <w:p w14:paraId="4642DE76" w14:textId="426ECE4B" w:rsidR="002245B4" w:rsidRPr="00C6484A" w:rsidRDefault="00C6484A" w:rsidP="00C6484A">
            <w:pPr>
              <w:pStyle w:val="regpar"/>
              <w:ind w:firstLine="0"/>
              <w:jc w:val="center"/>
              <w:rPr>
                <w:rFonts w:asciiTheme="minorHAnsi" w:hAnsiTheme="minorHAnsi" w:cstheme="minorHAnsi"/>
                <w:sz w:val="20"/>
                <w:szCs w:val="20"/>
              </w:rPr>
            </w:pPr>
            <w:r w:rsidRPr="00C6484A">
              <w:rPr>
                <w:rFonts w:asciiTheme="minorHAnsi" w:hAnsiTheme="minorHAnsi" w:cstheme="minorHAnsi"/>
                <w:sz w:val="20"/>
                <w:szCs w:val="20"/>
              </w:rPr>
              <w:t>75</w:t>
            </w:r>
          </w:p>
        </w:tc>
      </w:tr>
      <w:tr w:rsidR="002245B4" w:rsidRPr="00C6484A" w14:paraId="2B2753AC" w14:textId="77777777" w:rsidTr="002245B4">
        <w:tc>
          <w:tcPr>
            <w:tcW w:w="3020" w:type="dxa"/>
          </w:tcPr>
          <w:p w14:paraId="27B0491C" w14:textId="58CE055D" w:rsidR="002245B4" w:rsidRPr="00C6484A" w:rsidRDefault="00C6484A" w:rsidP="002245B4">
            <w:pPr>
              <w:pStyle w:val="regpar"/>
              <w:ind w:firstLine="0"/>
              <w:rPr>
                <w:rFonts w:asciiTheme="minorHAnsi" w:hAnsiTheme="minorHAnsi" w:cstheme="minorHAnsi"/>
                <w:b/>
                <w:bCs/>
                <w:sz w:val="20"/>
                <w:szCs w:val="20"/>
              </w:rPr>
            </w:pPr>
            <w:r w:rsidRPr="00C6484A">
              <w:rPr>
                <w:rFonts w:asciiTheme="minorHAnsi" w:hAnsiTheme="minorHAnsi" w:cstheme="minorHAnsi"/>
                <w:b/>
                <w:bCs/>
                <w:sz w:val="20"/>
                <w:szCs w:val="20"/>
              </w:rPr>
              <w:t>Max-IT Finance Ltd.</w:t>
            </w:r>
          </w:p>
        </w:tc>
        <w:tc>
          <w:tcPr>
            <w:tcW w:w="3021" w:type="dxa"/>
          </w:tcPr>
          <w:p w14:paraId="30F17969" w14:textId="348B6196" w:rsidR="002245B4" w:rsidRPr="00C6484A" w:rsidRDefault="00C6484A" w:rsidP="00C6484A">
            <w:pPr>
              <w:pStyle w:val="regpar"/>
              <w:ind w:firstLine="0"/>
              <w:jc w:val="center"/>
              <w:rPr>
                <w:rFonts w:asciiTheme="minorHAnsi" w:hAnsiTheme="minorHAnsi" w:cstheme="minorHAnsi"/>
                <w:sz w:val="20"/>
                <w:szCs w:val="20"/>
              </w:rPr>
            </w:pPr>
            <w:r w:rsidRPr="00C6484A">
              <w:rPr>
                <w:rFonts w:asciiTheme="minorHAnsi" w:hAnsiTheme="minorHAnsi" w:cstheme="minorHAnsi"/>
                <w:sz w:val="20"/>
                <w:szCs w:val="20"/>
              </w:rPr>
              <w:t>Debits, Credits and Transfers, operated by MASAV</w:t>
            </w:r>
            <w:r w:rsidRPr="00C6484A">
              <w:rPr>
                <w:rStyle w:val="a6"/>
                <w:rFonts w:asciiTheme="minorHAnsi" w:hAnsiTheme="minorHAnsi" w:cstheme="minorHAnsi"/>
                <w:sz w:val="20"/>
                <w:szCs w:val="20"/>
              </w:rPr>
              <w:footnoteReference w:id="2"/>
            </w:r>
          </w:p>
        </w:tc>
        <w:tc>
          <w:tcPr>
            <w:tcW w:w="3021" w:type="dxa"/>
          </w:tcPr>
          <w:p w14:paraId="3ACB7A80" w14:textId="34745724" w:rsidR="002245B4" w:rsidRPr="00C6484A" w:rsidRDefault="00C6484A" w:rsidP="00C6484A">
            <w:pPr>
              <w:pStyle w:val="regpar"/>
              <w:ind w:firstLine="0"/>
              <w:jc w:val="center"/>
              <w:rPr>
                <w:rFonts w:asciiTheme="minorHAnsi" w:hAnsiTheme="minorHAnsi" w:cstheme="minorHAnsi"/>
                <w:sz w:val="20"/>
                <w:szCs w:val="20"/>
              </w:rPr>
            </w:pPr>
            <w:r w:rsidRPr="00C6484A">
              <w:rPr>
                <w:rFonts w:asciiTheme="minorHAnsi" w:hAnsiTheme="minorHAnsi" w:cstheme="minorHAnsi"/>
                <w:sz w:val="20"/>
                <w:szCs w:val="20"/>
              </w:rPr>
              <w:t>06</w:t>
            </w:r>
          </w:p>
        </w:tc>
      </w:tr>
    </w:tbl>
    <w:p w14:paraId="5503B282" w14:textId="534C1DBA" w:rsidR="002245B4" w:rsidRDefault="002245B4" w:rsidP="002245B4">
      <w:pPr>
        <w:pStyle w:val="regpar"/>
        <w:ind w:firstLine="0"/>
        <w:rPr>
          <w:rFonts w:ascii="Segoe UI" w:hAnsi="Segoe UI" w:cs="Segoe UI"/>
          <w:sz w:val="22"/>
          <w:szCs w:val="22"/>
        </w:rPr>
      </w:pPr>
    </w:p>
    <w:p w14:paraId="2A1D48B4" w14:textId="407AFCF4" w:rsidR="00C6484A" w:rsidRDefault="00C6484A">
      <w:pPr>
        <w:spacing w:line="240" w:lineRule="auto"/>
        <w:jc w:val="left"/>
        <w:rPr>
          <w:rFonts w:ascii="Segoe UI" w:hAnsi="Segoe UI" w:cs="Segoe UI"/>
          <w:sz w:val="22"/>
          <w:szCs w:val="22"/>
        </w:rPr>
      </w:pPr>
      <w:r>
        <w:rPr>
          <w:rFonts w:ascii="Segoe UI" w:hAnsi="Segoe UI" w:cs="Segoe UI"/>
          <w:sz w:val="22"/>
          <w:szCs w:val="22"/>
        </w:rPr>
        <w:br w:type="page"/>
      </w:r>
    </w:p>
    <w:p w14:paraId="4946F521" w14:textId="5EA44EB1" w:rsidR="00C6484A" w:rsidRPr="008503B3" w:rsidRDefault="00C6484A" w:rsidP="002245B4">
      <w:pPr>
        <w:pStyle w:val="regpar"/>
        <w:ind w:firstLine="0"/>
        <w:rPr>
          <w:rFonts w:ascii="Segoe UI" w:hAnsi="Segoe UI" w:cs="Segoe UI"/>
          <w:sz w:val="22"/>
          <w:szCs w:val="22"/>
        </w:rPr>
      </w:pPr>
      <w:proofErr w:type="spellStart"/>
      <w:r>
        <w:rPr>
          <w:rFonts w:ascii="Segoe UI" w:hAnsi="Segoe UI" w:cs="Segoe UI"/>
          <w:sz w:val="22"/>
          <w:szCs w:val="22"/>
        </w:rPr>
        <w:lastRenderedPageBreak/>
        <w:t>Ofer</w:t>
      </w:r>
      <w:proofErr w:type="spellEnd"/>
      <w:r>
        <w:rPr>
          <w:rFonts w:ascii="Segoe UI" w:hAnsi="Segoe UI" w:cs="Segoe UI"/>
          <w:sz w:val="22"/>
          <w:szCs w:val="22"/>
        </w:rPr>
        <w:t xml:space="preserve"> Golan, Head of the Payment and Settlement Systems Department, said: “The addition of a variety of new participants to the payment systems is an important and significant step in advancing competition and in supporting innovation in the Israeli payments market.  This step is highly important in view of the potential of the new participants to develop and implement advanced and innovative payment solutions, which should increase competition in the financial market, streamline business processes, and improve financial services for consumers and merchants.  We welcome the fact that additional participants, including international firms, are realizing that the measures we have taken are a real opportunity to act and to invest in the Israeli market.”</w:t>
      </w:r>
    </w:p>
    <w:sectPr w:rsidR="00C6484A" w:rsidRPr="008503B3" w:rsidSect="004F5A85">
      <w:headerReference w:type="default" r:id="rId12"/>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C8239" w14:textId="77777777" w:rsidR="006C202A" w:rsidRDefault="006C202A">
      <w:pPr>
        <w:spacing w:line="240" w:lineRule="auto"/>
      </w:pPr>
      <w:r>
        <w:separator/>
      </w:r>
    </w:p>
  </w:endnote>
  <w:endnote w:type="continuationSeparator" w:id="0">
    <w:p w14:paraId="7E6C8875" w14:textId="77777777" w:rsidR="006C202A" w:rsidRDefault="006C20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B7CB4" w14:textId="77777777" w:rsidR="006C202A" w:rsidRDefault="006C202A">
      <w:pPr>
        <w:spacing w:line="160" w:lineRule="exact"/>
      </w:pPr>
    </w:p>
  </w:footnote>
  <w:footnote w:type="continuationSeparator" w:id="0">
    <w:p w14:paraId="0708DECE" w14:textId="77777777" w:rsidR="006C202A" w:rsidRDefault="006C202A">
      <w:pPr>
        <w:pStyle w:val="rule"/>
      </w:pPr>
      <w:r>
        <w:t>–––––––––––––––––––––––––––</w:t>
      </w:r>
    </w:p>
    <w:p w14:paraId="7A583C0E" w14:textId="77777777" w:rsidR="006C202A" w:rsidRDefault="006C202A">
      <w:pPr>
        <w:pStyle w:val="noteseparator"/>
      </w:pPr>
    </w:p>
  </w:footnote>
  <w:footnote w:id="1">
    <w:p w14:paraId="2E415F09" w14:textId="10EC5167" w:rsidR="002245B4" w:rsidRPr="00C11BEB" w:rsidRDefault="002245B4">
      <w:pPr>
        <w:pStyle w:val="a7"/>
        <w:rPr>
          <w:rFonts w:asciiTheme="minorHAnsi" w:hAnsiTheme="minorHAnsi" w:cstheme="minorHAnsi"/>
        </w:rPr>
      </w:pPr>
      <w:bookmarkStart w:id="0" w:name="_GoBack"/>
      <w:r w:rsidRPr="00C11BEB">
        <w:rPr>
          <w:rStyle w:val="a6"/>
          <w:rFonts w:asciiTheme="minorHAnsi" w:hAnsiTheme="minorHAnsi" w:cstheme="minorHAnsi"/>
        </w:rPr>
        <w:footnoteRef/>
      </w:r>
      <w:r w:rsidRPr="00C11BEB">
        <w:rPr>
          <w:rFonts w:asciiTheme="minorHAnsi" w:hAnsiTheme="minorHAnsi" w:cstheme="minorHAnsi"/>
        </w:rPr>
        <w:t xml:space="preserve"> The list of identification codes is published on the Bank of Israel website at: </w:t>
      </w:r>
      <w:hyperlink r:id="rId1" w:history="1">
        <w:r w:rsidR="00385737" w:rsidRPr="00C11BEB">
          <w:rPr>
            <w:rStyle w:val="Hyperlink"/>
            <w:rFonts w:asciiTheme="minorHAnsi" w:hAnsiTheme="minorHAnsi" w:cstheme="minorHAnsi"/>
          </w:rPr>
          <w:t>https://www.boi.org.il/en/economic-roles/supervision-and-regulation/payment-systems-oversight/access-to-payment-systems/identification-codes/</w:t>
        </w:r>
      </w:hyperlink>
    </w:p>
    <w:p w14:paraId="244AFCF0" w14:textId="77777777" w:rsidR="00385737" w:rsidRPr="00C11BEB" w:rsidRDefault="00385737">
      <w:pPr>
        <w:pStyle w:val="a7"/>
        <w:rPr>
          <w:rFonts w:asciiTheme="minorHAnsi" w:hAnsiTheme="minorHAnsi" w:cstheme="minorHAnsi"/>
          <w:rtl/>
        </w:rPr>
      </w:pPr>
    </w:p>
  </w:footnote>
  <w:footnote w:id="2">
    <w:p w14:paraId="622B97EC" w14:textId="5069F428" w:rsidR="00C6484A" w:rsidRPr="00C11BEB" w:rsidRDefault="00C6484A">
      <w:pPr>
        <w:pStyle w:val="a7"/>
        <w:rPr>
          <w:rFonts w:asciiTheme="minorHAnsi" w:hAnsiTheme="minorHAnsi" w:cstheme="minorHAnsi"/>
        </w:rPr>
      </w:pPr>
      <w:r w:rsidRPr="00C11BEB">
        <w:rPr>
          <w:rStyle w:val="a6"/>
          <w:rFonts w:asciiTheme="minorHAnsi" w:hAnsiTheme="minorHAnsi" w:cstheme="minorHAnsi"/>
        </w:rPr>
        <w:footnoteRef/>
      </w:r>
      <w:r w:rsidRPr="00C11BEB">
        <w:rPr>
          <w:rFonts w:asciiTheme="minorHAnsi" w:hAnsiTheme="minorHAnsi" w:cstheme="minorHAnsi"/>
        </w:rPr>
        <w:t xml:space="preserve"> The company was connected to the payment cards system operated by SHVA, and chose to exercise the changes led by the Bank of Israel and to connect to an additional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9"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3"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7D6B4A93"/>
    <w:multiLevelType w:val="multilevel"/>
    <w:tmpl w:val="47B2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2"/>
  </w:num>
  <w:num w:numId="4">
    <w:abstractNumId w:val="13"/>
  </w:num>
  <w:num w:numId="5">
    <w:abstractNumId w:val="1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4"/>
  </w:num>
  <w:num w:numId="10">
    <w:abstractNumId w:val="16"/>
  </w:num>
  <w:num w:numId="11">
    <w:abstractNumId w:val="11"/>
  </w:num>
  <w:num w:numId="12">
    <w:abstractNumId w:val="9"/>
  </w:num>
  <w:num w:numId="13">
    <w:abstractNumId w:val="3"/>
  </w:num>
  <w:num w:numId="14">
    <w:abstractNumId w:val="2"/>
  </w:num>
  <w:num w:numId="15">
    <w:abstractNumId w:val="10"/>
  </w:num>
  <w:num w:numId="16">
    <w:abstractNumId w:val="1"/>
  </w:num>
  <w:num w:numId="17">
    <w:abstractNumId w:val="17"/>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B6617"/>
    <w:rsid w:val="000C1242"/>
    <w:rsid w:val="000C4140"/>
    <w:rsid w:val="000C46E3"/>
    <w:rsid w:val="000D3201"/>
    <w:rsid w:val="000D3F79"/>
    <w:rsid w:val="000E08B9"/>
    <w:rsid w:val="000E2EB0"/>
    <w:rsid w:val="000F4D42"/>
    <w:rsid w:val="00104F58"/>
    <w:rsid w:val="0010545F"/>
    <w:rsid w:val="001116D7"/>
    <w:rsid w:val="00114F59"/>
    <w:rsid w:val="001172A8"/>
    <w:rsid w:val="00121BED"/>
    <w:rsid w:val="001239DD"/>
    <w:rsid w:val="00124970"/>
    <w:rsid w:val="00124AB5"/>
    <w:rsid w:val="00124ED8"/>
    <w:rsid w:val="00126370"/>
    <w:rsid w:val="00127549"/>
    <w:rsid w:val="00130460"/>
    <w:rsid w:val="00143F0D"/>
    <w:rsid w:val="0014603A"/>
    <w:rsid w:val="001550A7"/>
    <w:rsid w:val="00160123"/>
    <w:rsid w:val="00161743"/>
    <w:rsid w:val="00162F9E"/>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245B4"/>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2E73"/>
    <w:rsid w:val="00366DB8"/>
    <w:rsid w:val="00367A32"/>
    <w:rsid w:val="00376023"/>
    <w:rsid w:val="00376976"/>
    <w:rsid w:val="00380012"/>
    <w:rsid w:val="003814C4"/>
    <w:rsid w:val="0038232A"/>
    <w:rsid w:val="00385737"/>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43F9E"/>
    <w:rsid w:val="00445F3E"/>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E7032"/>
    <w:rsid w:val="004F23A8"/>
    <w:rsid w:val="004F5A85"/>
    <w:rsid w:val="00500F8B"/>
    <w:rsid w:val="0050251C"/>
    <w:rsid w:val="00503622"/>
    <w:rsid w:val="00515681"/>
    <w:rsid w:val="00517461"/>
    <w:rsid w:val="005273A2"/>
    <w:rsid w:val="005317F2"/>
    <w:rsid w:val="00531AD1"/>
    <w:rsid w:val="00536575"/>
    <w:rsid w:val="0054053A"/>
    <w:rsid w:val="0054075A"/>
    <w:rsid w:val="005417D3"/>
    <w:rsid w:val="00543038"/>
    <w:rsid w:val="005504CF"/>
    <w:rsid w:val="00554AC0"/>
    <w:rsid w:val="0055658B"/>
    <w:rsid w:val="0056099E"/>
    <w:rsid w:val="00562B0B"/>
    <w:rsid w:val="005676E1"/>
    <w:rsid w:val="00572E97"/>
    <w:rsid w:val="00581AE6"/>
    <w:rsid w:val="00590949"/>
    <w:rsid w:val="00591171"/>
    <w:rsid w:val="00592585"/>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431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918C1"/>
    <w:rsid w:val="00691E1E"/>
    <w:rsid w:val="00694066"/>
    <w:rsid w:val="00696506"/>
    <w:rsid w:val="006A29C7"/>
    <w:rsid w:val="006A2E45"/>
    <w:rsid w:val="006A36A4"/>
    <w:rsid w:val="006B03B7"/>
    <w:rsid w:val="006B39E9"/>
    <w:rsid w:val="006C17E0"/>
    <w:rsid w:val="006C202A"/>
    <w:rsid w:val="006D10C5"/>
    <w:rsid w:val="006D738F"/>
    <w:rsid w:val="006E30C1"/>
    <w:rsid w:val="006E33B5"/>
    <w:rsid w:val="006E35F9"/>
    <w:rsid w:val="006E4E37"/>
    <w:rsid w:val="006F331D"/>
    <w:rsid w:val="006F4E23"/>
    <w:rsid w:val="007012E2"/>
    <w:rsid w:val="00701620"/>
    <w:rsid w:val="00706A01"/>
    <w:rsid w:val="0071317E"/>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1CB5"/>
    <w:rsid w:val="00826845"/>
    <w:rsid w:val="00836D7A"/>
    <w:rsid w:val="00841E41"/>
    <w:rsid w:val="0084331E"/>
    <w:rsid w:val="00843E13"/>
    <w:rsid w:val="00843F4B"/>
    <w:rsid w:val="0084597D"/>
    <w:rsid w:val="008503B3"/>
    <w:rsid w:val="00850D4E"/>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6CAD"/>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6CAC"/>
    <w:rsid w:val="00A10C60"/>
    <w:rsid w:val="00A176D5"/>
    <w:rsid w:val="00A2357F"/>
    <w:rsid w:val="00A2557F"/>
    <w:rsid w:val="00A27711"/>
    <w:rsid w:val="00A30E4A"/>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1BEB"/>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484A"/>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0F35"/>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5EE"/>
    <w:rsid w:val="00E6497E"/>
    <w:rsid w:val="00E65CA7"/>
    <w:rsid w:val="00E67A70"/>
    <w:rsid w:val="00E701BC"/>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3B27"/>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paragraph" w:styleId="3">
    <w:name w:val="heading 3"/>
    <w:basedOn w:val="a"/>
    <w:link w:val="30"/>
    <w:uiPriority w:val="9"/>
    <w:qFormat/>
    <w:rsid w:val="00445F3E"/>
    <w:pPr>
      <w:spacing w:before="100" w:beforeAutospacing="1" w:after="100" w:afterAutospacing="1" w:line="240" w:lineRule="auto"/>
      <w:jc w:val="left"/>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styleId="NormalWeb">
    <w:name w:val="Normal (Web)"/>
    <w:basedOn w:val="a"/>
    <w:uiPriority w:val="99"/>
    <w:semiHidden/>
    <w:unhideWhenUsed/>
    <w:rsid w:val="000C46E3"/>
    <w:pPr>
      <w:spacing w:before="100" w:beforeAutospacing="1" w:after="100" w:afterAutospacing="1" w:line="240" w:lineRule="auto"/>
      <w:jc w:val="left"/>
    </w:pPr>
    <w:rPr>
      <w:rFonts w:ascii="Times New Roman" w:eastAsiaTheme="minorEastAsia" w:hAnsi="Times New Roman" w:cs="Times New Roman"/>
    </w:rPr>
  </w:style>
  <w:style w:type="character" w:customStyle="1" w:styleId="30">
    <w:name w:val="כותרת 3 תו"/>
    <w:basedOn w:val="a0"/>
    <w:link w:val="3"/>
    <w:uiPriority w:val="9"/>
    <w:rsid w:val="00445F3E"/>
    <w:rPr>
      <w:rFonts w:ascii="Times New Roman" w:hAnsi="Times New Roman"/>
      <w:b/>
      <w:bCs/>
      <w:sz w:val="27"/>
      <w:szCs w:val="27"/>
    </w:rPr>
  </w:style>
  <w:style w:type="character" w:styleId="af8">
    <w:name w:val="Strong"/>
    <w:basedOn w:val="a0"/>
    <w:uiPriority w:val="22"/>
    <w:qFormat/>
    <w:rsid w:val="00445F3E"/>
    <w:rPr>
      <w:b/>
      <w:bCs/>
    </w:rPr>
  </w:style>
  <w:style w:type="character" w:styleId="af9">
    <w:name w:val="Emphasis"/>
    <w:basedOn w:val="a0"/>
    <w:uiPriority w:val="20"/>
    <w:qFormat/>
    <w:rsid w:val="00445F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170020195">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88497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oi.org.il/en/economic-roles/supervision-and-regulation/payment-systems-oversight/access-to-payment-systems/identification-codes/"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B3AD7-C05B-4FB1-A8D2-B75B3DAE7EF1}">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4.xml><?xml version="1.0" encoding="utf-8"?>
<ds:datastoreItem xmlns:ds="http://schemas.openxmlformats.org/officeDocument/2006/customXml" ds:itemID="{60E61054-FF23-439F-8470-8EC128EAA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1977</Characters>
  <Application>Microsoft Office Word</Application>
  <DocSecurity>0</DocSecurity>
  <Lines>16</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2026-04-26T11:16:00Z</dcterms:created>
  <dcterms:modified xsi:type="dcterms:W3CDTF">2026-04-26T11:18:00Z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